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6.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ED65D" w14:textId="7EF04E16" w:rsidR="00F201FE" w:rsidRPr="00D66245" w:rsidRDefault="00F201FE" w:rsidP="00F201FE">
      <w:pPr>
        <w:spacing w:after="240" w:line="240" w:lineRule="auto"/>
        <w:rPr>
          <w:rFonts w:ascii="Palatino Linotype" w:hAnsi="Palatino Linotype"/>
        </w:rPr>
      </w:pPr>
      <w:bookmarkStart w:id="0" w:name="_Hlk8652254"/>
      <w:bookmarkStart w:id="1" w:name="_Hlk8652048"/>
    </w:p>
    <w:p w14:paraId="63F09861" w14:textId="20129AC8" w:rsidR="00F201FE" w:rsidRPr="00D66245" w:rsidRDefault="00F201FE" w:rsidP="00F201FE">
      <w:pPr>
        <w:spacing w:after="240" w:line="240" w:lineRule="auto"/>
        <w:rPr>
          <w:rFonts w:ascii="Palatino Linotype" w:hAnsi="Palatino Linotype"/>
        </w:rPr>
      </w:pPr>
    </w:p>
    <w:p w14:paraId="12772AE6" w14:textId="00B56CBC" w:rsidR="00F201FE" w:rsidRPr="00D66245" w:rsidRDefault="00F201FE" w:rsidP="00F201FE">
      <w:pPr>
        <w:spacing w:after="240" w:line="240" w:lineRule="auto"/>
        <w:rPr>
          <w:rFonts w:ascii="Palatino Linotype" w:hAnsi="Palatino Linotype"/>
        </w:rPr>
      </w:pPr>
    </w:p>
    <w:p w14:paraId="4B191E18" w14:textId="77777777" w:rsidR="00F201FE" w:rsidRPr="00D66245" w:rsidRDefault="00F201FE" w:rsidP="00F201FE">
      <w:pPr>
        <w:spacing w:after="240" w:line="240" w:lineRule="auto"/>
        <w:rPr>
          <w:rFonts w:ascii="Palatino Linotype" w:hAnsi="Palatino Linotype"/>
        </w:rPr>
      </w:pPr>
    </w:p>
    <w:p w14:paraId="0FA320BF" w14:textId="77777777" w:rsidR="003920ED" w:rsidRPr="00D66245" w:rsidRDefault="003920ED" w:rsidP="00F201FE">
      <w:pPr>
        <w:spacing w:after="240" w:line="240" w:lineRule="auto"/>
        <w:jc w:val="center"/>
        <w:rPr>
          <w:rFonts w:ascii="Palatino Linotype" w:hAnsi="Palatino Linotype"/>
          <w:b/>
        </w:rPr>
      </w:pPr>
    </w:p>
    <w:p w14:paraId="208289B9" w14:textId="7C48CB10" w:rsidR="00F201FE" w:rsidRPr="00497272" w:rsidRDefault="00F201FE" w:rsidP="00F201FE">
      <w:pPr>
        <w:spacing w:after="240" w:line="240" w:lineRule="auto"/>
        <w:jc w:val="center"/>
        <w:rPr>
          <w:rFonts w:ascii="Palatino Linotype" w:hAnsi="Palatino Linotype"/>
          <w:b/>
          <w:sz w:val="48"/>
          <w:szCs w:val="48"/>
        </w:rPr>
      </w:pPr>
      <w:r w:rsidRPr="00497272">
        <w:rPr>
          <w:rFonts w:ascii="Palatino Linotype" w:hAnsi="Palatino Linotype"/>
          <w:b/>
          <w:sz w:val="48"/>
          <w:szCs w:val="48"/>
        </w:rPr>
        <w:t>MEMORIAS DEL IX CONGRESO</w:t>
      </w:r>
    </w:p>
    <w:p w14:paraId="4AEA532D" w14:textId="77777777" w:rsidR="00F201FE" w:rsidRPr="00497272" w:rsidRDefault="00F201FE" w:rsidP="00F201FE">
      <w:pPr>
        <w:spacing w:after="240" w:line="240" w:lineRule="auto"/>
        <w:jc w:val="center"/>
        <w:rPr>
          <w:rFonts w:ascii="Palatino Linotype" w:hAnsi="Palatino Linotype"/>
          <w:b/>
          <w:sz w:val="48"/>
          <w:szCs w:val="48"/>
        </w:rPr>
      </w:pPr>
    </w:p>
    <w:p w14:paraId="1A85BE71" w14:textId="77777777" w:rsidR="00F201FE" w:rsidRPr="00497272" w:rsidRDefault="00F201FE" w:rsidP="00F201FE">
      <w:pPr>
        <w:spacing w:after="240" w:line="240" w:lineRule="auto"/>
        <w:jc w:val="center"/>
        <w:rPr>
          <w:rFonts w:ascii="Palatino Linotype" w:hAnsi="Palatino Linotype"/>
          <w:b/>
          <w:sz w:val="48"/>
          <w:szCs w:val="48"/>
        </w:rPr>
        <w:sectPr w:rsidR="00F201FE" w:rsidRPr="00497272" w:rsidSect="00BA1B42">
          <w:headerReference w:type="even" r:id="rId8"/>
          <w:footerReference w:type="even" r:id="rId9"/>
          <w:footerReference w:type="default" r:id="rId10"/>
          <w:headerReference w:type="first" r:id="rId11"/>
          <w:footerReference w:type="first" r:id="rId12"/>
          <w:type w:val="nextColumn"/>
          <w:pgSz w:w="12242" w:h="15842" w:code="1"/>
          <w:pgMar w:top="1474" w:right="2098" w:bottom="1021" w:left="2778" w:header="851" w:footer="2835" w:gutter="0"/>
          <w:cols w:space="708"/>
          <w:titlePg/>
          <w:docGrid w:linePitch="360"/>
        </w:sectPr>
      </w:pPr>
      <w:r w:rsidRPr="00497272">
        <w:rPr>
          <w:rFonts w:ascii="Palatino Linotype" w:hAnsi="Palatino Linotype"/>
          <w:b/>
          <w:sz w:val="48"/>
          <w:szCs w:val="48"/>
        </w:rPr>
        <w:t>INSTITUTO COSTARRICENSE DE DERECHO PROCESAL CIENTÍFICO</w:t>
      </w:r>
    </w:p>
    <w:p w14:paraId="17E7A768" w14:textId="77777777" w:rsidR="00F201FE" w:rsidRPr="00D66245" w:rsidRDefault="00F201FE" w:rsidP="00F201FE">
      <w:pPr>
        <w:spacing w:after="240" w:line="240" w:lineRule="auto"/>
        <w:jc w:val="center"/>
        <w:rPr>
          <w:rFonts w:ascii="Palatino Linotype" w:hAnsi="Palatino Linotype"/>
        </w:rPr>
      </w:pPr>
    </w:p>
    <w:p w14:paraId="0BBC5583" w14:textId="0C466C1C" w:rsidR="00F201FE" w:rsidRPr="00497272" w:rsidRDefault="00F201FE" w:rsidP="00F201FE">
      <w:pPr>
        <w:spacing w:after="0" w:line="240" w:lineRule="auto"/>
        <w:jc w:val="center"/>
        <w:rPr>
          <w:rFonts w:ascii="Palatino Linotype" w:hAnsi="Palatino Linotype"/>
          <w:b/>
          <w:sz w:val="44"/>
          <w:szCs w:val="44"/>
        </w:rPr>
      </w:pPr>
      <w:r w:rsidRPr="00497272">
        <w:rPr>
          <w:rFonts w:ascii="Palatino Linotype" w:hAnsi="Palatino Linotype"/>
          <w:b/>
          <w:sz w:val="44"/>
          <w:szCs w:val="44"/>
        </w:rPr>
        <w:t>MEMORIAS DEL IX CONGRESO INTERNACIONAL</w:t>
      </w:r>
    </w:p>
    <w:p w14:paraId="53294B32" w14:textId="77777777" w:rsidR="00F201FE" w:rsidRPr="00497272" w:rsidRDefault="00F201FE" w:rsidP="00F201FE">
      <w:pPr>
        <w:spacing w:after="0" w:line="240" w:lineRule="auto"/>
        <w:jc w:val="center"/>
        <w:rPr>
          <w:rFonts w:ascii="Palatino Linotype" w:hAnsi="Palatino Linotype"/>
          <w:b/>
          <w:sz w:val="44"/>
          <w:szCs w:val="44"/>
        </w:rPr>
      </w:pPr>
      <w:r w:rsidRPr="00497272">
        <w:rPr>
          <w:rFonts w:ascii="Palatino Linotype" w:hAnsi="Palatino Linotype"/>
          <w:b/>
          <w:sz w:val="44"/>
          <w:szCs w:val="44"/>
        </w:rPr>
        <w:t>DE DERECHO PROCESAL</w:t>
      </w:r>
    </w:p>
    <w:p w14:paraId="72369760" w14:textId="77777777" w:rsidR="00F201FE" w:rsidRPr="00D66245" w:rsidRDefault="00F201FE" w:rsidP="00F201FE">
      <w:pPr>
        <w:spacing w:after="240" w:line="240" w:lineRule="auto"/>
        <w:rPr>
          <w:rFonts w:ascii="Palatino Linotype" w:hAnsi="Palatino Linotype"/>
        </w:rPr>
      </w:pPr>
    </w:p>
    <w:p w14:paraId="335A3264" w14:textId="342CB35D" w:rsidR="00F201FE" w:rsidRPr="00D66245" w:rsidRDefault="00F201FE" w:rsidP="00F201FE">
      <w:pPr>
        <w:spacing w:after="240" w:line="240" w:lineRule="auto"/>
        <w:rPr>
          <w:rFonts w:ascii="Palatino Linotype" w:hAnsi="Palatino Linotype"/>
        </w:rPr>
      </w:pPr>
    </w:p>
    <w:p w14:paraId="31E9D7BE" w14:textId="4E32CE97" w:rsidR="00EF1A6A" w:rsidRPr="00497272" w:rsidRDefault="00D9461E" w:rsidP="00D9461E">
      <w:pPr>
        <w:spacing w:after="240" w:line="240" w:lineRule="auto"/>
        <w:jc w:val="center"/>
        <w:rPr>
          <w:rFonts w:ascii="Palatino Linotype" w:hAnsi="Palatino Linotype"/>
          <w:b/>
          <w:sz w:val="40"/>
          <w:szCs w:val="40"/>
        </w:rPr>
      </w:pPr>
      <w:r w:rsidRPr="00497272">
        <w:rPr>
          <w:rFonts w:ascii="Palatino Linotype" w:hAnsi="Palatino Linotype"/>
          <w:b/>
          <w:sz w:val="40"/>
          <w:szCs w:val="40"/>
        </w:rPr>
        <w:t>Impacto en el sistema jurídico de los recientes Códigos Procesales</w:t>
      </w:r>
    </w:p>
    <w:p w14:paraId="0C373FD9" w14:textId="77777777" w:rsidR="00EF1A6A" w:rsidRPr="00D66245" w:rsidRDefault="00EF1A6A" w:rsidP="00F201FE">
      <w:pPr>
        <w:spacing w:after="240" w:line="240" w:lineRule="auto"/>
        <w:rPr>
          <w:rFonts w:ascii="Palatino Linotype" w:hAnsi="Palatino Linotype"/>
        </w:rPr>
      </w:pPr>
    </w:p>
    <w:p w14:paraId="5DB19C40" w14:textId="17BFB0CA" w:rsidR="00F201FE" w:rsidRPr="00497272" w:rsidRDefault="00F201FE" w:rsidP="00F201FE">
      <w:pPr>
        <w:spacing w:after="240" w:line="240" w:lineRule="auto"/>
        <w:jc w:val="center"/>
        <w:rPr>
          <w:rFonts w:ascii="Palatino Linotype" w:hAnsi="Palatino Linotype"/>
        </w:rPr>
      </w:pPr>
      <w:r w:rsidRPr="00497272">
        <w:rPr>
          <w:rFonts w:ascii="Palatino Linotype" w:hAnsi="Palatino Linotype"/>
        </w:rPr>
        <w:t>COLABORADORES:</w:t>
      </w:r>
    </w:p>
    <w:p w14:paraId="644675DC" w14:textId="077CD3A4" w:rsidR="00497272" w:rsidRPr="00497272" w:rsidRDefault="00497272" w:rsidP="00497272">
      <w:pPr>
        <w:tabs>
          <w:tab w:val="right" w:leader="dot" w:pos="9185"/>
        </w:tabs>
        <w:spacing w:after="0" w:line="240" w:lineRule="auto"/>
        <w:rPr>
          <w:rFonts w:ascii="Palatino Linotype" w:eastAsia="Times New Roman" w:hAnsi="Palatino Linotype" w:cs="Arial"/>
          <w:bCs/>
          <w:spacing w:val="-8"/>
          <w:lang w:val="es-MX"/>
        </w:rPr>
      </w:pPr>
      <w:r w:rsidRPr="00497272">
        <w:rPr>
          <w:rFonts w:ascii="Palatino Linotype" w:eastAsia="Times New Roman" w:hAnsi="Palatino Linotype" w:cs="Times New Roman"/>
          <w:spacing w:val="-8"/>
          <w:lang w:val="es-ES_tradnl" w:eastAsia="es-CR"/>
        </w:rPr>
        <w:t xml:space="preserve">Mauricio París                                                                     </w:t>
      </w:r>
      <w:r w:rsidRPr="00497272">
        <w:rPr>
          <w:rFonts w:ascii="Palatino Linotype" w:hAnsi="Palatino Linotype" w:cs="Times New Roman"/>
          <w:lang w:val="es-CR"/>
        </w:rPr>
        <w:t>Juan Carlos Vásquez Drexler</w:t>
      </w:r>
      <w:r w:rsidRPr="00497272">
        <w:rPr>
          <w:rFonts w:ascii="Palatino Linotype" w:eastAsia="Times New Roman" w:hAnsi="Palatino Linotype" w:cs="Times New Roman"/>
          <w:spacing w:val="-8"/>
          <w:lang w:val="es-ES_tradnl" w:eastAsia="es-CR"/>
        </w:rPr>
        <w:t xml:space="preserve">                                                </w:t>
      </w:r>
    </w:p>
    <w:p w14:paraId="7E245F6C" w14:textId="4B4966BD" w:rsidR="00497272" w:rsidRPr="00497272" w:rsidRDefault="00497272" w:rsidP="00497272">
      <w:pPr>
        <w:tabs>
          <w:tab w:val="right" w:leader="dot" w:pos="9185"/>
        </w:tabs>
        <w:spacing w:after="0" w:line="240" w:lineRule="auto"/>
        <w:rPr>
          <w:rFonts w:ascii="Palatino Linotype" w:eastAsia="Times New Roman" w:hAnsi="Palatino Linotype" w:cs="Arial"/>
          <w:bCs/>
          <w:spacing w:val="-8"/>
          <w:lang w:val="es-MX"/>
        </w:rPr>
      </w:pPr>
      <w:r w:rsidRPr="00497272">
        <w:rPr>
          <w:rFonts w:ascii="Palatino Linotype" w:eastAsia="Times New Roman" w:hAnsi="Palatino Linotype" w:cs="Arial"/>
          <w:bCs/>
          <w:spacing w:val="-8"/>
          <w:lang w:val="es-CR"/>
        </w:rPr>
        <w:t xml:space="preserve">Kendall David Ruiz Jiménez                                          </w:t>
      </w:r>
      <w:r w:rsidRPr="00497272">
        <w:rPr>
          <w:rFonts w:ascii="Palatino Linotype" w:eastAsia="Times New Roman" w:hAnsi="Palatino Linotype" w:cs="Arial"/>
          <w:bCs/>
          <w:spacing w:val="-8"/>
          <w:lang w:val="es-MX"/>
        </w:rPr>
        <w:t>Msc. Luis Ortíz Zamora</w:t>
      </w:r>
      <w:r w:rsidRPr="00497272">
        <w:rPr>
          <w:rFonts w:ascii="Palatino Linotype" w:eastAsia="Times New Roman" w:hAnsi="Palatino Linotype" w:cs="Arial"/>
          <w:bCs/>
          <w:spacing w:val="-8"/>
          <w:lang w:val="es-CR"/>
        </w:rPr>
        <w:t xml:space="preserve"> </w:t>
      </w:r>
    </w:p>
    <w:p w14:paraId="546D9EA8" w14:textId="5F0D3BAA" w:rsidR="00497272" w:rsidRPr="00497272" w:rsidRDefault="00497272" w:rsidP="00497272">
      <w:pPr>
        <w:tabs>
          <w:tab w:val="right" w:leader="dot" w:pos="9185"/>
        </w:tabs>
        <w:spacing w:after="0" w:line="240" w:lineRule="auto"/>
        <w:rPr>
          <w:rFonts w:ascii="Palatino Linotype" w:eastAsia="Times New Roman" w:hAnsi="Palatino Linotype" w:cs="Arial"/>
          <w:bCs/>
          <w:spacing w:val="-8"/>
          <w:lang w:val="es-MX"/>
        </w:rPr>
      </w:pPr>
      <w:r w:rsidRPr="00497272">
        <w:rPr>
          <w:rFonts w:ascii="Palatino Linotype" w:eastAsia="Times New Roman" w:hAnsi="Palatino Linotype" w:cs="Arial"/>
          <w:bCs/>
          <w:spacing w:val="-8"/>
          <w:lang w:val="es-MX"/>
        </w:rPr>
        <w:t xml:space="preserve">Dr. Carlos Adolfo Picado Vargas                                  </w:t>
      </w:r>
      <w:r w:rsidRPr="00497272">
        <w:rPr>
          <w:rFonts w:ascii="Palatino Linotype" w:hAnsi="Palatino Linotype"/>
        </w:rPr>
        <w:t>Hubert Fernández Argüello</w:t>
      </w:r>
    </w:p>
    <w:p w14:paraId="0C6C6694" w14:textId="7DF2D09B" w:rsidR="00497272" w:rsidRPr="00497272" w:rsidRDefault="00497272" w:rsidP="00497272">
      <w:pPr>
        <w:tabs>
          <w:tab w:val="right" w:leader="dot" w:pos="9185"/>
        </w:tabs>
        <w:spacing w:after="0" w:line="240" w:lineRule="auto"/>
        <w:rPr>
          <w:rFonts w:ascii="Palatino Linotype" w:eastAsia="Times New Roman" w:hAnsi="Palatino Linotype" w:cs="Arial"/>
          <w:bCs/>
          <w:spacing w:val="-8"/>
          <w:lang w:val="es-MX"/>
        </w:rPr>
      </w:pPr>
      <w:r w:rsidRPr="00497272">
        <w:rPr>
          <w:rFonts w:ascii="Palatino Linotype" w:eastAsia="Times New Roman" w:hAnsi="Palatino Linotype" w:cs="Arial"/>
          <w:bCs/>
          <w:spacing w:val="-8"/>
          <w:lang w:val="es-MX"/>
        </w:rPr>
        <w:t>Carlos J. Carrera Castillo                                                  José Roberto Garita Navarro</w:t>
      </w:r>
    </w:p>
    <w:p w14:paraId="35A8038C" w14:textId="4B923AF8" w:rsidR="00497272" w:rsidRPr="00497272" w:rsidRDefault="00497272" w:rsidP="00497272">
      <w:pPr>
        <w:tabs>
          <w:tab w:val="right" w:leader="dot" w:pos="9185"/>
        </w:tabs>
        <w:spacing w:after="0" w:line="240" w:lineRule="auto"/>
        <w:rPr>
          <w:rFonts w:ascii="Palatino Linotype" w:eastAsia="Times New Roman" w:hAnsi="Palatino Linotype" w:cs="Arial"/>
          <w:bCs/>
          <w:spacing w:val="-8"/>
          <w:lang w:val="es-MX"/>
        </w:rPr>
      </w:pPr>
      <w:r w:rsidRPr="00497272">
        <w:rPr>
          <w:rFonts w:ascii="Palatino Linotype" w:eastAsia="Times New Roman" w:hAnsi="Palatino Linotype" w:cs="Arial"/>
          <w:bCs/>
          <w:spacing w:val="-8"/>
          <w:lang w:val="es-MX"/>
        </w:rPr>
        <w:t>Dr. Sergio Artavia Barrantes                                           Adrián Torrealba Navas</w:t>
      </w:r>
    </w:p>
    <w:p w14:paraId="099CEC27" w14:textId="20EA15B0" w:rsidR="00497272" w:rsidRPr="00497272" w:rsidRDefault="00497272" w:rsidP="00497272">
      <w:pPr>
        <w:tabs>
          <w:tab w:val="right" w:leader="dot" w:pos="9185"/>
        </w:tabs>
        <w:spacing w:after="0" w:line="240" w:lineRule="auto"/>
        <w:rPr>
          <w:rFonts w:ascii="Palatino Linotype" w:eastAsia="Times New Roman" w:hAnsi="Palatino Linotype" w:cs="Arial"/>
          <w:bCs/>
          <w:spacing w:val="-8"/>
          <w:lang w:val="es-MX"/>
        </w:rPr>
      </w:pPr>
      <w:r w:rsidRPr="00497272">
        <w:rPr>
          <w:rFonts w:ascii="Palatino Linotype" w:eastAsia="Times New Roman" w:hAnsi="Palatino Linotype" w:cs="Arial"/>
          <w:bCs/>
          <w:spacing w:val="-8"/>
          <w:lang w:val="es-MX"/>
        </w:rPr>
        <w:t>Msc Katherine Calvo Artavia                                         Javier Fallas Villaplana</w:t>
      </w:r>
    </w:p>
    <w:p w14:paraId="641C42EC" w14:textId="474692C9" w:rsidR="00497272" w:rsidRPr="00497272" w:rsidRDefault="00497272" w:rsidP="00497272">
      <w:pPr>
        <w:tabs>
          <w:tab w:val="right" w:leader="dot" w:pos="9185"/>
        </w:tabs>
        <w:spacing w:after="0" w:line="240" w:lineRule="auto"/>
        <w:rPr>
          <w:rFonts w:ascii="Palatino Linotype" w:eastAsia="Times New Roman" w:hAnsi="Palatino Linotype" w:cs="Arial"/>
          <w:bCs/>
          <w:spacing w:val="-8"/>
          <w:lang w:val="es-MX"/>
        </w:rPr>
      </w:pPr>
      <w:r w:rsidRPr="00497272">
        <w:rPr>
          <w:rFonts w:ascii="Palatino Linotype" w:eastAsia="Times New Roman" w:hAnsi="Palatino Linotype" w:cs="Arial"/>
          <w:bCs/>
          <w:spacing w:val="-8"/>
          <w:lang w:val="es-MX"/>
        </w:rPr>
        <w:t xml:space="preserve">Msc. Nohelia Vega Carvajal                                           Dr. Enrique N. Ulate Chacón                                       </w:t>
      </w:r>
    </w:p>
    <w:p w14:paraId="2B403EC3" w14:textId="3B6E0B0F" w:rsidR="00497272" w:rsidRPr="00497272" w:rsidRDefault="00497272" w:rsidP="00497272">
      <w:pPr>
        <w:tabs>
          <w:tab w:val="right" w:leader="dot" w:pos="9185"/>
        </w:tabs>
        <w:spacing w:after="0" w:line="240" w:lineRule="auto"/>
        <w:rPr>
          <w:rFonts w:ascii="Palatino Linotype" w:hAnsi="Palatino Linotype" w:cs="Times New Roman"/>
          <w:lang w:val="es-CR"/>
        </w:rPr>
      </w:pPr>
      <w:r w:rsidRPr="00497272">
        <w:rPr>
          <w:rFonts w:ascii="Palatino Linotype" w:hAnsi="Palatino Linotype" w:cs="Times New Roman"/>
          <w:lang w:val="es-CR"/>
        </w:rPr>
        <w:t xml:space="preserve">Dr. Roberto Yglesias Mora                                   </w:t>
      </w:r>
      <w:r w:rsidRPr="00497272">
        <w:rPr>
          <w:rFonts w:ascii="Palatino Linotype" w:eastAsia="Times New Roman" w:hAnsi="Palatino Linotype"/>
          <w:lang w:val="es-ES_tradnl"/>
        </w:rPr>
        <w:t>Jeffry José Mora Sánchez</w:t>
      </w:r>
    </w:p>
    <w:p w14:paraId="2FEDFF43" w14:textId="139F31E8" w:rsidR="00D9461E" w:rsidRPr="00912169" w:rsidRDefault="00912169" w:rsidP="00912169">
      <w:pPr>
        <w:tabs>
          <w:tab w:val="right" w:leader="dot" w:pos="9185"/>
        </w:tabs>
        <w:spacing w:after="0" w:line="240" w:lineRule="auto"/>
        <w:rPr>
          <w:rFonts w:ascii="Palatino Linotype" w:hAnsi="Palatino Linotype" w:cs="Times New Roman"/>
          <w:lang w:val="es-CR"/>
        </w:rPr>
      </w:pPr>
      <w:r w:rsidRPr="00912169">
        <w:rPr>
          <w:rFonts w:ascii="Palatino Linotype" w:hAnsi="Palatino Linotype" w:cs="Times New Roman"/>
          <w:lang w:val="es-CR"/>
        </w:rPr>
        <w:t>Dr. Erick Gatgens Gómez                                     Dr. Rafael Ángel Sa</w:t>
      </w:r>
      <w:r>
        <w:rPr>
          <w:rFonts w:ascii="Palatino Linotype" w:hAnsi="Palatino Linotype" w:cs="Times New Roman"/>
          <w:lang w:val="es-CR"/>
        </w:rPr>
        <w:t>nabria R.</w:t>
      </w:r>
    </w:p>
    <w:p w14:paraId="70EC7AEA" w14:textId="3B345486" w:rsidR="00D9461E" w:rsidRPr="00912169" w:rsidRDefault="00D9461E" w:rsidP="00F201FE">
      <w:pPr>
        <w:spacing w:after="240" w:line="240" w:lineRule="auto"/>
        <w:jc w:val="center"/>
        <w:rPr>
          <w:rFonts w:ascii="Palatino Linotype" w:hAnsi="Palatino Linotype"/>
          <w:lang w:val="es-CR"/>
        </w:rPr>
      </w:pPr>
    </w:p>
    <w:p w14:paraId="06F8EBE3" w14:textId="167E2135" w:rsidR="00497272" w:rsidRPr="00912169" w:rsidRDefault="00497272" w:rsidP="00F201FE">
      <w:pPr>
        <w:spacing w:after="240" w:line="240" w:lineRule="auto"/>
        <w:jc w:val="center"/>
        <w:rPr>
          <w:rFonts w:ascii="Palatino Linotype" w:hAnsi="Palatino Linotype"/>
          <w:lang w:val="es-CR"/>
        </w:rPr>
      </w:pPr>
    </w:p>
    <w:p w14:paraId="1F391A0A" w14:textId="67327A98" w:rsidR="00F201FE" w:rsidRPr="00912169" w:rsidRDefault="00F201FE" w:rsidP="00F201FE">
      <w:pPr>
        <w:spacing w:after="240" w:line="240" w:lineRule="auto"/>
        <w:jc w:val="center"/>
        <w:rPr>
          <w:rFonts w:ascii="Palatino Linotype" w:hAnsi="Palatino Linotype"/>
          <w:lang w:val="es-CR"/>
        </w:rPr>
      </w:pPr>
    </w:p>
    <w:p w14:paraId="65B085B5" w14:textId="333901D2" w:rsidR="00F201FE" w:rsidRPr="00D66245" w:rsidRDefault="00F201FE" w:rsidP="00497272">
      <w:pPr>
        <w:spacing w:after="240" w:line="240" w:lineRule="auto"/>
        <w:jc w:val="center"/>
        <w:rPr>
          <w:rFonts w:ascii="Palatino Linotype" w:hAnsi="Palatino Linotype"/>
        </w:rPr>
      </w:pPr>
      <w:r w:rsidRPr="00D66245">
        <w:rPr>
          <w:rFonts w:ascii="Palatino Linotype" w:hAnsi="Palatino Linotype"/>
        </w:rPr>
        <w:t xml:space="preserve">San José – </w:t>
      </w:r>
      <w:r w:rsidR="006D6B49" w:rsidRPr="00D66245">
        <w:rPr>
          <w:rFonts w:ascii="Palatino Linotype" w:hAnsi="Palatino Linotype"/>
        </w:rPr>
        <w:t>mayor</w:t>
      </w:r>
      <w:r w:rsidRPr="00D66245">
        <w:rPr>
          <w:rFonts w:ascii="Palatino Linotype" w:hAnsi="Palatino Linotype"/>
        </w:rPr>
        <w:t xml:space="preserve"> 201</w:t>
      </w:r>
      <w:r w:rsidR="006D6B49" w:rsidRPr="00D66245">
        <w:rPr>
          <w:rFonts w:ascii="Palatino Linotype" w:hAnsi="Palatino Linotype"/>
        </w:rPr>
        <w:t>9</w:t>
      </w:r>
    </w:p>
    <w:p w14:paraId="400656CE" w14:textId="236EEF8F" w:rsidR="00F201FE" w:rsidRPr="00D66245" w:rsidRDefault="00F201FE" w:rsidP="00F201FE">
      <w:pPr>
        <w:pBdr>
          <w:top w:val="single" w:sz="4" w:space="1" w:color="auto"/>
          <w:left w:val="single" w:sz="4" w:space="4" w:color="auto"/>
          <w:bottom w:val="single" w:sz="4" w:space="1" w:color="auto"/>
          <w:right w:val="single" w:sz="4" w:space="4" w:color="auto"/>
        </w:pBdr>
        <w:spacing w:after="60" w:line="240" w:lineRule="auto"/>
        <w:rPr>
          <w:rFonts w:ascii="Palatino Linotype" w:hAnsi="Palatino Linotype"/>
        </w:rPr>
      </w:pPr>
      <w:r w:rsidRPr="00D66245">
        <w:rPr>
          <w:rFonts w:ascii="Palatino Linotype" w:hAnsi="Palatino Linotype"/>
        </w:rPr>
        <w:lastRenderedPageBreak/>
        <w:t xml:space="preserve">340.05   </w:t>
      </w:r>
      <w:r w:rsidR="006D6B49" w:rsidRPr="00D66245">
        <w:rPr>
          <w:rFonts w:ascii="Palatino Linotype" w:hAnsi="Palatino Linotype"/>
        </w:rPr>
        <w:t>IX Congreso Internacional de Derecho Procesal. Impacto en el sistema jurídico de los recientes Códigos Procesales</w:t>
      </w:r>
      <w:r w:rsidRPr="00D66245">
        <w:rPr>
          <w:rFonts w:ascii="Palatino Linotype" w:hAnsi="Palatino Linotype"/>
        </w:rPr>
        <w:t xml:space="preserve"> / Sergio Artavia B. Carlos Picado V. (et al.).</w:t>
      </w:r>
    </w:p>
    <w:p w14:paraId="4E3D05CF" w14:textId="6BD65A45" w:rsidR="00F201FE" w:rsidRPr="00D66245" w:rsidRDefault="00F201FE" w:rsidP="00F201FE">
      <w:pPr>
        <w:pBdr>
          <w:top w:val="single" w:sz="4" w:space="1" w:color="auto"/>
          <w:left w:val="single" w:sz="4" w:space="4" w:color="auto"/>
          <w:bottom w:val="single" w:sz="4" w:space="1" w:color="auto"/>
          <w:right w:val="single" w:sz="4" w:space="4" w:color="auto"/>
        </w:pBdr>
        <w:spacing w:after="60" w:line="240" w:lineRule="auto"/>
        <w:rPr>
          <w:rFonts w:ascii="Palatino Linotype" w:hAnsi="Palatino Linotype"/>
        </w:rPr>
      </w:pPr>
      <w:r w:rsidRPr="00D66245">
        <w:rPr>
          <w:rFonts w:ascii="Palatino Linotype" w:hAnsi="Palatino Linotype"/>
        </w:rPr>
        <w:t xml:space="preserve">1ª ed. San José, C. R.- </w:t>
      </w:r>
      <w:r w:rsidR="006D6B49" w:rsidRPr="00D66245">
        <w:rPr>
          <w:rFonts w:ascii="Palatino Linotype" w:hAnsi="Palatino Linotype"/>
        </w:rPr>
        <w:t>mayo</w:t>
      </w:r>
      <w:r w:rsidRPr="00D66245">
        <w:rPr>
          <w:rFonts w:ascii="Palatino Linotype" w:hAnsi="Palatino Linotype"/>
        </w:rPr>
        <w:t xml:space="preserve"> 201</w:t>
      </w:r>
      <w:r w:rsidR="006D6B49" w:rsidRPr="00D66245">
        <w:rPr>
          <w:rFonts w:ascii="Palatino Linotype" w:hAnsi="Palatino Linotype"/>
        </w:rPr>
        <w:t>9</w:t>
      </w:r>
      <w:r w:rsidRPr="00D66245">
        <w:rPr>
          <w:rFonts w:ascii="Palatino Linotype" w:hAnsi="Palatino Linotype"/>
        </w:rPr>
        <w:t>.</w:t>
      </w:r>
    </w:p>
    <w:p w14:paraId="1614C266" w14:textId="735DAD82" w:rsidR="00F201FE" w:rsidRPr="00D66245" w:rsidRDefault="00376A44" w:rsidP="00F201FE">
      <w:pPr>
        <w:pBdr>
          <w:top w:val="single" w:sz="4" w:space="1" w:color="auto"/>
          <w:left w:val="single" w:sz="4" w:space="4" w:color="auto"/>
          <w:bottom w:val="single" w:sz="4" w:space="1" w:color="auto"/>
          <w:right w:val="single" w:sz="4" w:space="4" w:color="auto"/>
        </w:pBdr>
        <w:spacing w:after="60" w:line="240" w:lineRule="auto"/>
        <w:rPr>
          <w:rFonts w:ascii="Palatino Linotype" w:hAnsi="Palatino Linotype"/>
        </w:rPr>
      </w:pPr>
      <w:r w:rsidRPr="00D66245">
        <w:rPr>
          <w:rFonts w:ascii="Palatino Linotype" w:hAnsi="Palatino Linotype"/>
        </w:rPr>
        <w:t>694</w:t>
      </w:r>
      <w:r w:rsidR="00F201FE" w:rsidRPr="00D66245">
        <w:rPr>
          <w:rFonts w:ascii="Palatino Linotype" w:hAnsi="Palatino Linotype"/>
        </w:rPr>
        <w:t xml:space="preserve"> p. 21</w:t>
      </w:r>
      <w:r w:rsidR="00F201FE" w:rsidRPr="00D66245">
        <w:rPr>
          <w:rFonts w:ascii="Palatino Linotype" w:hAnsi="Palatino Linotype"/>
          <w:vertAlign w:val="superscript"/>
        </w:rPr>
        <w:t xml:space="preserve"> </w:t>
      </w:r>
      <w:r w:rsidR="00F201FE" w:rsidRPr="00D66245">
        <w:rPr>
          <w:rFonts w:ascii="Palatino Linotype" w:hAnsi="Palatino Linotype"/>
        </w:rPr>
        <w:t>x 14 cm</w:t>
      </w:r>
    </w:p>
    <w:p w14:paraId="3572819F" w14:textId="77777777" w:rsidR="00F201FE" w:rsidRPr="00D66245" w:rsidRDefault="00F201FE" w:rsidP="00F201FE">
      <w:pPr>
        <w:pBdr>
          <w:top w:val="single" w:sz="4" w:space="1" w:color="auto"/>
          <w:left w:val="single" w:sz="4" w:space="4" w:color="auto"/>
          <w:bottom w:val="single" w:sz="4" w:space="1" w:color="auto"/>
          <w:right w:val="single" w:sz="4" w:space="4" w:color="auto"/>
        </w:pBdr>
        <w:spacing w:after="60" w:line="240" w:lineRule="auto"/>
        <w:rPr>
          <w:rFonts w:ascii="Palatino Linotype" w:hAnsi="Palatino Linotype"/>
        </w:rPr>
      </w:pPr>
      <w:r w:rsidRPr="00D66245">
        <w:rPr>
          <w:rFonts w:ascii="Palatino Linotype" w:hAnsi="Palatino Linotype"/>
        </w:rPr>
        <w:t>ISBN  978-9977-13-576-2</w:t>
      </w:r>
    </w:p>
    <w:p w14:paraId="04E37DF1" w14:textId="11868B54" w:rsidR="00F201FE" w:rsidRPr="00D66245" w:rsidRDefault="00F201FE" w:rsidP="00F201FE">
      <w:pPr>
        <w:pBdr>
          <w:top w:val="single" w:sz="4" w:space="1" w:color="auto"/>
          <w:left w:val="single" w:sz="4" w:space="4" w:color="auto"/>
          <w:bottom w:val="single" w:sz="4" w:space="1" w:color="auto"/>
          <w:right w:val="single" w:sz="4" w:space="4" w:color="auto"/>
        </w:pBdr>
        <w:spacing w:after="60" w:line="240" w:lineRule="auto"/>
        <w:rPr>
          <w:rFonts w:ascii="Palatino Linotype" w:hAnsi="Palatino Linotype"/>
        </w:rPr>
      </w:pPr>
      <w:r w:rsidRPr="00D66245">
        <w:rPr>
          <w:rFonts w:ascii="Palatino Linotype" w:hAnsi="Palatino Linotype"/>
        </w:rPr>
        <w:t>1.- Derecho Procesal.  2. Proceso Civil, laboral. 1. Carlos Picado. AA.VV. V. II Título</w:t>
      </w:r>
    </w:p>
    <w:p w14:paraId="483A2A44" w14:textId="77777777" w:rsidR="00F201FE" w:rsidRPr="00D66245" w:rsidRDefault="00F201FE" w:rsidP="00F201FE">
      <w:pPr>
        <w:spacing w:line="240" w:lineRule="auto"/>
        <w:rPr>
          <w:rFonts w:ascii="Palatino Linotype" w:eastAsia="Times New Roman" w:hAnsi="Palatino Linotype" w:cs="Helvetica"/>
          <w:b/>
          <w:color w:val="000000"/>
        </w:rPr>
      </w:pPr>
    </w:p>
    <w:p w14:paraId="7A744E56" w14:textId="77777777" w:rsidR="00F201FE" w:rsidRPr="00D66245" w:rsidRDefault="00F201FE" w:rsidP="00F201FE">
      <w:pPr>
        <w:spacing w:line="240" w:lineRule="auto"/>
        <w:rPr>
          <w:rFonts w:ascii="Palatino Linotype" w:eastAsia="Times New Roman" w:hAnsi="Palatino Linotype" w:cs="Helvetica"/>
          <w:b/>
          <w:color w:val="000000"/>
        </w:rPr>
      </w:pPr>
      <w:r w:rsidRPr="00D66245">
        <w:rPr>
          <w:rFonts w:ascii="Palatino Linotype" w:eastAsia="Times New Roman" w:hAnsi="Palatino Linotype" w:cs="Helvetica"/>
          <w:b/>
          <w:color w:val="000000"/>
        </w:rPr>
        <w:t>Comité Editorial</w:t>
      </w:r>
    </w:p>
    <w:p w14:paraId="5AEE3F10" w14:textId="77777777" w:rsidR="00F201FE" w:rsidRPr="00D66245" w:rsidRDefault="00F201FE" w:rsidP="00F201FE">
      <w:pPr>
        <w:spacing w:after="0" w:line="240" w:lineRule="auto"/>
        <w:rPr>
          <w:rFonts w:ascii="Palatino Linotype" w:eastAsia="Times New Roman" w:hAnsi="Palatino Linotype" w:cs="Helvetica"/>
          <w:color w:val="000000"/>
        </w:rPr>
      </w:pPr>
      <w:r w:rsidRPr="00D66245">
        <w:rPr>
          <w:rFonts w:ascii="Palatino Linotype" w:eastAsia="Times New Roman" w:hAnsi="Palatino Linotype" w:cs="Helvetica"/>
          <w:color w:val="000000"/>
        </w:rPr>
        <w:t>Dr. Enrique Ulate Chacón</w:t>
      </w:r>
    </w:p>
    <w:p w14:paraId="00F6328A" w14:textId="77777777" w:rsidR="00F201FE" w:rsidRPr="00D66245" w:rsidRDefault="00F201FE" w:rsidP="00F201FE">
      <w:pPr>
        <w:spacing w:after="0" w:line="240" w:lineRule="auto"/>
        <w:rPr>
          <w:rFonts w:ascii="Palatino Linotype" w:eastAsia="Times New Roman" w:hAnsi="Palatino Linotype" w:cs="Helvetica"/>
          <w:color w:val="000000"/>
        </w:rPr>
      </w:pPr>
      <w:r w:rsidRPr="00D66245">
        <w:rPr>
          <w:rFonts w:ascii="Palatino Linotype" w:eastAsia="Times New Roman" w:hAnsi="Palatino Linotype" w:cs="Helvetica"/>
          <w:color w:val="000000"/>
        </w:rPr>
        <w:t>Dr. Carlos Picado Vargas</w:t>
      </w:r>
    </w:p>
    <w:p w14:paraId="7FFD96EB" w14:textId="77777777" w:rsidR="00F201FE" w:rsidRPr="00D66245" w:rsidRDefault="00F201FE" w:rsidP="00F201FE">
      <w:pPr>
        <w:spacing w:after="0" w:line="240" w:lineRule="auto"/>
        <w:rPr>
          <w:rFonts w:ascii="Palatino Linotype" w:eastAsia="Times New Roman" w:hAnsi="Palatino Linotype" w:cs="Helvetica"/>
          <w:color w:val="000000"/>
        </w:rPr>
      </w:pPr>
      <w:r w:rsidRPr="00D66245">
        <w:rPr>
          <w:rFonts w:ascii="Palatino Linotype" w:eastAsia="Times New Roman" w:hAnsi="Palatino Linotype" w:cs="Helvetica"/>
          <w:color w:val="000000"/>
        </w:rPr>
        <w:t>Dr. Shirley Víquez Vargas</w:t>
      </w:r>
    </w:p>
    <w:p w14:paraId="3E93BDD1" w14:textId="77777777" w:rsidR="00F201FE" w:rsidRPr="00D66245" w:rsidRDefault="00F201FE" w:rsidP="00F201FE">
      <w:pPr>
        <w:spacing w:after="0" w:line="240" w:lineRule="auto"/>
        <w:rPr>
          <w:rFonts w:ascii="Palatino Linotype" w:eastAsia="Times New Roman" w:hAnsi="Palatino Linotype" w:cs="Helvetica"/>
          <w:color w:val="000000"/>
        </w:rPr>
      </w:pPr>
      <w:r w:rsidRPr="00D66245">
        <w:rPr>
          <w:rFonts w:ascii="Palatino Linotype" w:eastAsia="Times New Roman" w:hAnsi="Palatino Linotype" w:cs="Helvetica"/>
          <w:color w:val="000000"/>
        </w:rPr>
        <w:t>Dr. Álvaro Burgos Mata</w:t>
      </w:r>
    </w:p>
    <w:p w14:paraId="44E5D776" w14:textId="77777777" w:rsidR="00F201FE" w:rsidRPr="00D66245" w:rsidRDefault="00F201FE" w:rsidP="00F201FE">
      <w:pPr>
        <w:spacing w:after="0" w:line="240" w:lineRule="auto"/>
        <w:rPr>
          <w:rFonts w:ascii="Palatino Linotype" w:eastAsia="Times New Roman" w:hAnsi="Palatino Linotype" w:cs="Helvetica"/>
          <w:color w:val="000000"/>
        </w:rPr>
      </w:pPr>
      <w:r w:rsidRPr="00D66245">
        <w:rPr>
          <w:rFonts w:ascii="Palatino Linotype" w:eastAsia="Times New Roman" w:hAnsi="Palatino Linotype" w:cs="Helvetica"/>
          <w:color w:val="000000"/>
        </w:rPr>
        <w:t>Lic. Jonatán Picado León</w:t>
      </w:r>
    </w:p>
    <w:p w14:paraId="4087B038" w14:textId="77777777" w:rsidR="00F201FE" w:rsidRPr="00D66245" w:rsidRDefault="00F201FE" w:rsidP="00F201FE">
      <w:pPr>
        <w:spacing w:line="240" w:lineRule="auto"/>
        <w:rPr>
          <w:rFonts w:ascii="Palatino Linotype" w:eastAsia="Times New Roman" w:hAnsi="Palatino Linotype" w:cs="Helvetica"/>
          <w:b/>
          <w:color w:val="000000"/>
        </w:rPr>
      </w:pPr>
    </w:p>
    <w:p w14:paraId="308032D4" w14:textId="77777777" w:rsidR="00F201FE" w:rsidRPr="00D66245" w:rsidRDefault="00F201FE" w:rsidP="00F201FE">
      <w:pPr>
        <w:spacing w:line="240" w:lineRule="auto"/>
        <w:rPr>
          <w:rFonts w:ascii="Palatino Linotype" w:eastAsia="Times New Roman" w:hAnsi="Palatino Linotype" w:cs="Helvetica"/>
          <w:b/>
          <w:color w:val="000000"/>
        </w:rPr>
      </w:pPr>
      <w:r w:rsidRPr="00D66245">
        <w:rPr>
          <w:rFonts w:ascii="Palatino Linotype" w:eastAsia="Times New Roman" w:hAnsi="Palatino Linotype" w:cs="Helvetica"/>
          <w:b/>
          <w:color w:val="000000"/>
        </w:rPr>
        <w:t>Consejo Editorial</w:t>
      </w:r>
    </w:p>
    <w:p w14:paraId="412ACABA" w14:textId="77777777" w:rsidR="00F201FE" w:rsidRPr="00D66245" w:rsidRDefault="00F201FE" w:rsidP="00F201FE">
      <w:pPr>
        <w:spacing w:after="0" w:line="240" w:lineRule="auto"/>
        <w:rPr>
          <w:rFonts w:ascii="Palatino Linotype" w:eastAsia="Times New Roman" w:hAnsi="Palatino Linotype" w:cs="Helvetica"/>
          <w:color w:val="000000"/>
        </w:rPr>
      </w:pPr>
      <w:r w:rsidRPr="00D66245">
        <w:rPr>
          <w:rFonts w:ascii="Palatino Linotype" w:eastAsia="Times New Roman" w:hAnsi="Palatino Linotype" w:cs="Helvetica"/>
          <w:color w:val="000000"/>
        </w:rPr>
        <w:t>Dr. Ricardo Zeledón Zeledón</w:t>
      </w:r>
    </w:p>
    <w:p w14:paraId="21B02800" w14:textId="77777777" w:rsidR="00F201FE" w:rsidRPr="00D66245" w:rsidRDefault="00F201FE" w:rsidP="00F201FE">
      <w:pPr>
        <w:spacing w:after="0" w:line="240" w:lineRule="auto"/>
        <w:rPr>
          <w:rFonts w:ascii="Palatino Linotype" w:eastAsia="Times New Roman" w:hAnsi="Palatino Linotype" w:cs="Helvetica"/>
          <w:color w:val="000000"/>
        </w:rPr>
      </w:pPr>
      <w:r w:rsidRPr="00D66245">
        <w:rPr>
          <w:rFonts w:ascii="Palatino Linotype" w:eastAsia="Times New Roman" w:hAnsi="Palatino Linotype" w:cs="Helvetica"/>
          <w:color w:val="000000"/>
        </w:rPr>
        <w:t>Msc. Luis Ortíz Zamora</w:t>
      </w:r>
    </w:p>
    <w:p w14:paraId="7DFB4716" w14:textId="77777777" w:rsidR="00F201FE" w:rsidRPr="00D66245" w:rsidRDefault="00F201FE" w:rsidP="00F201FE">
      <w:pPr>
        <w:spacing w:after="0" w:line="240" w:lineRule="auto"/>
        <w:rPr>
          <w:rFonts w:ascii="Palatino Linotype" w:eastAsia="Times New Roman" w:hAnsi="Palatino Linotype" w:cs="Helvetica"/>
          <w:color w:val="000000"/>
        </w:rPr>
      </w:pPr>
      <w:r w:rsidRPr="00D66245">
        <w:rPr>
          <w:rFonts w:ascii="Palatino Linotype" w:eastAsia="Times New Roman" w:hAnsi="Palatino Linotype" w:cs="Helvetica"/>
          <w:color w:val="000000"/>
        </w:rPr>
        <w:t>Msc. Herman Duarte</w:t>
      </w:r>
    </w:p>
    <w:p w14:paraId="2BE314F3" w14:textId="77777777" w:rsidR="00F201FE" w:rsidRPr="00D66245" w:rsidRDefault="00F201FE" w:rsidP="00F201FE">
      <w:pPr>
        <w:spacing w:after="0" w:line="240" w:lineRule="auto"/>
        <w:rPr>
          <w:rFonts w:ascii="Palatino Linotype" w:eastAsia="Times New Roman" w:hAnsi="Palatino Linotype" w:cs="Helvetica"/>
          <w:color w:val="000000"/>
        </w:rPr>
      </w:pPr>
      <w:r w:rsidRPr="00D66245">
        <w:rPr>
          <w:rFonts w:ascii="Palatino Linotype" w:eastAsia="Times New Roman" w:hAnsi="Palatino Linotype" w:cs="Helvetica"/>
          <w:color w:val="000000"/>
        </w:rPr>
        <w:t>Dr. Herman Mora</w:t>
      </w:r>
    </w:p>
    <w:p w14:paraId="41A76ECA" w14:textId="77777777" w:rsidR="00F201FE" w:rsidRPr="00D66245" w:rsidRDefault="00F201FE" w:rsidP="003920ED">
      <w:pPr>
        <w:tabs>
          <w:tab w:val="left" w:pos="2694"/>
        </w:tabs>
        <w:spacing w:after="0" w:line="240" w:lineRule="auto"/>
        <w:rPr>
          <w:rFonts w:ascii="Palatino Linotype" w:eastAsia="Times New Roman" w:hAnsi="Palatino Linotype" w:cs="Helvetica"/>
          <w:color w:val="000000"/>
        </w:rPr>
      </w:pPr>
      <w:r w:rsidRPr="00D66245">
        <w:rPr>
          <w:rFonts w:ascii="Palatino Linotype" w:eastAsia="Times New Roman" w:hAnsi="Palatino Linotype" w:cs="Helvetica"/>
          <w:color w:val="000000"/>
        </w:rPr>
        <w:t>Dr. Juan Marcos Rivero Sánchez</w:t>
      </w:r>
    </w:p>
    <w:p w14:paraId="4F522448" w14:textId="77777777" w:rsidR="00F201FE" w:rsidRPr="00D66245" w:rsidRDefault="00F201FE" w:rsidP="00F201FE">
      <w:pPr>
        <w:spacing w:after="0" w:line="240" w:lineRule="auto"/>
        <w:rPr>
          <w:rFonts w:ascii="Palatino Linotype" w:eastAsia="Times New Roman" w:hAnsi="Palatino Linotype" w:cs="Helvetica"/>
          <w:color w:val="000000"/>
        </w:rPr>
      </w:pPr>
      <w:r w:rsidRPr="00D66245">
        <w:rPr>
          <w:rFonts w:ascii="Palatino Linotype" w:eastAsia="Times New Roman" w:hAnsi="Palatino Linotype" w:cs="Helvetica"/>
          <w:color w:val="000000"/>
        </w:rPr>
        <w:t>Dr. Carlos Picado Vargas</w:t>
      </w:r>
    </w:p>
    <w:p w14:paraId="1D46C363" w14:textId="77777777" w:rsidR="00F201FE" w:rsidRPr="00D66245" w:rsidRDefault="00F201FE" w:rsidP="00F201FE">
      <w:pPr>
        <w:spacing w:after="0" w:line="240" w:lineRule="auto"/>
        <w:rPr>
          <w:rFonts w:ascii="Palatino Linotype" w:eastAsia="Times New Roman" w:hAnsi="Palatino Linotype" w:cs="Helvetica"/>
          <w:color w:val="000000"/>
        </w:rPr>
      </w:pPr>
      <w:r w:rsidRPr="00D66245">
        <w:rPr>
          <w:rFonts w:ascii="Palatino Linotype" w:eastAsia="Times New Roman" w:hAnsi="Palatino Linotype" w:cs="Helvetica"/>
          <w:color w:val="000000"/>
        </w:rPr>
        <w:t>Dr. Sergio Artavia Barrantes</w:t>
      </w:r>
    </w:p>
    <w:p w14:paraId="3EC26FA7" w14:textId="77777777" w:rsidR="00F201FE" w:rsidRPr="00D66245" w:rsidRDefault="00F201FE" w:rsidP="00F201FE">
      <w:pPr>
        <w:rPr>
          <w:rFonts w:ascii="Palatino Linotype" w:eastAsia="Times New Roman" w:hAnsi="Palatino Linotype" w:cs="Helvetica"/>
        </w:rPr>
      </w:pPr>
    </w:p>
    <w:p w14:paraId="38CAAA67" w14:textId="39718BC2" w:rsidR="00F201FE" w:rsidRPr="00D66245" w:rsidRDefault="00F201FE" w:rsidP="00F201FE">
      <w:pPr>
        <w:spacing w:after="0" w:line="240" w:lineRule="auto"/>
        <w:rPr>
          <w:rFonts w:ascii="Palatino Linotype" w:eastAsia="Times New Roman" w:hAnsi="Palatino Linotype" w:cs="Helvetica"/>
        </w:rPr>
      </w:pPr>
      <w:r w:rsidRPr="00D66245">
        <w:rPr>
          <w:rFonts w:ascii="Palatino Linotype" w:eastAsia="Times New Roman" w:hAnsi="Palatino Linotype" w:cs="Helvetica"/>
        </w:rPr>
        <w:t xml:space="preserve">Instituto Costarricense de Derecho Procesal Científico. </w:t>
      </w:r>
      <w:r w:rsidRPr="00D66245">
        <w:rPr>
          <w:rFonts w:ascii="Palatino Linotype" w:eastAsia="Times New Roman" w:hAnsi="Palatino Linotype" w:cs="Helvetica"/>
          <w:lang w:val="en-US"/>
        </w:rPr>
        <w:t xml:space="preserve">Telf. 2234-0728. Fax. 2253-5657.  </w:t>
      </w:r>
      <w:hyperlink r:id="rId13" w:history="1">
        <w:r w:rsidRPr="00D66245">
          <w:rPr>
            <w:rStyle w:val="Hipervnculo"/>
            <w:rFonts w:ascii="Palatino Linotype" w:eastAsia="Times New Roman" w:hAnsi="Palatino Linotype" w:cs="Helvetica"/>
            <w:lang w:val="en-US"/>
          </w:rPr>
          <w:t>www.institutocdp.org</w:t>
        </w:r>
      </w:hyperlink>
      <w:r w:rsidRPr="00D66245">
        <w:rPr>
          <w:rFonts w:ascii="Palatino Linotype" w:eastAsia="Times New Roman" w:hAnsi="Palatino Linotype" w:cs="Helvetica"/>
          <w:lang w:val="en-US"/>
        </w:rPr>
        <w:t xml:space="preserve">.  </w:t>
      </w:r>
      <w:hyperlink r:id="rId14" w:history="1">
        <w:r w:rsidRPr="00D66245">
          <w:rPr>
            <w:rStyle w:val="Hipervnculo"/>
            <w:rFonts w:ascii="Palatino Linotype" w:eastAsia="Times New Roman" w:hAnsi="Palatino Linotype" w:cs="Helvetica"/>
          </w:rPr>
          <w:t>info@institutocdp.org</w:t>
        </w:r>
      </w:hyperlink>
      <w:r w:rsidRPr="00D66245">
        <w:rPr>
          <w:rFonts w:ascii="Palatino Linotype" w:eastAsia="Times New Roman" w:hAnsi="Palatino Linotype" w:cs="Helvetica"/>
        </w:rPr>
        <w:t xml:space="preserve">. </w:t>
      </w:r>
    </w:p>
    <w:p w14:paraId="51F7FEF8" w14:textId="540B6CBD" w:rsidR="00F201FE" w:rsidRPr="00D66245" w:rsidRDefault="00F201FE" w:rsidP="00F201FE">
      <w:pPr>
        <w:spacing w:after="240" w:line="240" w:lineRule="auto"/>
        <w:rPr>
          <w:rStyle w:val="Hipervnculo"/>
          <w:rFonts w:ascii="Palatino Linotype" w:eastAsia="Times New Roman" w:hAnsi="Palatino Linotype" w:cs="Helvetica"/>
        </w:rPr>
        <w:sectPr w:rsidR="00F201FE" w:rsidRPr="00D66245" w:rsidSect="00BA1B42">
          <w:type w:val="nextColumn"/>
          <w:pgSz w:w="12242" w:h="15842" w:code="1"/>
          <w:pgMar w:top="1474" w:right="2098" w:bottom="1021" w:left="2778" w:header="851" w:footer="2835" w:gutter="0"/>
          <w:cols w:space="708"/>
          <w:titlePg/>
          <w:docGrid w:linePitch="360"/>
        </w:sectPr>
      </w:pPr>
      <w:r w:rsidRPr="00D66245">
        <w:rPr>
          <w:rFonts w:ascii="Palatino Linotype" w:eastAsia="Times New Roman" w:hAnsi="Palatino Linotype" w:cs="Helvetica"/>
        </w:rPr>
        <w:t xml:space="preserve">Editorial Jurídica Faro. Telf. 2234-0233.  </w:t>
      </w:r>
      <w:hyperlink r:id="rId15" w:history="1">
        <w:r w:rsidRPr="00D66245">
          <w:rPr>
            <w:rStyle w:val="Hipervnculo"/>
            <w:rFonts w:ascii="Palatino Linotype" w:eastAsia="Times New Roman" w:hAnsi="Palatino Linotype" w:cs="Helvetica"/>
          </w:rPr>
          <w:t>www.editorialfaro.com</w:t>
        </w:r>
      </w:hyperlink>
    </w:p>
    <w:p w14:paraId="31FD49DC" w14:textId="77777777" w:rsidR="00F201FE" w:rsidRPr="00D66245" w:rsidRDefault="00F201FE" w:rsidP="00F201FE">
      <w:pPr>
        <w:spacing w:after="240" w:line="240" w:lineRule="auto"/>
        <w:jc w:val="center"/>
        <w:rPr>
          <w:rFonts w:ascii="Palatino Linotype" w:hAnsi="Palatino Linotype"/>
          <w:b/>
        </w:rPr>
      </w:pPr>
      <w:r w:rsidRPr="00D66245">
        <w:rPr>
          <w:rFonts w:ascii="Palatino Linotype" w:hAnsi="Palatino Linotype"/>
          <w:b/>
        </w:rPr>
        <w:lastRenderedPageBreak/>
        <w:t>INTRODUCCIÓN</w:t>
      </w:r>
    </w:p>
    <w:p w14:paraId="76DA834D" w14:textId="77777777" w:rsidR="007A59FF" w:rsidRPr="00D66245" w:rsidRDefault="00376A44" w:rsidP="0043335E">
      <w:pPr>
        <w:spacing w:after="0" w:line="240" w:lineRule="auto"/>
        <w:jc w:val="both"/>
        <w:rPr>
          <w:rFonts w:ascii="Palatino Linotype" w:hAnsi="Palatino Linotype"/>
        </w:rPr>
      </w:pPr>
      <w:r w:rsidRPr="00D66245">
        <w:rPr>
          <w:rFonts w:ascii="Palatino Linotype" w:hAnsi="Palatino Linotype"/>
          <w:b/>
        </w:rPr>
        <w:tab/>
      </w:r>
      <w:r w:rsidRPr="00D66245">
        <w:rPr>
          <w:rFonts w:ascii="Palatino Linotype" w:hAnsi="Palatino Linotype"/>
        </w:rPr>
        <w:t>E</w:t>
      </w:r>
      <w:r w:rsidR="009D23EC" w:rsidRPr="00D66245">
        <w:rPr>
          <w:rFonts w:ascii="Palatino Linotype" w:hAnsi="Palatino Linotype"/>
        </w:rPr>
        <w:t xml:space="preserve">l </w:t>
      </w:r>
      <w:r w:rsidRPr="00D66245">
        <w:rPr>
          <w:rFonts w:ascii="Palatino Linotype" w:hAnsi="Palatino Linotype"/>
        </w:rPr>
        <w:t>año transcurrido, desde la celebración del anterior Congreso</w:t>
      </w:r>
      <w:r w:rsidR="009D23EC" w:rsidRPr="00D66245">
        <w:rPr>
          <w:rFonts w:ascii="Palatino Linotype" w:hAnsi="Palatino Linotype"/>
        </w:rPr>
        <w:t>,</w:t>
      </w:r>
      <w:r w:rsidRPr="00D66245">
        <w:rPr>
          <w:rFonts w:ascii="Palatino Linotype" w:hAnsi="Palatino Linotype"/>
        </w:rPr>
        <w:t xml:space="preserve"> de nuestro Instituto y el IX, entró a regir el nuevo Código Procesal Civil -obtubre 2018- y se promulgó el Código Procesal Agrario</w:t>
      </w:r>
      <w:r w:rsidR="003259DA" w:rsidRPr="00D66245">
        <w:rPr>
          <w:rFonts w:ascii="Palatino Linotype" w:hAnsi="Palatino Linotype"/>
        </w:rPr>
        <w:t xml:space="preserve">, el 27 de febrero de este año 2019. Con estos dos Códigos se completa lo que podríamos llamar la Gran Reforma Procesal, pues en el 2008 entró a regir el Procesal Contencioso Administrativo y en julio del 2016 la gran Reforma Procesal Laboral.  </w:t>
      </w:r>
    </w:p>
    <w:p w14:paraId="216979F0" w14:textId="77777777" w:rsidR="007A59FF" w:rsidRPr="00D66245" w:rsidRDefault="003259DA" w:rsidP="0043335E">
      <w:pPr>
        <w:spacing w:after="0" w:line="240" w:lineRule="auto"/>
        <w:ind w:firstLine="708"/>
        <w:jc w:val="both"/>
        <w:rPr>
          <w:rFonts w:ascii="Palatino Linotype" w:hAnsi="Palatino Linotype"/>
        </w:rPr>
      </w:pPr>
      <w:r w:rsidRPr="00D66245">
        <w:rPr>
          <w:rFonts w:ascii="Palatino Linotype" w:hAnsi="Palatino Linotype"/>
        </w:rPr>
        <w:t xml:space="preserve">Bajo la égida del </w:t>
      </w:r>
      <w:r w:rsidR="003A0E3F" w:rsidRPr="00D66245">
        <w:rPr>
          <w:rFonts w:ascii="Palatino Linotype" w:hAnsi="Palatino Linotype"/>
        </w:rPr>
        <w:t xml:space="preserve">maestro y entonces magistrado Ricardo Zeledón, se pretendió promulgar un solo Código Procesal, que rigiera todas las materias.  El anhelo del Dr. Zeledón, que pretendía “Salvar la Justicia”, no se cumplió, pero la semilla que él cultivo siempre rindió sus frutos. </w:t>
      </w:r>
      <w:r w:rsidR="00EF6CD5" w:rsidRPr="00D66245">
        <w:rPr>
          <w:rFonts w:ascii="Palatino Linotype" w:hAnsi="Palatino Linotype"/>
        </w:rPr>
        <w:t xml:space="preserve"> Aunque se hayan aprobado de manera separada y en un prolongado plazo de 10 años, 4 Códigos Procesales</w:t>
      </w:r>
      <w:r w:rsidR="007A59FF" w:rsidRPr="00D66245">
        <w:rPr>
          <w:rFonts w:ascii="Palatino Linotype" w:hAnsi="Palatino Linotype"/>
        </w:rPr>
        <w:t>,</w:t>
      </w:r>
      <w:r w:rsidR="00EF6CD5" w:rsidRPr="00D66245">
        <w:rPr>
          <w:rFonts w:ascii="Palatino Linotype" w:hAnsi="Palatino Linotype"/>
        </w:rPr>
        <w:t xml:space="preserve"> no impidió que la esencia de aquella justicia que él pregonaba, como ideal de juventud, que con todas fuerzas se pretende emprender una lucha, hoy es una realidad.  </w:t>
      </w:r>
    </w:p>
    <w:p w14:paraId="7B3775E3" w14:textId="7AD1B00F" w:rsidR="00197EC1" w:rsidRPr="00D66245" w:rsidRDefault="00EF6CD5" w:rsidP="0043335E">
      <w:pPr>
        <w:spacing w:after="0" w:line="240" w:lineRule="auto"/>
        <w:ind w:firstLine="708"/>
        <w:jc w:val="both"/>
        <w:rPr>
          <w:rFonts w:ascii="Palatino Linotype" w:hAnsi="Palatino Linotype"/>
        </w:rPr>
      </w:pPr>
      <w:r w:rsidRPr="00D66245">
        <w:rPr>
          <w:rFonts w:ascii="Palatino Linotype" w:hAnsi="Palatino Linotype"/>
        </w:rPr>
        <w:t>Como los hijos</w:t>
      </w:r>
      <w:r w:rsidR="00FA1B58" w:rsidRPr="00D66245">
        <w:rPr>
          <w:rFonts w:ascii="Palatino Linotype" w:hAnsi="Palatino Linotype"/>
        </w:rPr>
        <w:t>, cada uno siguió un camino separado, para forjar sus propios ideales, a pesar de ello, se mantuvieron unido</w:t>
      </w:r>
      <w:r w:rsidR="007A59FF" w:rsidRPr="00D66245">
        <w:rPr>
          <w:rFonts w:ascii="Palatino Linotype" w:hAnsi="Palatino Linotype"/>
        </w:rPr>
        <w:t>s</w:t>
      </w:r>
      <w:r w:rsidR="00FA1B58" w:rsidRPr="00D66245">
        <w:rPr>
          <w:rFonts w:ascii="Palatino Linotype" w:hAnsi="Palatino Linotype"/>
        </w:rPr>
        <w:t xml:space="preserve">, como una familia, fiel al origen histórico que los vio nacer.  Claro que existen marcadas diferencias entre los 4 Códigos, pero si observamos la esencia, la sangre y el espíritu de todos ellos, los 4 cumplieron con creces el ideal de la madre y el padre, que </w:t>
      </w:r>
      <w:r w:rsidR="007A59FF" w:rsidRPr="00D66245">
        <w:rPr>
          <w:rFonts w:ascii="Palatino Linotype" w:hAnsi="Palatino Linotype"/>
        </w:rPr>
        <w:t xml:space="preserve">un día con tristeza </w:t>
      </w:r>
      <w:r w:rsidR="00FA1B58" w:rsidRPr="00D66245">
        <w:rPr>
          <w:rFonts w:ascii="Palatino Linotype" w:hAnsi="Palatino Linotype"/>
        </w:rPr>
        <w:t xml:space="preserve">vio partir a sus hijos, pero que ahora los ve reunidos </w:t>
      </w:r>
      <w:r w:rsidR="00197EC1" w:rsidRPr="00D66245">
        <w:rPr>
          <w:rFonts w:ascii="Palatino Linotype" w:hAnsi="Palatino Linotype"/>
        </w:rPr>
        <w:t>y conviviendo bajo una misma llama, aquella que inspiró el fuego de las luchas de don Ricardo Zeledón y con quien emprendimos, en 1999 el anhelado sueño.</w:t>
      </w:r>
    </w:p>
    <w:p w14:paraId="0ADE8950" w14:textId="77777777" w:rsidR="0043335E" w:rsidRPr="00D66245" w:rsidRDefault="00197EC1" w:rsidP="0043335E">
      <w:pPr>
        <w:spacing w:after="0" w:line="240" w:lineRule="auto"/>
        <w:jc w:val="both"/>
        <w:rPr>
          <w:rFonts w:ascii="Palatino Linotype" w:hAnsi="Palatino Linotype"/>
        </w:rPr>
      </w:pPr>
      <w:r w:rsidRPr="00D66245">
        <w:rPr>
          <w:rFonts w:ascii="Palatino Linotype" w:hAnsi="Palatino Linotype"/>
        </w:rPr>
        <w:tab/>
      </w:r>
      <w:r w:rsidR="00F807E7" w:rsidRPr="00D66245">
        <w:rPr>
          <w:rFonts w:ascii="Palatino Linotype" w:hAnsi="Palatino Linotype"/>
        </w:rPr>
        <w:t xml:space="preserve">El Gran Refomador, no se conformó con despertar </w:t>
      </w:r>
      <w:r w:rsidR="007A59FF" w:rsidRPr="00D66245">
        <w:rPr>
          <w:rFonts w:ascii="Palatino Linotype" w:hAnsi="Palatino Linotype"/>
        </w:rPr>
        <w:t xml:space="preserve">la conciencia de </w:t>
      </w:r>
      <w:r w:rsidR="00F807E7" w:rsidRPr="00D66245">
        <w:rPr>
          <w:rFonts w:ascii="Palatino Linotype" w:hAnsi="Palatino Linotype"/>
        </w:rPr>
        <w:t xml:space="preserve">una pléyade de juristas, sino que habló, construyó una ciencia, crió un “rebaño”, luchó con tenacidad, apoyado por esos ideales </w:t>
      </w:r>
      <w:r w:rsidR="007A59FF" w:rsidRPr="00D66245">
        <w:rPr>
          <w:rFonts w:ascii="Palatino Linotype" w:hAnsi="Palatino Linotype"/>
        </w:rPr>
        <w:t xml:space="preserve">por </w:t>
      </w:r>
      <w:r w:rsidR="00F807E7" w:rsidRPr="00D66245">
        <w:rPr>
          <w:rFonts w:ascii="Palatino Linotype" w:hAnsi="Palatino Linotype"/>
        </w:rPr>
        <w:t>un grupo de procesalistas</w:t>
      </w:r>
      <w:r w:rsidR="00F71A18" w:rsidRPr="00D66245">
        <w:rPr>
          <w:rFonts w:ascii="Palatino Linotype" w:hAnsi="Palatino Linotype"/>
        </w:rPr>
        <w:t xml:space="preserve">. Creo la conciencia.  </w:t>
      </w:r>
    </w:p>
    <w:p w14:paraId="34BD64A5" w14:textId="6735543C" w:rsidR="0043335E" w:rsidRPr="00D66245" w:rsidRDefault="00F71A18" w:rsidP="0043335E">
      <w:pPr>
        <w:spacing w:after="0" w:line="240" w:lineRule="auto"/>
        <w:ind w:firstLine="708"/>
        <w:jc w:val="both"/>
        <w:rPr>
          <w:rFonts w:ascii="Palatino Linotype" w:hAnsi="Palatino Linotype"/>
        </w:rPr>
      </w:pPr>
      <w:r w:rsidRPr="00D66245">
        <w:rPr>
          <w:rFonts w:ascii="Palatino Linotype" w:hAnsi="Palatino Linotype"/>
        </w:rPr>
        <w:t>Hombre fuerte</w:t>
      </w:r>
      <w:r w:rsidR="007364FC" w:rsidRPr="00D66245">
        <w:rPr>
          <w:rFonts w:ascii="Palatino Linotype" w:hAnsi="Palatino Linotype"/>
        </w:rPr>
        <w:t xml:space="preserve">, </w:t>
      </w:r>
      <w:r w:rsidR="0043335E" w:rsidRPr="00D66245">
        <w:rPr>
          <w:rFonts w:ascii="Palatino Linotype" w:hAnsi="Palatino Linotype"/>
        </w:rPr>
        <w:t>sabio,</w:t>
      </w:r>
      <w:r w:rsidR="007364FC" w:rsidRPr="00D66245">
        <w:rPr>
          <w:rFonts w:ascii="Palatino Linotype" w:hAnsi="Palatino Linotype"/>
        </w:rPr>
        <w:t xml:space="preserve"> hombre de convicción, </w:t>
      </w:r>
      <w:r w:rsidRPr="00D66245">
        <w:rPr>
          <w:rFonts w:ascii="Palatino Linotype" w:hAnsi="Palatino Linotype"/>
        </w:rPr>
        <w:t xml:space="preserve">que desafió el conformismo de un procesalismo inerte, anclado en el tiempo.  Estos ensayos es fruto de ese despertar.  </w:t>
      </w:r>
    </w:p>
    <w:p w14:paraId="46CE155F" w14:textId="01B63EEA" w:rsidR="007364FC" w:rsidRDefault="007364FC" w:rsidP="00BA1B42">
      <w:pPr>
        <w:spacing w:after="0" w:line="240" w:lineRule="auto"/>
        <w:jc w:val="both"/>
        <w:rPr>
          <w:rFonts w:ascii="Palatino Linotype" w:hAnsi="Palatino Linotype"/>
        </w:rPr>
      </w:pPr>
      <w:r w:rsidRPr="00D66245">
        <w:rPr>
          <w:rFonts w:ascii="Palatino Linotype" w:hAnsi="Palatino Linotype"/>
        </w:rPr>
        <w:tab/>
        <w:t xml:space="preserve">A pesar de su enfermedad, que lo postró en una cama, él siguió luchando y ya en los albores de su retiro de la Corte y </w:t>
      </w:r>
      <w:r w:rsidR="00B14C3D" w:rsidRPr="00D66245">
        <w:rPr>
          <w:rFonts w:ascii="Palatino Linotype" w:hAnsi="Palatino Linotype"/>
        </w:rPr>
        <w:t xml:space="preserve">el umbral de esa dolorosa aflicción, se mantuvo valiente, guerrero y mantuvo la fe en que el cambio se produciría.  Había perdido muchas de sus facultades físicas, pero </w:t>
      </w:r>
      <w:r w:rsidR="00B14C3D" w:rsidRPr="00D66245">
        <w:rPr>
          <w:rFonts w:ascii="Palatino Linotype" w:hAnsi="Palatino Linotype"/>
        </w:rPr>
        <w:lastRenderedPageBreak/>
        <w:t>su inteligencia brillaba</w:t>
      </w:r>
      <w:r w:rsidR="00904188" w:rsidRPr="00D66245">
        <w:rPr>
          <w:rFonts w:ascii="Palatino Linotype" w:hAnsi="Palatino Linotype"/>
        </w:rPr>
        <w:t xml:space="preserve"> y finalmente logramos presentar la primera versión del Proyecto del Código Procesal Civil, del que se inspiraron otras ramas.  </w:t>
      </w:r>
    </w:p>
    <w:p w14:paraId="479847B6" w14:textId="3803ED82" w:rsidR="00BA1B42" w:rsidRDefault="00BA1B42" w:rsidP="00BA1B42">
      <w:pPr>
        <w:spacing w:after="0" w:line="240" w:lineRule="auto"/>
        <w:jc w:val="both"/>
        <w:rPr>
          <w:rFonts w:ascii="Palatino Linotype" w:hAnsi="Palatino Linotype"/>
        </w:rPr>
      </w:pPr>
    </w:p>
    <w:p w14:paraId="09BB5D49" w14:textId="77777777" w:rsidR="00BA1B42" w:rsidRPr="00D66245" w:rsidRDefault="00BA1B42" w:rsidP="00BA1B42">
      <w:pPr>
        <w:spacing w:after="0" w:line="240" w:lineRule="auto"/>
        <w:jc w:val="both"/>
        <w:rPr>
          <w:rFonts w:ascii="Palatino Linotype" w:hAnsi="Palatino Linotype"/>
        </w:rPr>
      </w:pPr>
    </w:p>
    <w:p w14:paraId="2283605B" w14:textId="2514454C" w:rsidR="009D23EC" w:rsidRPr="00D66245" w:rsidRDefault="009D23EC" w:rsidP="0043335E">
      <w:pPr>
        <w:spacing w:after="0" w:line="240" w:lineRule="auto"/>
        <w:ind w:left="567" w:right="567"/>
        <w:jc w:val="both"/>
        <w:rPr>
          <w:rFonts w:ascii="Palatino Linotype" w:hAnsi="Palatino Linotype"/>
        </w:rPr>
      </w:pPr>
    </w:p>
    <w:p w14:paraId="15B33DF8" w14:textId="729563A7" w:rsidR="009D23EC" w:rsidRPr="00D66245" w:rsidRDefault="009D23EC" w:rsidP="0043335E">
      <w:pPr>
        <w:spacing w:after="0" w:line="240" w:lineRule="auto"/>
        <w:ind w:left="567" w:right="567"/>
        <w:jc w:val="both"/>
        <w:rPr>
          <w:rFonts w:ascii="Palatino Linotype" w:hAnsi="Palatino Linotype"/>
        </w:rPr>
      </w:pPr>
      <w:r w:rsidRPr="00D66245">
        <w:rPr>
          <w:rFonts w:ascii="Palatino Linotype" w:hAnsi="Palatino Linotype"/>
        </w:rPr>
        <w:tab/>
      </w:r>
      <w:r w:rsidRPr="00D66245">
        <w:rPr>
          <w:rFonts w:ascii="Palatino Linotype" w:hAnsi="Palatino Linotype"/>
        </w:rPr>
        <w:tab/>
      </w:r>
      <w:r w:rsidRPr="00D66245">
        <w:rPr>
          <w:rFonts w:ascii="Palatino Linotype" w:hAnsi="Palatino Linotype"/>
        </w:rPr>
        <w:tab/>
      </w:r>
      <w:r w:rsidRPr="00D66245">
        <w:rPr>
          <w:rFonts w:ascii="Palatino Linotype" w:hAnsi="Palatino Linotype"/>
        </w:rPr>
        <w:tab/>
      </w:r>
      <w:r w:rsidRPr="00D66245">
        <w:rPr>
          <w:rFonts w:ascii="Palatino Linotype" w:hAnsi="Palatino Linotype"/>
        </w:rPr>
        <w:tab/>
      </w:r>
      <w:r w:rsidRPr="00D66245">
        <w:rPr>
          <w:rFonts w:ascii="Palatino Linotype" w:hAnsi="Palatino Linotype"/>
        </w:rPr>
        <w:tab/>
        <w:t>Sergio Artavia B.</w:t>
      </w:r>
    </w:p>
    <w:p w14:paraId="681CEBBC" w14:textId="0F3155EC" w:rsidR="009D23EC" w:rsidRPr="00D66245" w:rsidRDefault="009D23EC" w:rsidP="0043335E">
      <w:pPr>
        <w:spacing w:after="0" w:line="240" w:lineRule="auto"/>
        <w:ind w:left="567" w:right="567"/>
        <w:jc w:val="both"/>
        <w:rPr>
          <w:rFonts w:ascii="Palatino Linotype" w:hAnsi="Palatino Linotype"/>
        </w:rPr>
      </w:pPr>
      <w:r w:rsidRPr="00D66245">
        <w:rPr>
          <w:rFonts w:ascii="Palatino Linotype" w:hAnsi="Palatino Linotype"/>
        </w:rPr>
        <w:tab/>
      </w:r>
      <w:r w:rsidRPr="00D66245">
        <w:rPr>
          <w:rFonts w:ascii="Palatino Linotype" w:hAnsi="Palatino Linotype"/>
        </w:rPr>
        <w:tab/>
        <w:t>Presidente Instituto Costarricense de Derecho Procesal</w:t>
      </w:r>
    </w:p>
    <w:p w14:paraId="679EB4E2" w14:textId="56FFDE56" w:rsidR="009D23EC" w:rsidRDefault="009D23EC" w:rsidP="00FD1491">
      <w:pPr>
        <w:spacing w:after="240" w:line="240" w:lineRule="auto"/>
        <w:ind w:left="567" w:right="567"/>
        <w:jc w:val="both"/>
        <w:rPr>
          <w:rFonts w:ascii="Palatino Linotype" w:hAnsi="Palatino Linotype"/>
        </w:rPr>
      </w:pPr>
      <w:r w:rsidRPr="00D66245">
        <w:rPr>
          <w:rFonts w:ascii="Palatino Linotype" w:hAnsi="Palatino Linotype"/>
        </w:rPr>
        <w:tab/>
      </w:r>
      <w:r w:rsidRPr="00D66245">
        <w:rPr>
          <w:rFonts w:ascii="Palatino Linotype" w:hAnsi="Palatino Linotype"/>
        </w:rPr>
        <w:tab/>
      </w:r>
      <w:r w:rsidRPr="00D66245">
        <w:rPr>
          <w:rFonts w:ascii="Palatino Linotype" w:hAnsi="Palatino Linotype"/>
        </w:rPr>
        <w:tab/>
      </w:r>
      <w:r w:rsidRPr="00D66245">
        <w:rPr>
          <w:rFonts w:ascii="Palatino Linotype" w:hAnsi="Palatino Linotype"/>
        </w:rPr>
        <w:tab/>
      </w:r>
      <w:r w:rsidRPr="00D66245">
        <w:rPr>
          <w:rFonts w:ascii="Palatino Linotype" w:hAnsi="Palatino Linotype"/>
        </w:rPr>
        <w:tab/>
      </w:r>
    </w:p>
    <w:p w14:paraId="16C8EC1E" w14:textId="77777777" w:rsidR="006229D5" w:rsidRDefault="006229D5" w:rsidP="00F201FE">
      <w:pPr>
        <w:spacing w:line="230" w:lineRule="auto"/>
        <w:jc w:val="center"/>
        <w:rPr>
          <w:rFonts w:ascii="Palatino Linotype" w:hAnsi="Palatino Linotype" w:cs="Palatino Linotype"/>
          <w:b/>
          <w:bCs/>
        </w:rPr>
        <w:sectPr w:rsidR="006229D5" w:rsidSect="00BA1B42">
          <w:headerReference w:type="even" r:id="rId16"/>
          <w:headerReference w:type="default" r:id="rId17"/>
          <w:type w:val="nextColumn"/>
          <w:pgSz w:w="12242" w:h="15842" w:code="1"/>
          <w:pgMar w:top="1474" w:right="2098" w:bottom="1021" w:left="2778" w:header="851" w:footer="2835" w:gutter="0"/>
          <w:cols w:space="708"/>
          <w:titlePg/>
          <w:docGrid w:linePitch="360"/>
        </w:sectPr>
      </w:pPr>
    </w:p>
    <w:p w14:paraId="6F9BFC86" w14:textId="0662C915" w:rsidR="00F201FE" w:rsidRPr="00D66245" w:rsidRDefault="00F201FE" w:rsidP="00F201FE">
      <w:pPr>
        <w:spacing w:line="230" w:lineRule="auto"/>
        <w:jc w:val="center"/>
        <w:rPr>
          <w:rFonts w:ascii="Palatino Linotype" w:hAnsi="Palatino Linotype" w:cs="Palatino Linotype"/>
          <w:b/>
          <w:bCs/>
        </w:rPr>
      </w:pPr>
    </w:p>
    <w:p w14:paraId="4E33883B" w14:textId="76105977" w:rsidR="00F201FE" w:rsidRPr="00D66245" w:rsidRDefault="00F201FE" w:rsidP="00F201FE">
      <w:pPr>
        <w:spacing w:line="230" w:lineRule="auto"/>
        <w:jc w:val="center"/>
        <w:rPr>
          <w:rFonts w:ascii="Palatino Linotype" w:hAnsi="Palatino Linotype" w:cs="Palatino Linotype"/>
          <w:b/>
          <w:bCs/>
        </w:rPr>
      </w:pPr>
      <w:r w:rsidRPr="00D66245">
        <w:rPr>
          <w:rFonts w:ascii="Palatino Linotype" w:hAnsi="Palatino Linotype" w:cs="Palatino Linotype"/>
          <w:b/>
          <w:bCs/>
        </w:rPr>
        <w:t>ÍNDICE</w:t>
      </w:r>
    </w:p>
    <w:p w14:paraId="144A6209" w14:textId="7BA50DFD" w:rsidR="00F201FE" w:rsidRPr="00D66245" w:rsidRDefault="006D6B49" w:rsidP="006D6B49">
      <w:pPr>
        <w:tabs>
          <w:tab w:val="right" w:leader="dot" w:pos="7201"/>
        </w:tabs>
        <w:spacing w:line="230" w:lineRule="auto"/>
        <w:jc w:val="center"/>
        <w:rPr>
          <w:rFonts w:ascii="Palatino Linotype" w:eastAsia="Times New Roman" w:hAnsi="Palatino Linotype" w:cs="Times New Roman"/>
          <w:b/>
          <w:spacing w:val="-8"/>
          <w:lang w:val="es-ES_tradnl" w:eastAsia="es-CR"/>
        </w:rPr>
      </w:pPr>
      <w:r w:rsidRPr="00D66245">
        <w:rPr>
          <w:rFonts w:ascii="Palatino Linotype" w:eastAsia="Times New Roman" w:hAnsi="Palatino Linotype" w:cs="Times New Roman"/>
          <w:b/>
          <w:spacing w:val="-8"/>
          <w:lang w:val="es-ES_tradnl" w:eastAsia="es-CR"/>
        </w:rPr>
        <w:t>CAPÍTULO I – MATERIA CIVIL</w:t>
      </w:r>
    </w:p>
    <w:p w14:paraId="7D596D35" w14:textId="1505CC61" w:rsidR="00F201FE" w:rsidRPr="00D66245" w:rsidRDefault="00F201FE" w:rsidP="00F201FE">
      <w:pPr>
        <w:tabs>
          <w:tab w:val="right" w:leader="dot" w:pos="7201"/>
        </w:tabs>
        <w:spacing w:after="0" w:line="230" w:lineRule="auto"/>
        <w:rPr>
          <w:rFonts w:ascii="Palatino Linotype" w:hAnsi="Palatino Linotype" w:cs="Arial"/>
          <w:b/>
        </w:rPr>
      </w:pPr>
      <w:bookmarkStart w:id="2" w:name="_Hlk8680344"/>
      <w:r w:rsidRPr="00D66245">
        <w:rPr>
          <w:rFonts w:ascii="Palatino Linotype" w:hAnsi="Palatino Linotype" w:cs="Arial"/>
          <w:b/>
        </w:rPr>
        <w:t>Arbitraje comercial y Código Porcesal Civil: (In) compatibilidades</w:t>
      </w:r>
    </w:p>
    <w:p w14:paraId="6ABF90BF" w14:textId="44040B96" w:rsidR="00F201FE" w:rsidRPr="00D66245" w:rsidRDefault="00F201FE" w:rsidP="00F201FE">
      <w:pPr>
        <w:tabs>
          <w:tab w:val="right" w:leader="dot" w:pos="9185"/>
        </w:tabs>
        <w:spacing w:after="0" w:line="240" w:lineRule="auto"/>
        <w:rPr>
          <w:rFonts w:ascii="Palatino Linotype" w:eastAsia="Times New Roman" w:hAnsi="Palatino Linotype" w:cs="Arial"/>
          <w:bCs/>
          <w:spacing w:val="-8"/>
          <w:lang w:val="es-MX"/>
        </w:rPr>
      </w:pPr>
      <w:r w:rsidRPr="00D66245">
        <w:rPr>
          <w:rFonts w:ascii="Palatino Linotype" w:eastAsia="Times New Roman" w:hAnsi="Palatino Linotype" w:cs="Times New Roman"/>
          <w:spacing w:val="-8"/>
          <w:lang w:val="es-ES_tradnl" w:eastAsia="es-CR"/>
        </w:rPr>
        <w:t>Mauricio París</w:t>
      </w:r>
      <w:r w:rsidRPr="00D66245">
        <w:rPr>
          <w:rFonts w:ascii="Palatino Linotype" w:eastAsia="Times New Roman" w:hAnsi="Palatino Linotype" w:cs="Arial"/>
          <w:bCs/>
          <w:spacing w:val="-8"/>
          <w:lang w:val="es-MX"/>
        </w:rPr>
        <w:tab/>
      </w:r>
      <w:r w:rsidR="000256DD">
        <w:rPr>
          <w:rFonts w:ascii="Palatino Linotype" w:eastAsia="Times New Roman" w:hAnsi="Palatino Linotype" w:cs="Arial"/>
          <w:bCs/>
          <w:spacing w:val="-8"/>
          <w:lang w:val="es-MX"/>
        </w:rPr>
        <w:t>9</w:t>
      </w:r>
    </w:p>
    <w:p w14:paraId="7A8C584E" w14:textId="77777777" w:rsidR="00CA4299" w:rsidRPr="00D66245" w:rsidRDefault="00CA4299" w:rsidP="00F201FE">
      <w:pPr>
        <w:tabs>
          <w:tab w:val="right" w:leader="dot" w:pos="9185"/>
        </w:tabs>
        <w:spacing w:after="0" w:line="240" w:lineRule="auto"/>
        <w:rPr>
          <w:rFonts w:ascii="Palatino Linotype" w:eastAsia="Times New Roman" w:hAnsi="Palatino Linotype" w:cs="Arial"/>
          <w:b/>
          <w:bCs/>
          <w:spacing w:val="-8"/>
          <w:lang w:val="es-CR"/>
        </w:rPr>
      </w:pPr>
    </w:p>
    <w:p w14:paraId="54D9426C" w14:textId="38A3AF64" w:rsidR="00F201FE" w:rsidRPr="00D66245" w:rsidRDefault="00F201FE" w:rsidP="00F201FE">
      <w:pPr>
        <w:tabs>
          <w:tab w:val="right" w:leader="dot" w:pos="9185"/>
        </w:tabs>
        <w:spacing w:after="0" w:line="240" w:lineRule="auto"/>
        <w:rPr>
          <w:rFonts w:ascii="Palatino Linotype" w:eastAsia="Times New Roman" w:hAnsi="Palatino Linotype" w:cs="Arial"/>
          <w:b/>
          <w:bCs/>
          <w:spacing w:val="-8"/>
          <w:lang w:val="es-CR"/>
        </w:rPr>
      </w:pPr>
      <w:r w:rsidRPr="00D66245">
        <w:rPr>
          <w:rFonts w:ascii="Palatino Linotype" w:eastAsia="Times New Roman" w:hAnsi="Palatino Linotype" w:cs="Arial"/>
          <w:b/>
          <w:bCs/>
          <w:spacing w:val="-8"/>
          <w:lang w:val="es-CR"/>
        </w:rPr>
        <w:t>Storytelling para abogados</w:t>
      </w:r>
    </w:p>
    <w:p w14:paraId="2DD612CF" w14:textId="4D5C796E" w:rsidR="00F201FE" w:rsidRPr="00D66245" w:rsidRDefault="00F201FE" w:rsidP="00F201FE">
      <w:pPr>
        <w:tabs>
          <w:tab w:val="right" w:leader="dot" w:pos="9185"/>
        </w:tabs>
        <w:spacing w:after="0" w:line="240" w:lineRule="auto"/>
        <w:rPr>
          <w:rFonts w:ascii="Palatino Linotype" w:eastAsia="Times New Roman" w:hAnsi="Palatino Linotype" w:cs="Arial"/>
          <w:bCs/>
          <w:spacing w:val="-8"/>
          <w:lang w:val="es-MX"/>
        </w:rPr>
      </w:pPr>
      <w:r w:rsidRPr="00D66245">
        <w:rPr>
          <w:rFonts w:ascii="Palatino Linotype" w:eastAsia="Times New Roman" w:hAnsi="Palatino Linotype" w:cs="Arial"/>
          <w:bCs/>
          <w:spacing w:val="-8"/>
          <w:lang w:val="es-CR"/>
        </w:rPr>
        <w:t>Kendall</w:t>
      </w:r>
      <w:r w:rsidR="00CA4299" w:rsidRPr="00D66245">
        <w:rPr>
          <w:rFonts w:ascii="Palatino Linotype" w:eastAsia="Times New Roman" w:hAnsi="Palatino Linotype" w:cs="Arial"/>
          <w:bCs/>
          <w:spacing w:val="-8"/>
          <w:lang w:val="es-CR"/>
        </w:rPr>
        <w:t xml:space="preserve"> David</w:t>
      </w:r>
      <w:r w:rsidRPr="00D66245">
        <w:rPr>
          <w:rFonts w:ascii="Palatino Linotype" w:eastAsia="Times New Roman" w:hAnsi="Palatino Linotype" w:cs="Arial"/>
          <w:bCs/>
          <w:spacing w:val="-8"/>
          <w:lang w:val="es-CR"/>
        </w:rPr>
        <w:t xml:space="preserve"> </w:t>
      </w:r>
      <w:r w:rsidR="00CA4299" w:rsidRPr="00D66245">
        <w:rPr>
          <w:rFonts w:ascii="Palatino Linotype" w:eastAsia="Times New Roman" w:hAnsi="Palatino Linotype" w:cs="Arial"/>
          <w:bCs/>
          <w:spacing w:val="-8"/>
          <w:lang w:val="es-CR"/>
        </w:rPr>
        <w:t>Ruiz Jiménez</w:t>
      </w:r>
      <w:r w:rsidRPr="00D66245">
        <w:rPr>
          <w:rFonts w:ascii="Palatino Linotype" w:eastAsia="Times New Roman" w:hAnsi="Palatino Linotype" w:cs="Arial"/>
          <w:bCs/>
          <w:spacing w:val="-8"/>
          <w:lang w:val="es-MX"/>
        </w:rPr>
        <w:tab/>
      </w:r>
      <w:r w:rsidR="000256DD">
        <w:rPr>
          <w:rFonts w:ascii="Palatino Linotype" w:eastAsia="Times New Roman" w:hAnsi="Palatino Linotype" w:cs="Arial"/>
          <w:bCs/>
          <w:spacing w:val="-8"/>
          <w:lang w:val="es-MX"/>
        </w:rPr>
        <w:t>39</w:t>
      </w:r>
    </w:p>
    <w:p w14:paraId="089C666B" w14:textId="77777777" w:rsidR="00F201FE" w:rsidRPr="00D66245" w:rsidRDefault="00F201FE" w:rsidP="00F201FE">
      <w:pPr>
        <w:tabs>
          <w:tab w:val="right" w:leader="dot" w:pos="9185"/>
        </w:tabs>
        <w:spacing w:after="0" w:line="240" w:lineRule="auto"/>
        <w:rPr>
          <w:rFonts w:ascii="Palatino Linotype" w:eastAsia="Times New Roman" w:hAnsi="Palatino Linotype" w:cs="Arial"/>
          <w:bCs/>
          <w:spacing w:val="-8"/>
          <w:lang w:val="es-MX"/>
        </w:rPr>
      </w:pPr>
    </w:p>
    <w:p w14:paraId="7311DAD4" w14:textId="7B6DFAA7" w:rsidR="00F201FE" w:rsidRPr="00D66245" w:rsidRDefault="00CA4299" w:rsidP="00F201FE">
      <w:pPr>
        <w:tabs>
          <w:tab w:val="right" w:leader="dot" w:pos="9185"/>
        </w:tabs>
        <w:spacing w:after="0" w:line="240" w:lineRule="auto"/>
        <w:rPr>
          <w:rFonts w:ascii="Palatino Linotype" w:eastAsia="Times New Roman" w:hAnsi="Palatino Linotype" w:cs="Arial"/>
          <w:b/>
          <w:bCs/>
          <w:spacing w:val="-8"/>
          <w:lang w:val="es-MX"/>
        </w:rPr>
      </w:pPr>
      <w:r w:rsidRPr="00D66245">
        <w:rPr>
          <w:rFonts w:ascii="Palatino Linotype" w:eastAsia="Times New Roman" w:hAnsi="Palatino Linotype"/>
          <w:b/>
        </w:rPr>
        <w:t>Nuevas medidas cautelares típicas en el Nuevo Código Procesal Civil </w:t>
      </w:r>
    </w:p>
    <w:p w14:paraId="0F04ED8E" w14:textId="1A97DE2E" w:rsidR="00F201FE" w:rsidRPr="00D66245" w:rsidRDefault="00CA4299" w:rsidP="00F201FE">
      <w:pPr>
        <w:tabs>
          <w:tab w:val="right" w:leader="dot" w:pos="9185"/>
        </w:tabs>
        <w:spacing w:after="0" w:line="240" w:lineRule="auto"/>
        <w:rPr>
          <w:rFonts w:ascii="Palatino Linotype" w:eastAsia="Times New Roman" w:hAnsi="Palatino Linotype" w:cs="Arial"/>
          <w:bCs/>
          <w:spacing w:val="-8"/>
          <w:lang w:val="es-MX"/>
        </w:rPr>
      </w:pPr>
      <w:r w:rsidRPr="00D66245">
        <w:rPr>
          <w:rFonts w:ascii="Palatino Linotype" w:eastAsia="Times New Roman" w:hAnsi="Palatino Linotype" w:cs="Arial"/>
          <w:bCs/>
          <w:spacing w:val="-8"/>
          <w:lang w:val="es-MX"/>
        </w:rPr>
        <w:t>Dr. Carlos Adolfo Picado Vargas</w:t>
      </w:r>
      <w:r w:rsidR="00F201FE" w:rsidRPr="00D66245">
        <w:rPr>
          <w:rFonts w:ascii="Palatino Linotype" w:eastAsia="Times New Roman" w:hAnsi="Palatino Linotype" w:cs="Arial"/>
          <w:bCs/>
          <w:spacing w:val="-8"/>
          <w:lang w:val="es-MX"/>
        </w:rPr>
        <w:tab/>
      </w:r>
      <w:r w:rsidR="000256DD">
        <w:rPr>
          <w:rFonts w:ascii="Palatino Linotype" w:eastAsia="Times New Roman" w:hAnsi="Palatino Linotype" w:cs="Arial"/>
          <w:bCs/>
          <w:spacing w:val="-8"/>
          <w:lang w:val="es-MX"/>
        </w:rPr>
        <w:t>61</w:t>
      </w:r>
    </w:p>
    <w:p w14:paraId="4B1A21D9" w14:textId="77777777" w:rsidR="00F201FE" w:rsidRPr="00D66245" w:rsidRDefault="00F201FE" w:rsidP="00F201FE">
      <w:pPr>
        <w:tabs>
          <w:tab w:val="right" w:leader="dot" w:pos="9185"/>
        </w:tabs>
        <w:spacing w:after="0" w:line="240" w:lineRule="auto"/>
        <w:rPr>
          <w:rFonts w:ascii="Palatino Linotype" w:eastAsia="Times New Roman" w:hAnsi="Palatino Linotype" w:cs="Arial"/>
          <w:bCs/>
          <w:spacing w:val="-8"/>
          <w:lang w:val="es-MX"/>
        </w:rPr>
      </w:pPr>
    </w:p>
    <w:p w14:paraId="449163B0" w14:textId="2B9852E1" w:rsidR="00F201FE" w:rsidRPr="00D66245" w:rsidRDefault="00CA4299" w:rsidP="00F201FE">
      <w:pPr>
        <w:tabs>
          <w:tab w:val="right" w:leader="dot" w:pos="9185"/>
        </w:tabs>
        <w:spacing w:after="0" w:line="240" w:lineRule="auto"/>
        <w:rPr>
          <w:rFonts w:ascii="Palatino Linotype" w:eastAsia="Times New Roman" w:hAnsi="Palatino Linotype" w:cs="Arial"/>
          <w:b/>
          <w:bCs/>
          <w:spacing w:val="-8"/>
          <w:lang w:val="es-MX"/>
        </w:rPr>
      </w:pPr>
      <w:r w:rsidRPr="00D66245">
        <w:rPr>
          <w:rFonts w:ascii="Palatino Linotype" w:eastAsia="Times New Roman" w:hAnsi="Palatino Linotype" w:cs="Arial"/>
          <w:b/>
          <w:bCs/>
          <w:spacing w:val="-8"/>
          <w:lang w:val="es-MX"/>
        </w:rPr>
        <w:t>Impacto del Nuevo Código Procesal Civil en materia de Derecho Comercial</w:t>
      </w:r>
    </w:p>
    <w:p w14:paraId="18AA3952" w14:textId="00D919BA" w:rsidR="00F201FE" w:rsidRPr="00D66245" w:rsidRDefault="00CA4299" w:rsidP="00F201FE">
      <w:pPr>
        <w:tabs>
          <w:tab w:val="right" w:leader="dot" w:pos="9185"/>
        </w:tabs>
        <w:spacing w:after="0" w:line="240" w:lineRule="auto"/>
        <w:rPr>
          <w:rFonts w:ascii="Palatino Linotype" w:eastAsia="Times New Roman" w:hAnsi="Palatino Linotype" w:cs="Arial"/>
          <w:bCs/>
          <w:spacing w:val="-8"/>
          <w:lang w:val="es-MX"/>
        </w:rPr>
      </w:pPr>
      <w:r w:rsidRPr="00D66245">
        <w:rPr>
          <w:rFonts w:ascii="Palatino Linotype" w:eastAsia="Times New Roman" w:hAnsi="Palatino Linotype" w:cs="Arial"/>
          <w:bCs/>
          <w:spacing w:val="-8"/>
          <w:lang w:val="es-MX"/>
        </w:rPr>
        <w:t>Carlos J. Carrera Castillo</w:t>
      </w:r>
      <w:r w:rsidR="00F201FE" w:rsidRPr="00D66245">
        <w:rPr>
          <w:rFonts w:ascii="Palatino Linotype" w:eastAsia="Times New Roman" w:hAnsi="Palatino Linotype" w:cs="Arial"/>
          <w:bCs/>
          <w:spacing w:val="-8"/>
          <w:lang w:val="es-MX"/>
        </w:rPr>
        <w:tab/>
      </w:r>
      <w:r w:rsidR="000256DD">
        <w:rPr>
          <w:rFonts w:ascii="Palatino Linotype" w:eastAsia="Times New Roman" w:hAnsi="Palatino Linotype" w:cs="Arial"/>
          <w:bCs/>
          <w:spacing w:val="-8"/>
          <w:lang w:val="es-MX"/>
        </w:rPr>
        <w:t>7</w:t>
      </w:r>
      <w:r w:rsidR="00425296">
        <w:rPr>
          <w:rFonts w:ascii="Palatino Linotype" w:eastAsia="Times New Roman" w:hAnsi="Palatino Linotype" w:cs="Arial"/>
          <w:bCs/>
          <w:spacing w:val="-8"/>
          <w:lang w:val="es-MX"/>
        </w:rPr>
        <w:t>5</w:t>
      </w:r>
    </w:p>
    <w:p w14:paraId="5565C538" w14:textId="77777777" w:rsidR="00F201FE" w:rsidRPr="00D66245" w:rsidRDefault="00F201FE" w:rsidP="00F201FE">
      <w:pPr>
        <w:tabs>
          <w:tab w:val="right" w:leader="dot" w:pos="9185"/>
        </w:tabs>
        <w:spacing w:after="0" w:line="240" w:lineRule="auto"/>
        <w:rPr>
          <w:rFonts w:ascii="Palatino Linotype" w:eastAsia="Times New Roman" w:hAnsi="Palatino Linotype" w:cs="Arial"/>
          <w:bCs/>
          <w:spacing w:val="-8"/>
          <w:lang w:val="es-MX"/>
        </w:rPr>
      </w:pPr>
    </w:p>
    <w:p w14:paraId="3C4BEBA8" w14:textId="32FC3808" w:rsidR="00F201FE" w:rsidRPr="00D66245" w:rsidRDefault="00CA4299" w:rsidP="00F201FE">
      <w:pPr>
        <w:tabs>
          <w:tab w:val="right" w:leader="dot" w:pos="9185"/>
        </w:tabs>
        <w:spacing w:after="0" w:line="240" w:lineRule="auto"/>
        <w:rPr>
          <w:rFonts w:ascii="Palatino Linotype" w:eastAsia="Times New Roman" w:hAnsi="Palatino Linotype" w:cs="Arial"/>
          <w:b/>
          <w:bCs/>
          <w:spacing w:val="-8"/>
          <w:lang w:val="es-MX"/>
        </w:rPr>
      </w:pPr>
      <w:r w:rsidRPr="00D66245">
        <w:rPr>
          <w:rFonts w:ascii="Palatino Linotype" w:eastAsia="Times New Roman" w:hAnsi="Palatino Linotype" w:cs="Arial"/>
          <w:b/>
          <w:bCs/>
          <w:spacing w:val="-8"/>
          <w:lang w:val="es-MX"/>
        </w:rPr>
        <w:t>Estructura y técnica de los interrogatorios civiles</w:t>
      </w:r>
    </w:p>
    <w:p w14:paraId="479C5E9A" w14:textId="14D2E534" w:rsidR="00F201FE" w:rsidRPr="00D66245" w:rsidRDefault="00F201FE" w:rsidP="00F201FE">
      <w:pPr>
        <w:tabs>
          <w:tab w:val="right" w:leader="dot" w:pos="9185"/>
        </w:tabs>
        <w:spacing w:after="0" w:line="240" w:lineRule="auto"/>
        <w:rPr>
          <w:rFonts w:ascii="Palatino Linotype" w:eastAsia="Times New Roman" w:hAnsi="Palatino Linotype" w:cs="Arial"/>
          <w:bCs/>
          <w:spacing w:val="-8"/>
          <w:lang w:val="es-MX"/>
        </w:rPr>
      </w:pPr>
      <w:r w:rsidRPr="00D66245">
        <w:rPr>
          <w:rFonts w:ascii="Palatino Linotype" w:eastAsia="Times New Roman" w:hAnsi="Palatino Linotype" w:cs="Arial"/>
          <w:bCs/>
          <w:spacing w:val="-8"/>
          <w:lang w:val="es-MX"/>
        </w:rPr>
        <w:t>Dr. Sergio Artavia Barrantes</w:t>
      </w:r>
      <w:r w:rsidRPr="00D66245">
        <w:rPr>
          <w:rFonts w:ascii="Palatino Linotype" w:eastAsia="Times New Roman" w:hAnsi="Palatino Linotype" w:cs="Arial"/>
          <w:bCs/>
          <w:spacing w:val="-8"/>
          <w:lang w:val="es-MX"/>
        </w:rPr>
        <w:tab/>
      </w:r>
      <w:r w:rsidR="000256DD">
        <w:rPr>
          <w:rFonts w:ascii="Palatino Linotype" w:eastAsia="Times New Roman" w:hAnsi="Palatino Linotype" w:cs="Arial"/>
          <w:bCs/>
          <w:spacing w:val="-8"/>
          <w:lang w:val="es-MX"/>
        </w:rPr>
        <w:t>8</w:t>
      </w:r>
      <w:r w:rsidR="00425296">
        <w:rPr>
          <w:rFonts w:ascii="Palatino Linotype" w:eastAsia="Times New Roman" w:hAnsi="Palatino Linotype" w:cs="Arial"/>
          <w:bCs/>
          <w:spacing w:val="-8"/>
          <w:lang w:val="es-MX"/>
        </w:rPr>
        <w:t>5</w:t>
      </w:r>
    </w:p>
    <w:p w14:paraId="54E61A3A" w14:textId="77777777" w:rsidR="00F201FE" w:rsidRPr="00D66245" w:rsidRDefault="00F201FE" w:rsidP="00F201FE">
      <w:pPr>
        <w:tabs>
          <w:tab w:val="right" w:leader="dot" w:pos="9185"/>
        </w:tabs>
        <w:spacing w:after="0" w:line="240" w:lineRule="auto"/>
        <w:rPr>
          <w:rFonts w:ascii="Palatino Linotype" w:eastAsia="Times New Roman" w:hAnsi="Palatino Linotype" w:cs="Arial"/>
          <w:bCs/>
          <w:spacing w:val="-8"/>
          <w:lang w:val="es-MX"/>
        </w:rPr>
      </w:pPr>
    </w:p>
    <w:p w14:paraId="1A890C92" w14:textId="2AE24DCA" w:rsidR="00F201FE" w:rsidRPr="00D66245" w:rsidRDefault="00CA4299" w:rsidP="00F201FE">
      <w:pPr>
        <w:tabs>
          <w:tab w:val="right" w:leader="dot" w:pos="9185"/>
        </w:tabs>
        <w:spacing w:after="0" w:line="240" w:lineRule="auto"/>
        <w:rPr>
          <w:rFonts w:ascii="Palatino Linotype" w:eastAsia="Times New Roman" w:hAnsi="Palatino Linotype" w:cs="Arial"/>
          <w:b/>
          <w:bCs/>
          <w:spacing w:val="-8"/>
          <w:lang w:val="es-MX"/>
        </w:rPr>
      </w:pPr>
      <w:r w:rsidRPr="00D66245">
        <w:rPr>
          <w:rFonts w:ascii="Palatino Linotype" w:eastAsia="Times New Roman" w:hAnsi="Palatino Linotype"/>
          <w:b/>
        </w:rPr>
        <w:t>Repensando la iniciativa probatoria del órgano jurisdiccional</w:t>
      </w:r>
    </w:p>
    <w:p w14:paraId="16B40D4A" w14:textId="64EB9F1D" w:rsidR="00F201FE" w:rsidRDefault="00CA4299" w:rsidP="00F201FE">
      <w:pPr>
        <w:tabs>
          <w:tab w:val="right" w:leader="dot" w:pos="9185"/>
        </w:tabs>
        <w:spacing w:after="0" w:line="240" w:lineRule="auto"/>
        <w:rPr>
          <w:rFonts w:ascii="Palatino Linotype" w:eastAsia="Times New Roman" w:hAnsi="Palatino Linotype" w:cs="Arial"/>
          <w:bCs/>
          <w:spacing w:val="-8"/>
          <w:lang w:val="es-MX"/>
        </w:rPr>
      </w:pPr>
      <w:r w:rsidRPr="00D66245">
        <w:rPr>
          <w:rFonts w:ascii="Palatino Linotype" w:eastAsia="Times New Roman" w:hAnsi="Palatino Linotype" w:cs="Arial"/>
          <w:bCs/>
          <w:spacing w:val="-8"/>
          <w:lang w:val="es-MX"/>
        </w:rPr>
        <w:t>Msc Katherine Calvo Artavia</w:t>
      </w:r>
      <w:r w:rsidR="00F201FE" w:rsidRPr="00D66245">
        <w:rPr>
          <w:rFonts w:ascii="Palatino Linotype" w:eastAsia="Times New Roman" w:hAnsi="Palatino Linotype" w:cs="Arial"/>
          <w:bCs/>
          <w:spacing w:val="-8"/>
          <w:lang w:val="es-MX"/>
        </w:rPr>
        <w:tab/>
      </w:r>
      <w:r w:rsidR="000256DD">
        <w:rPr>
          <w:rFonts w:ascii="Palatino Linotype" w:eastAsia="Times New Roman" w:hAnsi="Palatino Linotype" w:cs="Arial"/>
          <w:bCs/>
          <w:spacing w:val="-8"/>
          <w:lang w:val="es-MX"/>
        </w:rPr>
        <w:t>11</w:t>
      </w:r>
      <w:r w:rsidR="00425296">
        <w:rPr>
          <w:rFonts w:ascii="Palatino Linotype" w:eastAsia="Times New Roman" w:hAnsi="Palatino Linotype" w:cs="Arial"/>
          <w:bCs/>
          <w:spacing w:val="-8"/>
          <w:lang w:val="es-MX"/>
        </w:rPr>
        <w:t>5</w:t>
      </w:r>
    </w:p>
    <w:p w14:paraId="154D6456" w14:textId="77777777" w:rsidR="006469CD" w:rsidRPr="00D66245" w:rsidRDefault="006469CD" w:rsidP="00F201FE">
      <w:pPr>
        <w:tabs>
          <w:tab w:val="right" w:leader="dot" w:pos="9185"/>
        </w:tabs>
        <w:spacing w:after="0" w:line="240" w:lineRule="auto"/>
        <w:rPr>
          <w:rFonts w:ascii="Palatino Linotype" w:eastAsia="Times New Roman" w:hAnsi="Palatino Linotype" w:cs="Arial"/>
          <w:bCs/>
          <w:spacing w:val="-8"/>
          <w:lang w:val="es-MX"/>
        </w:rPr>
      </w:pPr>
    </w:p>
    <w:p w14:paraId="0DED41E8" w14:textId="3A037F3F" w:rsidR="00CA4299" w:rsidRPr="00D66245" w:rsidRDefault="00CA4299" w:rsidP="00F201FE">
      <w:pPr>
        <w:tabs>
          <w:tab w:val="right" w:leader="dot" w:pos="9185"/>
        </w:tabs>
        <w:spacing w:after="0" w:line="240" w:lineRule="auto"/>
        <w:rPr>
          <w:rFonts w:ascii="Palatino Linotype" w:hAnsi="Palatino Linotype"/>
          <w:b/>
        </w:rPr>
      </w:pPr>
      <w:r w:rsidRPr="00D66245">
        <w:rPr>
          <w:rFonts w:ascii="Palatino Linotype" w:eastAsia="Times New Roman" w:hAnsi="Palatino Linotype"/>
          <w:b/>
        </w:rPr>
        <w:t>Carga de la prueba: principio de aportación o carga probatoria dinámica</w:t>
      </w:r>
    </w:p>
    <w:p w14:paraId="32C3D429" w14:textId="0C3B6E4A" w:rsidR="00F201FE" w:rsidRDefault="00F201FE" w:rsidP="00F201FE">
      <w:pPr>
        <w:tabs>
          <w:tab w:val="right" w:leader="dot" w:pos="9185"/>
        </w:tabs>
        <w:spacing w:after="0" w:line="240" w:lineRule="auto"/>
        <w:rPr>
          <w:rFonts w:ascii="Palatino Linotype" w:eastAsia="Times New Roman" w:hAnsi="Palatino Linotype" w:cs="Arial"/>
          <w:bCs/>
          <w:spacing w:val="-8"/>
          <w:lang w:val="es-MX"/>
        </w:rPr>
      </w:pPr>
      <w:r w:rsidRPr="00D66245">
        <w:rPr>
          <w:rFonts w:ascii="Palatino Linotype" w:eastAsia="Times New Roman" w:hAnsi="Palatino Linotype" w:cs="Arial"/>
          <w:bCs/>
          <w:spacing w:val="-8"/>
          <w:lang w:val="es-MX"/>
        </w:rPr>
        <w:t>Msc. Nohelia Vega Carvajal</w:t>
      </w:r>
      <w:r w:rsidRPr="00D66245">
        <w:rPr>
          <w:rFonts w:ascii="Palatino Linotype" w:eastAsia="Times New Roman" w:hAnsi="Palatino Linotype" w:cs="Arial"/>
          <w:bCs/>
          <w:spacing w:val="-8"/>
          <w:lang w:val="es-MX"/>
        </w:rPr>
        <w:tab/>
      </w:r>
      <w:r w:rsidR="000256DD">
        <w:rPr>
          <w:rFonts w:ascii="Palatino Linotype" w:eastAsia="Times New Roman" w:hAnsi="Palatino Linotype" w:cs="Arial"/>
          <w:bCs/>
          <w:spacing w:val="-8"/>
          <w:lang w:val="es-MX"/>
        </w:rPr>
        <w:t>1</w:t>
      </w:r>
      <w:r w:rsidR="00944402">
        <w:rPr>
          <w:rFonts w:ascii="Palatino Linotype" w:eastAsia="Times New Roman" w:hAnsi="Palatino Linotype" w:cs="Arial"/>
          <w:bCs/>
          <w:spacing w:val="-8"/>
          <w:lang w:val="es-MX"/>
        </w:rPr>
        <w:t>39</w:t>
      </w:r>
    </w:p>
    <w:p w14:paraId="52C66D15" w14:textId="3A2198CB" w:rsidR="006469CD" w:rsidRDefault="006469CD" w:rsidP="00F201FE">
      <w:pPr>
        <w:tabs>
          <w:tab w:val="right" w:leader="dot" w:pos="9185"/>
        </w:tabs>
        <w:spacing w:after="0" w:line="240" w:lineRule="auto"/>
        <w:rPr>
          <w:rFonts w:ascii="Palatino Linotype" w:eastAsia="Times New Roman" w:hAnsi="Palatino Linotype" w:cs="Arial"/>
          <w:bCs/>
          <w:spacing w:val="-8"/>
          <w:lang w:val="es-MX"/>
        </w:rPr>
      </w:pPr>
    </w:p>
    <w:p w14:paraId="393BAFBC" w14:textId="7A614024" w:rsidR="006469CD" w:rsidRDefault="006469CD" w:rsidP="006469CD">
      <w:pPr>
        <w:tabs>
          <w:tab w:val="right" w:leader="dot" w:pos="9185"/>
        </w:tabs>
        <w:spacing w:after="0" w:line="240" w:lineRule="auto"/>
        <w:rPr>
          <w:rFonts w:ascii="Palatino Linotype" w:hAnsi="Palatino Linotype" w:cs="Times New Roman"/>
          <w:b/>
          <w:lang w:val="es-CR"/>
        </w:rPr>
      </w:pPr>
      <w:r w:rsidRPr="006469CD">
        <w:rPr>
          <w:rFonts w:ascii="Palatino Linotype" w:hAnsi="Palatino Linotype" w:cs="Times New Roman"/>
          <w:b/>
          <w:lang w:val="es-CR"/>
        </w:rPr>
        <w:t>El plan probático β (Beta)</w:t>
      </w:r>
    </w:p>
    <w:p w14:paraId="7FE6A68D" w14:textId="0AC216C2" w:rsidR="006469CD" w:rsidRPr="00425296" w:rsidRDefault="006469CD" w:rsidP="006469CD">
      <w:pPr>
        <w:tabs>
          <w:tab w:val="right" w:leader="dot" w:pos="9185"/>
        </w:tabs>
        <w:spacing w:after="0" w:line="240" w:lineRule="auto"/>
        <w:rPr>
          <w:rFonts w:ascii="Palatino Linotype" w:eastAsia="Times New Roman" w:hAnsi="Palatino Linotype" w:cs="Arial"/>
          <w:bCs/>
          <w:spacing w:val="-8"/>
          <w:lang w:val="es-MX"/>
        </w:rPr>
      </w:pPr>
      <w:r w:rsidRPr="00944402">
        <w:rPr>
          <w:rFonts w:ascii="Palatino Linotype" w:hAnsi="Palatino Linotype" w:cs="Times New Roman"/>
          <w:lang w:val="es-CR"/>
        </w:rPr>
        <w:t>Dr. Roberto Yglesias Mora y Juan Carlos Vásquez Drexler</w:t>
      </w:r>
      <w:r w:rsidRPr="00425296">
        <w:rPr>
          <w:rFonts w:ascii="Palatino Linotype" w:eastAsia="Times New Roman" w:hAnsi="Palatino Linotype" w:cs="Arial"/>
          <w:bCs/>
          <w:spacing w:val="-8"/>
          <w:lang w:val="es-MX"/>
        </w:rPr>
        <w:tab/>
      </w:r>
      <w:r w:rsidR="000256DD" w:rsidRPr="00425296">
        <w:rPr>
          <w:rFonts w:ascii="Palatino Linotype" w:eastAsia="Times New Roman" w:hAnsi="Palatino Linotype" w:cs="Arial"/>
          <w:bCs/>
          <w:spacing w:val="-8"/>
          <w:lang w:val="es-MX"/>
        </w:rPr>
        <w:t>16</w:t>
      </w:r>
      <w:r w:rsidR="00944402">
        <w:rPr>
          <w:rFonts w:ascii="Palatino Linotype" w:eastAsia="Times New Roman" w:hAnsi="Palatino Linotype" w:cs="Arial"/>
          <w:bCs/>
          <w:spacing w:val="-8"/>
          <w:lang w:val="es-MX"/>
        </w:rPr>
        <w:t>1</w:t>
      </w:r>
    </w:p>
    <w:p w14:paraId="37FC0A44" w14:textId="010D4647" w:rsidR="006469CD" w:rsidRDefault="006469CD" w:rsidP="006469CD">
      <w:pPr>
        <w:spacing w:line="240" w:lineRule="auto"/>
        <w:rPr>
          <w:rFonts w:ascii="Palatino Linotype" w:hAnsi="Palatino Linotype" w:cs="Times New Roman"/>
          <w:b/>
          <w:lang w:val="es-CR"/>
        </w:rPr>
      </w:pPr>
      <w:r>
        <w:rPr>
          <w:rFonts w:ascii="Palatino Linotype" w:hAnsi="Palatino Linotype" w:cs="Times New Roman"/>
          <w:b/>
          <w:i/>
          <w:lang w:val="es-CR"/>
        </w:rPr>
        <w:tab/>
      </w:r>
      <w:r>
        <w:rPr>
          <w:rFonts w:ascii="Palatino Linotype" w:hAnsi="Palatino Linotype" w:cs="Times New Roman"/>
          <w:b/>
          <w:i/>
          <w:lang w:val="es-CR"/>
        </w:rPr>
        <w:tab/>
      </w:r>
      <w:r w:rsidRPr="00D66245">
        <w:rPr>
          <w:rFonts w:ascii="Palatino Linotype" w:eastAsia="Times New Roman" w:hAnsi="Palatino Linotype" w:cs="Arial"/>
          <w:bCs/>
          <w:spacing w:val="-8"/>
          <w:lang w:val="es-MX"/>
        </w:rPr>
        <w:tab/>
      </w:r>
    </w:p>
    <w:p w14:paraId="1DAEEB49" w14:textId="47B2388F" w:rsidR="00F201FE" w:rsidRPr="00D66245" w:rsidRDefault="006D6B49" w:rsidP="006D6B49">
      <w:pPr>
        <w:tabs>
          <w:tab w:val="right" w:leader="dot" w:pos="9185"/>
        </w:tabs>
        <w:spacing w:after="0" w:line="240" w:lineRule="auto"/>
        <w:jc w:val="center"/>
        <w:rPr>
          <w:rFonts w:ascii="Palatino Linotype" w:eastAsia="Times New Roman" w:hAnsi="Palatino Linotype" w:cs="Arial"/>
          <w:b/>
          <w:bCs/>
          <w:spacing w:val="-8"/>
          <w:lang w:val="es-MX"/>
        </w:rPr>
      </w:pPr>
      <w:r w:rsidRPr="00D66245">
        <w:rPr>
          <w:rFonts w:ascii="Palatino Linotype" w:eastAsia="Times New Roman" w:hAnsi="Palatino Linotype" w:cs="Arial"/>
          <w:b/>
          <w:bCs/>
          <w:spacing w:val="-8"/>
          <w:lang w:val="es-MX"/>
        </w:rPr>
        <w:t>CAPÍTULO II – MATERIA ADMINISTRATIVA</w:t>
      </w:r>
    </w:p>
    <w:p w14:paraId="7EF9096F" w14:textId="19B366B3" w:rsidR="00F201FE" w:rsidRPr="00D66245" w:rsidRDefault="00CA4299" w:rsidP="00F201FE">
      <w:pPr>
        <w:tabs>
          <w:tab w:val="right" w:leader="dot" w:pos="9185"/>
        </w:tabs>
        <w:spacing w:after="0" w:line="240" w:lineRule="auto"/>
        <w:rPr>
          <w:rFonts w:ascii="Palatino Linotype" w:eastAsia="Times New Roman" w:hAnsi="Palatino Linotype" w:cs="Arial"/>
          <w:b/>
          <w:bCs/>
          <w:spacing w:val="-8"/>
          <w:lang w:val="es-MX"/>
        </w:rPr>
      </w:pPr>
      <w:r w:rsidRPr="00D66245">
        <w:rPr>
          <w:rFonts w:ascii="Palatino Linotype" w:eastAsia="Times New Roman" w:hAnsi="Palatino Linotype"/>
          <w:b/>
        </w:rPr>
        <w:t>La Casación Contenciosa: ¿Un Vértice Ambiguo?</w:t>
      </w:r>
    </w:p>
    <w:p w14:paraId="32EBD206" w14:textId="521AE660" w:rsidR="00F201FE" w:rsidRPr="00D66245" w:rsidRDefault="00CA4299" w:rsidP="00F201FE">
      <w:pPr>
        <w:tabs>
          <w:tab w:val="right" w:leader="dot" w:pos="9185"/>
        </w:tabs>
        <w:spacing w:after="0" w:line="240" w:lineRule="auto"/>
        <w:rPr>
          <w:rFonts w:ascii="Palatino Linotype" w:eastAsia="Times New Roman" w:hAnsi="Palatino Linotype" w:cs="Arial"/>
          <w:bCs/>
          <w:spacing w:val="-8"/>
          <w:lang w:val="es-MX"/>
        </w:rPr>
      </w:pPr>
      <w:r w:rsidRPr="00D66245">
        <w:rPr>
          <w:rFonts w:ascii="Palatino Linotype" w:eastAsia="Times New Roman" w:hAnsi="Palatino Linotype" w:cs="Arial"/>
          <w:bCs/>
          <w:spacing w:val="-8"/>
          <w:lang w:val="es-MX"/>
        </w:rPr>
        <w:t>Msc. Luis Ortíz Zamora</w:t>
      </w:r>
      <w:r w:rsidR="00F201FE" w:rsidRPr="00D66245">
        <w:rPr>
          <w:rFonts w:ascii="Palatino Linotype" w:eastAsia="Times New Roman" w:hAnsi="Palatino Linotype" w:cs="Arial"/>
          <w:bCs/>
          <w:spacing w:val="-8"/>
          <w:lang w:val="es-MX"/>
        </w:rPr>
        <w:tab/>
      </w:r>
      <w:r w:rsidR="000256DD">
        <w:rPr>
          <w:rFonts w:ascii="Palatino Linotype" w:eastAsia="Times New Roman" w:hAnsi="Palatino Linotype" w:cs="Arial"/>
          <w:bCs/>
          <w:spacing w:val="-8"/>
          <w:lang w:val="es-MX"/>
        </w:rPr>
        <w:t>19</w:t>
      </w:r>
      <w:r w:rsidR="00944402">
        <w:rPr>
          <w:rFonts w:ascii="Palatino Linotype" w:eastAsia="Times New Roman" w:hAnsi="Palatino Linotype" w:cs="Arial"/>
          <w:bCs/>
          <w:spacing w:val="-8"/>
          <w:lang w:val="es-MX"/>
        </w:rPr>
        <w:t>1</w:t>
      </w:r>
    </w:p>
    <w:p w14:paraId="1BE4FCD5" w14:textId="77777777" w:rsidR="00F201FE" w:rsidRPr="00D66245" w:rsidRDefault="00F201FE" w:rsidP="00F201FE">
      <w:pPr>
        <w:tabs>
          <w:tab w:val="right" w:leader="dot" w:pos="9185"/>
        </w:tabs>
        <w:spacing w:after="0" w:line="240" w:lineRule="auto"/>
        <w:rPr>
          <w:rFonts w:ascii="Palatino Linotype" w:eastAsia="Times New Roman" w:hAnsi="Palatino Linotype" w:cs="Arial"/>
          <w:bCs/>
          <w:spacing w:val="-8"/>
          <w:lang w:val="es-MX"/>
        </w:rPr>
      </w:pPr>
    </w:p>
    <w:p w14:paraId="39E56ED6" w14:textId="787E024C" w:rsidR="00F201FE" w:rsidRPr="00D66245" w:rsidRDefault="00CA4299" w:rsidP="00F201FE">
      <w:pPr>
        <w:tabs>
          <w:tab w:val="right" w:leader="dot" w:pos="9185"/>
        </w:tabs>
        <w:spacing w:after="0" w:line="240" w:lineRule="auto"/>
        <w:rPr>
          <w:rFonts w:ascii="Palatino Linotype" w:eastAsia="Times New Roman" w:hAnsi="Palatino Linotype" w:cs="Arial"/>
          <w:b/>
          <w:bCs/>
          <w:spacing w:val="-8"/>
          <w:lang w:val="es-MX"/>
        </w:rPr>
      </w:pPr>
      <w:r w:rsidRPr="00D66245">
        <w:rPr>
          <w:rFonts w:ascii="Palatino Linotype" w:hAnsi="Palatino Linotype"/>
          <w:b/>
          <w:iCs/>
        </w:rPr>
        <w:t>La apelación Contencioso Administrativa. Impacto del Nuevo Código Procesal Civil</w:t>
      </w:r>
    </w:p>
    <w:p w14:paraId="31D9E81A" w14:textId="1E542178" w:rsidR="00F201FE" w:rsidRPr="00D66245" w:rsidRDefault="00CA4299" w:rsidP="00F201FE">
      <w:pPr>
        <w:tabs>
          <w:tab w:val="right" w:leader="dot" w:pos="9185"/>
        </w:tabs>
        <w:spacing w:after="0" w:line="240" w:lineRule="auto"/>
        <w:rPr>
          <w:rFonts w:ascii="Palatino Linotype" w:eastAsia="Times New Roman" w:hAnsi="Palatino Linotype" w:cs="Arial"/>
          <w:bCs/>
          <w:spacing w:val="-8"/>
          <w:lang w:val="es-MX"/>
        </w:rPr>
      </w:pPr>
      <w:r w:rsidRPr="00D66245">
        <w:rPr>
          <w:rFonts w:ascii="Palatino Linotype" w:hAnsi="Palatino Linotype"/>
        </w:rPr>
        <w:t>Hubert Fernández Argüello</w:t>
      </w:r>
      <w:r w:rsidR="00F201FE" w:rsidRPr="00D66245">
        <w:rPr>
          <w:rFonts w:ascii="Palatino Linotype" w:eastAsia="Times New Roman" w:hAnsi="Palatino Linotype" w:cs="Arial"/>
          <w:bCs/>
          <w:spacing w:val="-8"/>
          <w:lang w:val="es-MX"/>
        </w:rPr>
        <w:tab/>
      </w:r>
      <w:r w:rsidR="000256DD">
        <w:rPr>
          <w:rFonts w:ascii="Palatino Linotype" w:eastAsia="Times New Roman" w:hAnsi="Palatino Linotype" w:cs="Arial"/>
          <w:bCs/>
          <w:spacing w:val="-8"/>
          <w:lang w:val="es-MX"/>
        </w:rPr>
        <w:t>219</w:t>
      </w:r>
    </w:p>
    <w:p w14:paraId="42D53274" w14:textId="07FD65AF" w:rsidR="000B2F75" w:rsidRPr="00D66245" w:rsidRDefault="000B2F75" w:rsidP="00F201FE">
      <w:pPr>
        <w:tabs>
          <w:tab w:val="right" w:leader="dot" w:pos="9185"/>
        </w:tabs>
        <w:spacing w:after="0" w:line="240" w:lineRule="auto"/>
        <w:rPr>
          <w:rFonts w:ascii="Palatino Linotype" w:eastAsia="Times New Roman" w:hAnsi="Palatino Linotype" w:cs="Arial"/>
          <w:bCs/>
          <w:spacing w:val="-8"/>
          <w:lang w:val="es-MX"/>
        </w:rPr>
      </w:pPr>
    </w:p>
    <w:p w14:paraId="1F32A060" w14:textId="391E792D" w:rsidR="000B2F75" w:rsidRPr="00D66245" w:rsidRDefault="000B2F75" w:rsidP="000B2F75">
      <w:pPr>
        <w:tabs>
          <w:tab w:val="right" w:leader="dot" w:pos="9185"/>
        </w:tabs>
        <w:spacing w:after="0" w:line="240" w:lineRule="auto"/>
        <w:jc w:val="both"/>
        <w:rPr>
          <w:rFonts w:ascii="Palatino Linotype" w:eastAsia="Times New Roman" w:hAnsi="Palatino Linotype"/>
          <w:b/>
        </w:rPr>
      </w:pPr>
      <w:r w:rsidRPr="00D66245">
        <w:rPr>
          <w:rFonts w:ascii="Palatino Linotype" w:eastAsia="Times New Roman" w:hAnsi="Palatino Linotype"/>
          <w:b/>
        </w:rPr>
        <w:lastRenderedPageBreak/>
        <w:t xml:space="preserve">Sobre el deber probatorio y admisibilidad de las probanzas en el proceso contencioso administrativo y civil de hacienda. Algunos efectos del </w:t>
      </w:r>
      <w:r w:rsidR="000256DD">
        <w:rPr>
          <w:rFonts w:ascii="Palatino Linotype" w:eastAsia="Times New Roman" w:hAnsi="Palatino Linotype"/>
          <w:b/>
        </w:rPr>
        <w:t>C</w:t>
      </w:r>
      <w:r w:rsidRPr="00D66245">
        <w:rPr>
          <w:rFonts w:ascii="Palatino Linotype" w:eastAsia="Times New Roman" w:hAnsi="Palatino Linotype"/>
          <w:b/>
        </w:rPr>
        <w:t xml:space="preserve">ódigo </w:t>
      </w:r>
      <w:r w:rsidR="000256DD">
        <w:rPr>
          <w:rFonts w:ascii="Palatino Linotype" w:eastAsia="Times New Roman" w:hAnsi="Palatino Linotype"/>
          <w:b/>
        </w:rPr>
        <w:t>P</w:t>
      </w:r>
      <w:r w:rsidRPr="00D66245">
        <w:rPr>
          <w:rFonts w:ascii="Palatino Linotype" w:eastAsia="Times New Roman" w:hAnsi="Palatino Linotype"/>
          <w:b/>
        </w:rPr>
        <w:t xml:space="preserve">rocesal </w:t>
      </w:r>
      <w:r w:rsidR="000256DD">
        <w:rPr>
          <w:rFonts w:ascii="Palatino Linotype" w:eastAsia="Times New Roman" w:hAnsi="Palatino Linotype"/>
          <w:b/>
        </w:rPr>
        <w:t>C</w:t>
      </w:r>
      <w:r w:rsidRPr="00D66245">
        <w:rPr>
          <w:rFonts w:ascii="Palatino Linotype" w:eastAsia="Times New Roman" w:hAnsi="Palatino Linotype"/>
          <w:b/>
        </w:rPr>
        <w:t>ivil en la jurisdicción contencioso administrativa</w:t>
      </w:r>
    </w:p>
    <w:p w14:paraId="3BBB33EA" w14:textId="6B9C7F1F" w:rsidR="000B2F75" w:rsidRPr="00D66245" w:rsidRDefault="000B2F75" w:rsidP="000B2F75">
      <w:pPr>
        <w:tabs>
          <w:tab w:val="right" w:leader="dot" w:pos="9185"/>
        </w:tabs>
        <w:spacing w:after="0" w:line="240" w:lineRule="auto"/>
        <w:rPr>
          <w:rFonts w:ascii="Palatino Linotype" w:eastAsia="Times New Roman" w:hAnsi="Palatino Linotype" w:cs="Arial"/>
          <w:bCs/>
          <w:spacing w:val="-8"/>
          <w:lang w:val="es-MX"/>
        </w:rPr>
      </w:pPr>
      <w:r w:rsidRPr="00D66245">
        <w:rPr>
          <w:rFonts w:ascii="Palatino Linotype" w:eastAsia="Times New Roman" w:hAnsi="Palatino Linotype" w:cs="Arial"/>
          <w:bCs/>
          <w:spacing w:val="-8"/>
          <w:lang w:val="es-MX"/>
        </w:rPr>
        <w:t>José Roberto Garita Navarro</w:t>
      </w:r>
      <w:r w:rsidRPr="00D66245">
        <w:rPr>
          <w:rFonts w:ascii="Palatino Linotype" w:eastAsia="Times New Roman" w:hAnsi="Palatino Linotype" w:cs="Arial"/>
          <w:bCs/>
          <w:spacing w:val="-8"/>
          <w:lang w:val="es-MX"/>
        </w:rPr>
        <w:tab/>
      </w:r>
      <w:r w:rsidR="000256DD">
        <w:rPr>
          <w:rFonts w:ascii="Palatino Linotype" w:eastAsia="Times New Roman" w:hAnsi="Palatino Linotype" w:cs="Arial"/>
          <w:bCs/>
          <w:spacing w:val="-8"/>
          <w:lang w:val="es-MX"/>
        </w:rPr>
        <w:t>247</w:t>
      </w:r>
    </w:p>
    <w:p w14:paraId="539ADEFA" w14:textId="77777777" w:rsidR="006D6B49" w:rsidRPr="00D66245" w:rsidRDefault="006D6B49" w:rsidP="006D6B49">
      <w:pPr>
        <w:tabs>
          <w:tab w:val="right" w:leader="dot" w:pos="9185"/>
        </w:tabs>
        <w:spacing w:after="0" w:line="240" w:lineRule="auto"/>
        <w:rPr>
          <w:rFonts w:ascii="Palatino Linotype" w:eastAsia="Times New Roman" w:hAnsi="Palatino Linotype"/>
          <w:b/>
          <w:lang w:val="es-ES_tradnl"/>
        </w:rPr>
      </w:pPr>
    </w:p>
    <w:p w14:paraId="62E886FC" w14:textId="51C6D309" w:rsidR="006D6B49" w:rsidRPr="00D66245" w:rsidRDefault="006D6B49" w:rsidP="006D6B49">
      <w:pPr>
        <w:tabs>
          <w:tab w:val="right" w:leader="dot" w:pos="9185"/>
        </w:tabs>
        <w:spacing w:after="0" w:line="240" w:lineRule="auto"/>
        <w:rPr>
          <w:rFonts w:ascii="Palatino Linotype" w:eastAsia="Times New Roman" w:hAnsi="Palatino Linotype" w:cs="Arial"/>
          <w:b/>
          <w:bCs/>
          <w:spacing w:val="-8"/>
          <w:lang w:val="es-MX"/>
        </w:rPr>
      </w:pPr>
      <w:r w:rsidRPr="00D66245">
        <w:rPr>
          <w:rFonts w:ascii="Palatino Linotype" w:eastAsia="Times New Roman" w:hAnsi="Palatino Linotype"/>
          <w:b/>
          <w:lang w:val="es-ES_tradnl"/>
        </w:rPr>
        <w:t>Presunciones y figuras no presuntivas en el Derecho Tributario Costarricense: Una práctica urgida de teoría</w:t>
      </w:r>
    </w:p>
    <w:p w14:paraId="0FA9F78D" w14:textId="02136C85" w:rsidR="00F201FE" w:rsidRDefault="006D6B49" w:rsidP="006D6B49">
      <w:pPr>
        <w:tabs>
          <w:tab w:val="right" w:leader="dot" w:pos="9185"/>
        </w:tabs>
        <w:spacing w:after="0" w:line="240" w:lineRule="auto"/>
        <w:rPr>
          <w:rFonts w:ascii="Palatino Linotype" w:eastAsia="Times New Roman" w:hAnsi="Palatino Linotype" w:cs="Arial"/>
          <w:bCs/>
          <w:spacing w:val="-8"/>
          <w:lang w:val="es-MX"/>
        </w:rPr>
      </w:pPr>
      <w:r w:rsidRPr="00D66245">
        <w:rPr>
          <w:rFonts w:ascii="Palatino Linotype" w:eastAsia="Times New Roman" w:hAnsi="Palatino Linotype" w:cs="Arial"/>
          <w:bCs/>
          <w:spacing w:val="-8"/>
          <w:lang w:val="es-MX"/>
        </w:rPr>
        <w:t>Adrián Torrealba Navas</w:t>
      </w:r>
      <w:r w:rsidRPr="00D66245">
        <w:rPr>
          <w:rFonts w:ascii="Palatino Linotype" w:eastAsia="Times New Roman" w:hAnsi="Palatino Linotype" w:cs="Arial"/>
          <w:bCs/>
          <w:spacing w:val="-8"/>
          <w:lang w:val="es-MX"/>
        </w:rPr>
        <w:tab/>
      </w:r>
      <w:r w:rsidR="000256DD">
        <w:rPr>
          <w:rFonts w:ascii="Palatino Linotype" w:eastAsia="Times New Roman" w:hAnsi="Palatino Linotype" w:cs="Arial"/>
          <w:bCs/>
          <w:spacing w:val="-8"/>
          <w:lang w:val="es-MX"/>
        </w:rPr>
        <w:t>287</w:t>
      </w:r>
    </w:p>
    <w:p w14:paraId="3E36D780" w14:textId="77777777" w:rsidR="000256DD" w:rsidRPr="00D66245" w:rsidRDefault="000256DD" w:rsidP="006D6B49">
      <w:pPr>
        <w:tabs>
          <w:tab w:val="right" w:leader="dot" w:pos="9185"/>
        </w:tabs>
        <w:spacing w:after="0" w:line="240" w:lineRule="auto"/>
        <w:rPr>
          <w:rFonts w:ascii="Palatino Linotype" w:eastAsia="Times New Roman" w:hAnsi="Palatino Linotype" w:cs="Arial"/>
          <w:bCs/>
          <w:spacing w:val="-8"/>
          <w:lang w:val="es-MX"/>
        </w:rPr>
      </w:pPr>
    </w:p>
    <w:p w14:paraId="6F692B7C" w14:textId="53E28BBF" w:rsidR="006D6B49" w:rsidRPr="00D66245" w:rsidRDefault="006D6B49" w:rsidP="006D6B49">
      <w:pPr>
        <w:tabs>
          <w:tab w:val="right" w:leader="dot" w:pos="9185"/>
        </w:tabs>
        <w:spacing w:after="0" w:line="240" w:lineRule="auto"/>
        <w:jc w:val="center"/>
        <w:rPr>
          <w:rFonts w:ascii="Palatino Linotype" w:eastAsia="Times New Roman" w:hAnsi="Palatino Linotype"/>
          <w:b/>
          <w:lang w:eastAsia="es-ES"/>
        </w:rPr>
      </w:pPr>
      <w:r w:rsidRPr="00D66245">
        <w:rPr>
          <w:rFonts w:ascii="Palatino Linotype" w:eastAsia="Times New Roman" w:hAnsi="Palatino Linotype"/>
          <w:b/>
          <w:lang w:eastAsia="es-ES"/>
        </w:rPr>
        <w:t>CAPÍTULO III</w:t>
      </w:r>
    </w:p>
    <w:p w14:paraId="14355BC1" w14:textId="2AF761A1" w:rsidR="006D6B49" w:rsidRPr="00D66245" w:rsidRDefault="006D6B49" w:rsidP="006D6B49">
      <w:pPr>
        <w:tabs>
          <w:tab w:val="right" w:leader="dot" w:pos="9185"/>
        </w:tabs>
        <w:spacing w:after="0" w:line="240" w:lineRule="auto"/>
        <w:jc w:val="center"/>
        <w:rPr>
          <w:rFonts w:ascii="Palatino Linotype" w:eastAsia="Times New Roman" w:hAnsi="Palatino Linotype"/>
          <w:b/>
          <w:lang w:eastAsia="es-ES"/>
        </w:rPr>
      </w:pPr>
      <w:r w:rsidRPr="00D66245">
        <w:rPr>
          <w:rFonts w:ascii="Palatino Linotype" w:eastAsia="Times New Roman" w:hAnsi="Palatino Linotype"/>
          <w:b/>
          <w:lang w:eastAsia="es-ES"/>
        </w:rPr>
        <w:t>MATERIA LABORAL-AGRARIA Y PENAL</w:t>
      </w:r>
    </w:p>
    <w:p w14:paraId="45B48586" w14:textId="77690D6F" w:rsidR="00CA4299" w:rsidRPr="00D66245" w:rsidRDefault="00CA4299" w:rsidP="00F201FE">
      <w:pPr>
        <w:tabs>
          <w:tab w:val="right" w:leader="dot" w:pos="9185"/>
        </w:tabs>
        <w:spacing w:after="0" w:line="240" w:lineRule="auto"/>
        <w:rPr>
          <w:rFonts w:ascii="Palatino Linotype" w:eastAsia="Times New Roman" w:hAnsi="Palatino Linotype" w:cs="Arial"/>
          <w:b/>
          <w:bCs/>
          <w:spacing w:val="-8"/>
          <w:lang w:val="es-MX"/>
        </w:rPr>
      </w:pPr>
      <w:r w:rsidRPr="00D66245">
        <w:rPr>
          <w:rFonts w:ascii="Palatino Linotype" w:eastAsia="Times New Roman" w:hAnsi="Palatino Linotype"/>
          <w:b/>
          <w:lang w:eastAsia="es-ES"/>
        </w:rPr>
        <w:t>Aportes de la Casación Laboral en 18 meses de vigencia de la Reforma Procesal Laboral</w:t>
      </w:r>
    </w:p>
    <w:p w14:paraId="10694D27" w14:textId="2B3F4FD5" w:rsidR="00F201FE" w:rsidRPr="00D66245" w:rsidRDefault="000B2F75" w:rsidP="00F201FE">
      <w:pPr>
        <w:tabs>
          <w:tab w:val="right" w:leader="dot" w:pos="9185"/>
        </w:tabs>
        <w:spacing w:after="0" w:line="240" w:lineRule="auto"/>
        <w:rPr>
          <w:rFonts w:ascii="Palatino Linotype" w:eastAsia="Times New Roman" w:hAnsi="Palatino Linotype" w:cs="Arial"/>
          <w:bCs/>
          <w:spacing w:val="-8"/>
          <w:lang w:val="es-MX"/>
        </w:rPr>
      </w:pPr>
      <w:r w:rsidRPr="00D66245">
        <w:rPr>
          <w:rFonts w:ascii="Palatino Linotype" w:eastAsia="Times New Roman" w:hAnsi="Palatino Linotype" w:cs="Arial"/>
          <w:bCs/>
          <w:spacing w:val="-8"/>
          <w:lang w:val="es-MX"/>
        </w:rPr>
        <w:t>Javier Fallas Villaplana</w:t>
      </w:r>
      <w:r w:rsidR="00F201FE" w:rsidRPr="00D66245">
        <w:rPr>
          <w:rFonts w:ascii="Palatino Linotype" w:eastAsia="Times New Roman" w:hAnsi="Palatino Linotype" w:cs="Arial"/>
          <w:bCs/>
          <w:spacing w:val="-8"/>
          <w:lang w:val="es-MX"/>
        </w:rPr>
        <w:tab/>
      </w:r>
      <w:r w:rsidR="000256DD">
        <w:rPr>
          <w:rFonts w:ascii="Palatino Linotype" w:eastAsia="Times New Roman" w:hAnsi="Palatino Linotype" w:cs="Arial"/>
          <w:bCs/>
          <w:spacing w:val="-8"/>
          <w:lang w:val="es-MX"/>
        </w:rPr>
        <w:t>349</w:t>
      </w:r>
    </w:p>
    <w:p w14:paraId="32C19D72" w14:textId="77777777" w:rsidR="00F201FE" w:rsidRPr="00D66245" w:rsidRDefault="00F201FE" w:rsidP="00F201FE">
      <w:pPr>
        <w:tabs>
          <w:tab w:val="right" w:leader="dot" w:pos="9185"/>
        </w:tabs>
        <w:spacing w:after="0" w:line="240" w:lineRule="auto"/>
        <w:rPr>
          <w:rFonts w:ascii="Palatino Linotype" w:eastAsia="Times New Roman" w:hAnsi="Palatino Linotype" w:cs="Arial"/>
          <w:bCs/>
          <w:spacing w:val="-8"/>
          <w:lang w:val="es-MX"/>
        </w:rPr>
      </w:pPr>
    </w:p>
    <w:p w14:paraId="48C1F4CE" w14:textId="251FD154" w:rsidR="00F201FE" w:rsidRPr="00D66245" w:rsidRDefault="000B2F75" w:rsidP="00F201FE">
      <w:pPr>
        <w:tabs>
          <w:tab w:val="right" w:leader="dot" w:pos="9185"/>
        </w:tabs>
        <w:spacing w:after="0" w:line="240" w:lineRule="auto"/>
        <w:rPr>
          <w:rFonts w:ascii="Palatino Linotype" w:eastAsia="Times New Roman" w:hAnsi="Palatino Linotype" w:cs="Arial"/>
          <w:b/>
          <w:bCs/>
          <w:spacing w:val="-8"/>
          <w:lang w:val="es-MX"/>
        </w:rPr>
      </w:pPr>
      <w:r w:rsidRPr="00D66245">
        <w:rPr>
          <w:rFonts w:ascii="Palatino Linotype" w:eastAsia="Times New Roman" w:hAnsi="Palatino Linotype"/>
          <w:b/>
        </w:rPr>
        <w:t>Técnica de la apelación agraria conforme al nuevo Código Procesal Agrario de Costa Rica</w:t>
      </w:r>
    </w:p>
    <w:p w14:paraId="53D96D3C" w14:textId="1907AF62" w:rsidR="00F201FE" w:rsidRPr="00D66245" w:rsidRDefault="000B2F75" w:rsidP="00F201FE">
      <w:pPr>
        <w:tabs>
          <w:tab w:val="right" w:leader="dot" w:pos="9185"/>
        </w:tabs>
        <w:spacing w:after="0" w:line="240" w:lineRule="auto"/>
        <w:rPr>
          <w:rFonts w:ascii="Palatino Linotype" w:eastAsia="Times New Roman" w:hAnsi="Palatino Linotype" w:cs="Arial"/>
          <w:bCs/>
          <w:spacing w:val="-8"/>
          <w:lang w:val="es-MX"/>
        </w:rPr>
      </w:pPr>
      <w:r w:rsidRPr="00D66245">
        <w:rPr>
          <w:rFonts w:ascii="Palatino Linotype" w:eastAsia="Times New Roman" w:hAnsi="Palatino Linotype" w:cs="Arial"/>
          <w:bCs/>
          <w:spacing w:val="-8"/>
          <w:lang w:val="es-MX"/>
        </w:rPr>
        <w:t>Dr. Enrique N. Ulate Chacón</w:t>
      </w:r>
      <w:r w:rsidR="00F201FE" w:rsidRPr="00D66245">
        <w:rPr>
          <w:rFonts w:ascii="Palatino Linotype" w:eastAsia="Times New Roman" w:hAnsi="Palatino Linotype" w:cs="Arial"/>
          <w:bCs/>
          <w:spacing w:val="-8"/>
          <w:lang w:val="es-MX"/>
        </w:rPr>
        <w:tab/>
      </w:r>
      <w:r w:rsidR="00425296">
        <w:rPr>
          <w:rFonts w:ascii="Palatino Linotype" w:eastAsia="Times New Roman" w:hAnsi="Palatino Linotype" w:cs="Arial"/>
          <w:bCs/>
          <w:spacing w:val="-8"/>
          <w:lang w:val="es-MX"/>
        </w:rPr>
        <w:t>501</w:t>
      </w:r>
    </w:p>
    <w:p w14:paraId="57406DF0" w14:textId="77777777" w:rsidR="00F201FE" w:rsidRPr="00D66245" w:rsidRDefault="00F201FE" w:rsidP="00F201FE">
      <w:pPr>
        <w:tabs>
          <w:tab w:val="right" w:leader="dot" w:pos="9185"/>
        </w:tabs>
        <w:spacing w:after="0" w:line="240" w:lineRule="auto"/>
        <w:rPr>
          <w:rFonts w:ascii="Palatino Linotype" w:eastAsia="Times New Roman" w:hAnsi="Palatino Linotype" w:cs="Arial"/>
          <w:bCs/>
          <w:spacing w:val="-8"/>
          <w:lang w:val="es-MX"/>
        </w:rPr>
      </w:pPr>
    </w:p>
    <w:p w14:paraId="4E259B18" w14:textId="7AE5E18D" w:rsidR="000B2F75" w:rsidRPr="00D66245" w:rsidRDefault="000B2F75" w:rsidP="00F201FE">
      <w:pPr>
        <w:tabs>
          <w:tab w:val="right" w:leader="dot" w:pos="9185"/>
        </w:tabs>
        <w:spacing w:after="0" w:line="240" w:lineRule="auto"/>
        <w:rPr>
          <w:rFonts w:ascii="Palatino Linotype" w:eastAsia="Times New Roman" w:hAnsi="Palatino Linotype" w:cs="Arial"/>
          <w:b/>
          <w:bCs/>
          <w:spacing w:val="-8"/>
          <w:lang w:val="es-MX"/>
        </w:rPr>
      </w:pPr>
      <w:r w:rsidRPr="00D66245">
        <w:rPr>
          <w:rFonts w:ascii="Palatino Linotype" w:eastAsia="Times New Roman" w:hAnsi="Palatino Linotype"/>
          <w:b/>
          <w:lang w:val="es-ES_tradnl"/>
        </w:rPr>
        <w:t>Fiabilidad de la prueba testimonial, los reconocimientos oculares y los peritajes de credibilidad</w:t>
      </w:r>
    </w:p>
    <w:p w14:paraId="214B6FCB" w14:textId="5966C6FF" w:rsidR="00F201FE" w:rsidRDefault="000B2F75" w:rsidP="00F201FE">
      <w:pPr>
        <w:tabs>
          <w:tab w:val="right" w:leader="dot" w:pos="9185"/>
        </w:tabs>
        <w:spacing w:after="0" w:line="240" w:lineRule="auto"/>
        <w:rPr>
          <w:rFonts w:ascii="Palatino Linotype" w:eastAsia="Times New Roman" w:hAnsi="Palatino Linotype" w:cs="Arial"/>
          <w:bCs/>
          <w:spacing w:val="-8"/>
          <w:lang w:val="es-MX"/>
        </w:rPr>
      </w:pPr>
      <w:r w:rsidRPr="00D66245">
        <w:rPr>
          <w:rFonts w:ascii="Palatino Linotype" w:eastAsia="Times New Roman" w:hAnsi="Palatino Linotype"/>
          <w:lang w:val="es-ES_tradnl"/>
        </w:rPr>
        <w:t>Jeffry José Mora Sánchez</w:t>
      </w:r>
      <w:r w:rsidR="00F201FE" w:rsidRPr="00D66245">
        <w:rPr>
          <w:rFonts w:ascii="Palatino Linotype" w:eastAsia="Times New Roman" w:hAnsi="Palatino Linotype" w:cs="Arial"/>
          <w:bCs/>
          <w:spacing w:val="-8"/>
          <w:lang w:val="es-MX"/>
        </w:rPr>
        <w:tab/>
      </w:r>
      <w:r w:rsidR="000256DD">
        <w:rPr>
          <w:rFonts w:ascii="Palatino Linotype" w:eastAsia="Times New Roman" w:hAnsi="Palatino Linotype" w:cs="Arial"/>
          <w:bCs/>
          <w:spacing w:val="-8"/>
          <w:lang w:val="es-MX"/>
        </w:rPr>
        <w:t>53</w:t>
      </w:r>
      <w:r w:rsidR="00425296">
        <w:rPr>
          <w:rFonts w:ascii="Palatino Linotype" w:eastAsia="Times New Roman" w:hAnsi="Palatino Linotype" w:cs="Arial"/>
          <w:bCs/>
          <w:spacing w:val="-8"/>
          <w:lang w:val="es-MX"/>
        </w:rPr>
        <w:t>5</w:t>
      </w:r>
    </w:p>
    <w:p w14:paraId="56ECF988" w14:textId="4EADEBDA" w:rsidR="0027447C" w:rsidRDefault="0027447C" w:rsidP="00F201FE">
      <w:pPr>
        <w:tabs>
          <w:tab w:val="right" w:leader="dot" w:pos="9185"/>
        </w:tabs>
        <w:spacing w:after="0" w:line="240" w:lineRule="auto"/>
        <w:rPr>
          <w:rFonts w:ascii="Palatino Linotype" w:eastAsia="Times New Roman" w:hAnsi="Palatino Linotype" w:cs="Arial"/>
          <w:bCs/>
          <w:spacing w:val="-8"/>
          <w:lang w:val="es-MX"/>
        </w:rPr>
      </w:pPr>
    </w:p>
    <w:p w14:paraId="405EC80D" w14:textId="69D8A4FC" w:rsidR="00CB0C30" w:rsidRPr="00D66245" w:rsidRDefault="00CB0C30" w:rsidP="00CB0C30">
      <w:pPr>
        <w:tabs>
          <w:tab w:val="right" w:leader="dot" w:pos="9185"/>
        </w:tabs>
        <w:spacing w:after="0" w:line="240" w:lineRule="auto"/>
        <w:rPr>
          <w:rFonts w:ascii="Palatino Linotype" w:eastAsia="Times New Roman" w:hAnsi="Palatino Linotype" w:cs="Arial"/>
          <w:b/>
          <w:bCs/>
          <w:spacing w:val="-8"/>
          <w:lang w:val="es-MX"/>
        </w:rPr>
      </w:pPr>
      <w:r w:rsidRPr="006229D5">
        <w:rPr>
          <w:rFonts w:ascii="Palatino Linotype" w:eastAsia="Arial" w:hAnsi="Palatino Linotype" w:cs="Arial"/>
          <w:b/>
          <w:color w:val="000000"/>
          <w:lang w:val="es-ES_tradnl" w:eastAsia="es-ES_tradnl"/>
        </w:rPr>
        <w:t>La apelación en el proceso penal costarricense</w:t>
      </w:r>
    </w:p>
    <w:p w14:paraId="0F2D7398" w14:textId="6AF30AE2" w:rsidR="00CB0C30" w:rsidRDefault="00CB0C30" w:rsidP="00CB0C30">
      <w:pPr>
        <w:tabs>
          <w:tab w:val="right" w:leader="dot" w:pos="9185"/>
        </w:tabs>
        <w:spacing w:after="0" w:line="240" w:lineRule="auto"/>
        <w:rPr>
          <w:rFonts w:ascii="Palatino Linotype" w:eastAsia="Times New Roman" w:hAnsi="Palatino Linotype" w:cs="Arial"/>
          <w:bCs/>
          <w:spacing w:val="-8"/>
          <w:lang w:val="es-MX"/>
        </w:rPr>
      </w:pPr>
      <w:r w:rsidRPr="00CB0C30">
        <w:rPr>
          <w:rFonts w:ascii="Palatino Linotype" w:eastAsia="Arial" w:hAnsi="Palatino Linotype" w:cs="Arial"/>
          <w:color w:val="000000"/>
          <w:lang w:val="es-ES_tradnl" w:eastAsia="es-ES_tradnl"/>
        </w:rPr>
        <w:t>Dr. Erick Gatgens Gómez</w:t>
      </w:r>
      <w:r w:rsidRPr="00D66245">
        <w:rPr>
          <w:rFonts w:ascii="Palatino Linotype" w:eastAsia="Times New Roman" w:hAnsi="Palatino Linotype" w:cs="Arial"/>
          <w:bCs/>
          <w:spacing w:val="-8"/>
          <w:lang w:val="es-MX"/>
        </w:rPr>
        <w:tab/>
      </w:r>
      <w:r>
        <w:rPr>
          <w:rFonts w:ascii="Palatino Linotype" w:eastAsia="Times New Roman" w:hAnsi="Palatino Linotype" w:cs="Arial"/>
          <w:bCs/>
          <w:spacing w:val="-8"/>
          <w:lang w:val="es-MX"/>
        </w:rPr>
        <w:t>58</w:t>
      </w:r>
      <w:r w:rsidR="00944402">
        <w:rPr>
          <w:rFonts w:ascii="Palatino Linotype" w:eastAsia="Times New Roman" w:hAnsi="Palatino Linotype" w:cs="Arial"/>
          <w:bCs/>
          <w:spacing w:val="-8"/>
          <w:lang w:val="es-MX"/>
        </w:rPr>
        <w:t>3</w:t>
      </w:r>
    </w:p>
    <w:p w14:paraId="2D01C3CF" w14:textId="0F9CF21B" w:rsidR="00E87246" w:rsidRDefault="00E87246" w:rsidP="00CB0C30">
      <w:pPr>
        <w:tabs>
          <w:tab w:val="right" w:leader="dot" w:pos="9185"/>
        </w:tabs>
        <w:spacing w:after="0" w:line="240" w:lineRule="auto"/>
        <w:rPr>
          <w:rFonts w:ascii="Palatino Linotype" w:eastAsia="Times New Roman" w:hAnsi="Palatino Linotype" w:cs="Arial"/>
          <w:bCs/>
          <w:spacing w:val="-8"/>
          <w:lang w:val="es-MX"/>
        </w:rPr>
      </w:pPr>
    </w:p>
    <w:p w14:paraId="1CD27707" w14:textId="67306AE7" w:rsidR="00E87246" w:rsidRPr="00D66245" w:rsidRDefault="00E87246" w:rsidP="00E87246">
      <w:pPr>
        <w:tabs>
          <w:tab w:val="right" w:leader="dot" w:pos="9185"/>
        </w:tabs>
        <w:spacing w:after="0" w:line="240" w:lineRule="auto"/>
        <w:rPr>
          <w:rFonts w:ascii="Palatino Linotype" w:eastAsia="Times New Roman" w:hAnsi="Palatino Linotype" w:cs="Arial"/>
          <w:b/>
          <w:bCs/>
          <w:spacing w:val="-8"/>
          <w:lang w:val="es-MX"/>
        </w:rPr>
      </w:pPr>
      <w:r w:rsidRPr="004B4815">
        <w:rPr>
          <w:rFonts w:ascii="Palatino Linotype" w:hAnsi="Palatino Linotype" w:cs="Arial"/>
          <w:b/>
        </w:rPr>
        <w:t xml:space="preserve">La </w:t>
      </w:r>
      <w:r>
        <w:rPr>
          <w:rFonts w:ascii="Palatino Linotype" w:hAnsi="Palatino Linotype" w:cs="Arial"/>
          <w:b/>
        </w:rPr>
        <w:t>a</w:t>
      </w:r>
      <w:r w:rsidRPr="004B4815">
        <w:rPr>
          <w:rFonts w:ascii="Palatino Linotype" w:hAnsi="Palatino Linotype" w:cs="Arial"/>
          <w:b/>
        </w:rPr>
        <w:t xml:space="preserve">cción </w:t>
      </w:r>
      <w:r>
        <w:rPr>
          <w:rFonts w:ascii="Palatino Linotype" w:hAnsi="Palatino Linotype" w:cs="Arial"/>
          <w:b/>
        </w:rPr>
        <w:t>c</w:t>
      </w:r>
      <w:r w:rsidRPr="004B4815">
        <w:rPr>
          <w:rFonts w:ascii="Palatino Linotype" w:hAnsi="Palatino Linotype" w:cs="Arial"/>
          <w:b/>
        </w:rPr>
        <w:t xml:space="preserve">ivil </w:t>
      </w:r>
      <w:r>
        <w:rPr>
          <w:rFonts w:ascii="Palatino Linotype" w:hAnsi="Palatino Linotype" w:cs="Arial"/>
          <w:b/>
        </w:rPr>
        <w:t>y</w:t>
      </w:r>
      <w:r w:rsidRPr="004B4815">
        <w:rPr>
          <w:rFonts w:ascii="Palatino Linotype" w:hAnsi="Palatino Linotype" w:cs="Arial"/>
          <w:b/>
        </w:rPr>
        <w:t xml:space="preserve"> </w:t>
      </w:r>
      <w:r>
        <w:rPr>
          <w:rFonts w:ascii="Palatino Linotype" w:hAnsi="Palatino Linotype" w:cs="Arial"/>
          <w:b/>
        </w:rPr>
        <w:t>e</w:t>
      </w:r>
      <w:r w:rsidRPr="004B4815">
        <w:rPr>
          <w:rFonts w:ascii="Palatino Linotype" w:hAnsi="Palatino Linotype" w:cs="Arial"/>
          <w:b/>
        </w:rPr>
        <w:t>l Nuevo Código Procesal Civil</w:t>
      </w:r>
    </w:p>
    <w:p w14:paraId="15FEC725" w14:textId="4CBE084A" w:rsidR="00E87246" w:rsidRPr="00E87246" w:rsidRDefault="00E87246" w:rsidP="00E87246">
      <w:pPr>
        <w:tabs>
          <w:tab w:val="right" w:leader="dot" w:pos="9185"/>
        </w:tabs>
        <w:spacing w:after="0" w:line="240" w:lineRule="auto"/>
        <w:rPr>
          <w:rFonts w:ascii="Palatino Linotype" w:eastAsia="Times New Roman" w:hAnsi="Palatino Linotype" w:cs="Arial"/>
          <w:bCs/>
          <w:spacing w:val="-8"/>
          <w:lang w:val="es-MX"/>
        </w:rPr>
      </w:pPr>
      <w:r w:rsidRPr="00E87246">
        <w:rPr>
          <w:rFonts w:ascii="Palatino Linotype" w:hAnsi="Palatino Linotype" w:cs="Arial"/>
        </w:rPr>
        <w:t>Dr. Rafael Ángel Sanabria Rojas</w:t>
      </w:r>
      <w:r w:rsidRPr="00D66245">
        <w:rPr>
          <w:rFonts w:ascii="Palatino Linotype" w:eastAsia="Times New Roman" w:hAnsi="Palatino Linotype" w:cs="Arial"/>
          <w:bCs/>
          <w:spacing w:val="-8"/>
          <w:lang w:val="es-MX"/>
        </w:rPr>
        <w:tab/>
      </w:r>
      <w:r>
        <w:rPr>
          <w:rFonts w:ascii="Palatino Linotype" w:eastAsia="Times New Roman" w:hAnsi="Palatino Linotype" w:cs="Arial"/>
          <w:bCs/>
          <w:spacing w:val="-8"/>
          <w:lang w:val="es-MX"/>
        </w:rPr>
        <w:t>61</w:t>
      </w:r>
      <w:r w:rsidR="00944402">
        <w:rPr>
          <w:rFonts w:ascii="Palatino Linotype" w:eastAsia="Times New Roman" w:hAnsi="Palatino Linotype" w:cs="Arial"/>
          <w:bCs/>
          <w:spacing w:val="-8"/>
          <w:lang w:val="es-MX"/>
        </w:rPr>
        <w:t>5</w:t>
      </w:r>
    </w:p>
    <w:p w14:paraId="013DF14D" w14:textId="77777777" w:rsidR="00CB0C30" w:rsidRDefault="00CB0C30" w:rsidP="00F201FE">
      <w:pPr>
        <w:tabs>
          <w:tab w:val="right" w:leader="dot" w:pos="9185"/>
        </w:tabs>
        <w:spacing w:after="0" w:line="240" w:lineRule="auto"/>
        <w:rPr>
          <w:rFonts w:ascii="Palatino Linotype" w:eastAsia="Times New Roman" w:hAnsi="Palatino Linotype" w:cs="Arial"/>
          <w:bCs/>
          <w:spacing w:val="-8"/>
          <w:lang w:val="es-MX"/>
        </w:rPr>
      </w:pPr>
    </w:p>
    <w:p w14:paraId="0644807F" w14:textId="5ED9EFFD" w:rsidR="0027447C" w:rsidRPr="006229D5" w:rsidRDefault="0027447C" w:rsidP="00CB0C30">
      <w:pPr>
        <w:widowControl w:val="0"/>
        <w:pBdr>
          <w:top w:val="nil"/>
          <w:left w:val="nil"/>
          <w:bottom w:val="nil"/>
          <w:right w:val="nil"/>
          <w:between w:val="nil"/>
        </w:pBdr>
        <w:spacing w:before="120" w:after="200"/>
        <w:rPr>
          <w:rFonts w:ascii="Palatino Linotype" w:eastAsia="Arial" w:hAnsi="Palatino Linotype" w:cs="Arial"/>
          <w:b/>
          <w:color w:val="000000"/>
          <w:lang w:val="es-ES_tradnl" w:eastAsia="es-ES_tradnl"/>
        </w:rPr>
      </w:pPr>
    </w:p>
    <w:p w14:paraId="2833E420" w14:textId="522E798E" w:rsidR="0027447C" w:rsidRPr="00CB0C30" w:rsidRDefault="0027447C" w:rsidP="0027447C">
      <w:pPr>
        <w:tabs>
          <w:tab w:val="right" w:leader="dot" w:pos="9185"/>
        </w:tabs>
        <w:spacing w:after="0" w:line="240" w:lineRule="auto"/>
        <w:rPr>
          <w:rFonts w:ascii="Palatino Linotype" w:eastAsia="Times New Roman" w:hAnsi="Palatino Linotype" w:cs="Arial"/>
          <w:bCs/>
          <w:spacing w:val="-8"/>
          <w:lang w:val="es-MX"/>
        </w:rPr>
      </w:pPr>
    </w:p>
    <w:bookmarkEnd w:id="2"/>
    <w:p w14:paraId="15344EEE" w14:textId="77777777" w:rsidR="000B2F75" w:rsidRPr="00D66245" w:rsidRDefault="000B2F75" w:rsidP="000B2F75">
      <w:pPr>
        <w:tabs>
          <w:tab w:val="right" w:leader="dot" w:pos="9185"/>
        </w:tabs>
        <w:spacing w:after="0" w:line="240" w:lineRule="auto"/>
        <w:rPr>
          <w:rFonts w:ascii="Palatino Linotype" w:eastAsia="Times New Roman" w:hAnsi="Palatino Linotype"/>
          <w:b/>
          <w:lang w:val="es-ES_tradnl"/>
        </w:rPr>
      </w:pPr>
    </w:p>
    <w:p w14:paraId="743F6193" w14:textId="5D74BFA2" w:rsidR="000B2F75" w:rsidRPr="00D66245" w:rsidRDefault="000B2F75" w:rsidP="000B2F75">
      <w:pPr>
        <w:tabs>
          <w:tab w:val="right" w:leader="dot" w:pos="9185"/>
        </w:tabs>
        <w:spacing w:after="0" w:line="240" w:lineRule="auto"/>
        <w:rPr>
          <w:rFonts w:ascii="Palatino Linotype" w:eastAsia="Times New Roman" w:hAnsi="Palatino Linotype" w:cs="Arial"/>
          <w:bCs/>
          <w:spacing w:val="-8"/>
          <w:lang w:val="es-MX"/>
        </w:rPr>
      </w:pPr>
    </w:p>
    <w:p w14:paraId="43C798A7" w14:textId="77777777" w:rsidR="00C11F9F" w:rsidRDefault="00C11F9F" w:rsidP="00FE353F">
      <w:pPr>
        <w:spacing w:before="120" w:after="200"/>
        <w:jc w:val="center"/>
        <w:rPr>
          <w:rFonts w:ascii="Palatino Linotype" w:hAnsi="Palatino Linotype"/>
          <w:b/>
        </w:rPr>
        <w:sectPr w:rsidR="00C11F9F" w:rsidSect="006229D5">
          <w:headerReference w:type="even" r:id="rId18"/>
          <w:type w:val="oddPage"/>
          <w:pgSz w:w="12242" w:h="15842" w:code="1"/>
          <w:pgMar w:top="1474" w:right="2098" w:bottom="1021" w:left="2778" w:header="851" w:footer="2835" w:gutter="0"/>
          <w:cols w:space="708"/>
          <w:titlePg/>
          <w:docGrid w:linePitch="360"/>
        </w:sectPr>
      </w:pPr>
    </w:p>
    <w:p w14:paraId="5D553739" w14:textId="41BE8E4D" w:rsidR="00FE353F" w:rsidRPr="00D66245" w:rsidRDefault="00C11F9F" w:rsidP="00FE353F">
      <w:pPr>
        <w:spacing w:before="120" w:after="200"/>
        <w:jc w:val="center"/>
        <w:rPr>
          <w:rFonts w:ascii="Palatino Linotype" w:hAnsi="Palatino Linotype"/>
          <w:b/>
        </w:rPr>
      </w:pPr>
      <w:r w:rsidRPr="00D66245">
        <w:rPr>
          <w:rFonts w:ascii="Palatino Linotype" w:hAnsi="Palatino Linotype"/>
          <w:b/>
        </w:rPr>
        <w:lastRenderedPageBreak/>
        <w:t>ARBITRAJE COMERCIAL Y CÓDIGO PROCESAL CIVIL: (IN) COMPATIBILIDADES</w:t>
      </w:r>
    </w:p>
    <w:p w14:paraId="29347CFF" w14:textId="77777777" w:rsidR="00FE353F" w:rsidRPr="00D66245" w:rsidRDefault="00FE353F" w:rsidP="00FE353F">
      <w:pPr>
        <w:spacing w:before="120" w:after="200"/>
        <w:jc w:val="right"/>
        <w:rPr>
          <w:rFonts w:ascii="Palatino Linotype" w:hAnsi="Palatino Linotype"/>
          <w:b/>
        </w:rPr>
      </w:pPr>
      <w:r w:rsidRPr="00D66245">
        <w:rPr>
          <w:rFonts w:ascii="Palatino Linotype" w:hAnsi="Palatino Linotype"/>
          <w:b/>
        </w:rPr>
        <w:t>Mauricio París</w:t>
      </w:r>
      <w:bookmarkEnd w:id="0"/>
      <w:r w:rsidRPr="00D66245">
        <w:rPr>
          <w:rStyle w:val="Refdenotaalpie"/>
          <w:rFonts w:ascii="Palatino Linotype" w:hAnsi="Palatino Linotype"/>
          <w:b/>
        </w:rPr>
        <w:footnoteReference w:id="1"/>
      </w:r>
    </w:p>
    <w:p w14:paraId="5DABFCB4" w14:textId="77777777" w:rsidR="00FE353F" w:rsidRPr="00D66245" w:rsidRDefault="00FE353F" w:rsidP="00FE353F">
      <w:pPr>
        <w:spacing w:before="120" w:after="200"/>
        <w:jc w:val="both"/>
        <w:rPr>
          <w:rFonts w:ascii="Palatino Linotype" w:hAnsi="Palatino Linotype"/>
          <w:b/>
        </w:rPr>
      </w:pPr>
      <w:r w:rsidRPr="00D66245">
        <w:rPr>
          <w:rFonts w:ascii="Palatino Linotype" w:hAnsi="Palatino Linotype"/>
          <w:b/>
        </w:rPr>
        <w:t>Introducción</w:t>
      </w:r>
    </w:p>
    <w:p w14:paraId="2A0A7CD4"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Se comenta en pasillos de congresos y facultades sobre cómo el nuevo Código Procesal Civil (en lo sucesivo CPC) que entró en vigor el 8 de octubre de 2018, incidirá en la práctica del arbitraje en Costa Rica. Algunos comentaristas dicen que el CPC le restará usuarios al arbitraje en el tanto las semejanzas entre el proceso ordinario y el procedimiento arbitral son tantas que no se justifica pactar una cláusula arbitral y asumir los costes asociados al mismo, sobre todo, si la diferencia en tiempo de resolución del conflicto no es tampoco significativa entre ambos procesos. Otros comentaristas opinan que esto no es correcto, que, si bien el nuevo CPC puede simplificar el procedimiento ordinario y que la oralidad se ve potencializada, la disminución en tiempos no será significativa y el arbitraje sigue manteniendo el mismo atractivo para los usuarios.</w:t>
      </w:r>
    </w:p>
    <w:p w14:paraId="6F639905"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Ambos enfoques pueden tener algo de verdad, pero lo cierto del caso es que, aun y cuando el procedimiento ordinario y el procedimiento arbitral son procesos completamente diferentes (tanto que en el pasado he abogado por su divorcio</w:t>
      </w:r>
      <w:r w:rsidRPr="00D66245">
        <w:rPr>
          <w:rStyle w:val="Refdenotaalpie"/>
          <w:rFonts w:ascii="Palatino Linotype" w:hAnsi="Palatino Linotype"/>
        </w:rPr>
        <w:footnoteReference w:id="2"/>
      </w:r>
      <w:r w:rsidRPr="00D66245">
        <w:rPr>
          <w:rFonts w:ascii="Palatino Linotype" w:hAnsi="Palatino Linotype"/>
        </w:rPr>
        <w:t xml:space="preserve">), el procedimiento jurisdiccional tiene aun hoy una importante influencia sobre el procedimiento arbitral doméstico en Costa Rica. De allí que, un mejor procedimiento jurisdiccional civil y comercial podrá influir en un mejor procedimiento arbitral, por lo que con el nuevo </w:t>
      </w:r>
      <w:r w:rsidRPr="00D66245">
        <w:rPr>
          <w:rFonts w:ascii="Palatino Linotype" w:hAnsi="Palatino Linotype"/>
        </w:rPr>
        <w:lastRenderedPageBreak/>
        <w:t>CPC el arbitraje también se podrá ver potencializado en el mediano y largo plazo.</w:t>
      </w:r>
    </w:p>
    <w:p w14:paraId="5AF24402"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Esta influencia de la legislación procesal en el arbitraje a la que me refiero tiene su génesis en el artículo 39 in fine de la Ley RAC, en el tanto establece que “Las normas procesales de la legislación costarricense integrarán, en lo que resulte compatible, el procedimiento arbitral.” Esta norma, que en el pasado se interpretaba por algunos árbitros como que al arbitraje se le aplicaba automáticamente el CPC, y que en algunos casos convertía los arbitrajes en auténticos “ordinarios privados”, ha venido ajustándose poco a poco a su verdadero sentido: </w:t>
      </w:r>
    </w:p>
    <w:p w14:paraId="1B27EFD9"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a) No sólo el CPC puede integrar el proceso arbitral, sino que puede hacerlo cualquier otra norma procesal costarricense, </w:t>
      </w:r>
    </w:p>
    <w:p w14:paraId="6629199E"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b) Para que la integración sea posible la norma debe pasar un test de compatibilidad con los principios que rigen al arbitraje, y; </w:t>
      </w:r>
    </w:p>
    <w:p w14:paraId="51C8AEAB"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c) la norma por antonomasia para integrar la Ley RAC es la Ley de Arbitraje Comercial Internacional</w:t>
      </w:r>
      <w:r w:rsidRPr="00D66245">
        <w:rPr>
          <w:rStyle w:val="Refdenotaalpie"/>
          <w:rFonts w:ascii="Palatino Linotype" w:hAnsi="Palatino Linotype"/>
        </w:rPr>
        <w:footnoteReference w:id="3"/>
      </w:r>
      <w:r w:rsidRPr="00D66245">
        <w:rPr>
          <w:rFonts w:ascii="Palatino Linotype" w:hAnsi="Palatino Linotype"/>
        </w:rPr>
        <w:t xml:space="preserve"> (en lo sucesivo LACI), que no solo es una norma procesal de la legislación costarricense, sino que recoge las mejores prácticas del arbitraje, al ser basada en la Ley Modelo de la Comisión de las Naciones Unidas sobre del Derecho Comercial Internacional (CNUDMI). </w:t>
      </w:r>
    </w:p>
    <w:p w14:paraId="1AE1C205" w14:textId="73F670D0" w:rsidR="00FE353F" w:rsidRDefault="00FE353F" w:rsidP="00FE353F">
      <w:pPr>
        <w:spacing w:before="120" w:after="200"/>
        <w:ind w:firstLine="709"/>
        <w:jc w:val="both"/>
        <w:rPr>
          <w:rFonts w:ascii="Palatino Linotype" w:hAnsi="Palatino Linotype"/>
        </w:rPr>
      </w:pPr>
      <w:r w:rsidRPr="00D66245">
        <w:rPr>
          <w:rFonts w:ascii="Palatino Linotype" w:hAnsi="Palatino Linotype"/>
        </w:rPr>
        <w:t>El análisis que haré en estas líneas no pretende llegar a una conclusión sobre la superioridad científica o normativa de uno u otro procedimiento, sino simplemente sentar elementos sobre los que ambas instituciones compartan visiones o difieran de ellas. Al final de cuentas, ambos procedimientos son reglas para la conducción de debates que siempre versarán sobre derecho de fondo. Corresponde a los abogados determinar cuáles reglas podrán ser más adecuadas para la implementación de un determinado debate, de acuerdo a la estrategia procesal, la situación de las partes y la naturaleza de la disputa.</w:t>
      </w:r>
    </w:p>
    <w:p w14:paraId="61DD02DF" w14:textId="77777777" w:rsidR="00FE353F" w:rsidRPr="00D66245" w:rsidRDefault="00FE353F" w:rsidP="00FE353F">
      <w:pPr>
        <w:pStyle w:val="Prrafodelista"/>
        <w:numPr>
          <w:ilvl w:val="0"/>
          <w:numId w:val="8"/>
        </w:numPr>
        <w:spacing w:before="120" w:after="200" w:line="240" w:lineRule="auto"/>
        <w:ind w:left="0" w:firstLine="0"/>
        <w:contextualSpacing w:val="0"/>
        <w:jc w:val="both"/>
        <w:rPr>
          <w:rFonts w:ascii="Palatino Linotype" w:hAnsi="Palatino Linotype"/>
          <w:b/>
          <w:lang w:val="es-ES"/>
        </w:rPr>
      </w:pPr>
      <w:r w:rsidRPr="00D66245">
        <w:rPr>
          <w:rFonts w:ascii="Palatino Linotype" w:hAnsi="Palatino Linotype"/>
          <w:b/>
          <w:lang w:val="es-ES"/>
        </w:rPr>
        <w:lastRenderedPageBreak/>
        <w:t>La flexibilización procesal y el carácter dispositivo del proceso</w:t>
      </w:r>
    </w:p>
    <w:p w14:paraId="76C402AB"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El artículo 3.3 CPC contiene reglas de interpretación procesal que parten de la naturaleza instrumental del proceso, pero con el mandato de que el juzgador debe despojarse de “formalismos innecesarios”. Este principio de informalidad se recoge también en el artículo 24.1 CPC en el tanto establece que: “Los actos procesales no estarán sujetos a formas determinadas, sino cuando la ley expresamente lo exija”.  Este principio de informalidad permea el texto en varios de sus artículos y ha sido señalado como uno de los principales beneficios con respecto a la norma anterior.</w:t>
      </w:r>
    </w:p>
    <w:p w14:paraId="58A75C45"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El artículo 2.4 CPC establece la naturaleza dispositiva del proceso:</w:t>
      </w:r>
    </w:p>
    <w:p w14:paraId="278BB08A"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“Dispositivo. La iniciación del proceso incumbe exclusivamente a los interesados, quienes podrán terminarlo de forma unilateral y bilateral, de acuerdo con lo regulado por la ley. </w:t>
      </w:r>
      <w:r w:rsidRPr="00D66245">
        <w:rPr>
          <w:rFonts w:ascii="Palatino Linotype" w:hAnsi="Palatino Linotype"/>
          <w:b/>
        </w:rPr>
        <w:t>Las partes podrán disponer de sus derechos procesales, siempre que no sean indisponibles</w:t>
      </w:r>
      <w:r w:rsidRPr="00D66245">
        <w:rPr>
          <w:rFonts w:ascii="Palatino Linotype" w:hAnsi="Palatino Linotype"/>
        </w:rPr>
        <w:t>. A nadie se puede obligar a formular una demanda, salvo disposición legal en contrario.”</w:t>
      </w:r>
    </w:p>
    <w:p w14:paraId="35006012"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Por su parte, el artículo 3.5. CPC establece: </w:t>
      </w:r>
    </w:p>
    <w:p w14:paraId="6A726662"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“Indisponibilidad de las normas procesales. Las partes no podrán, por acuerdo entre ellas y ni siquiera con la autorización del tribunal, </w:t>
      </w:r>
      <w:r w:rsidRPr="00D66245">
        <w:rPr>
          <w:rFonts w:ascii="Palatino Linotype" w:hAnsi="Palatino Linotype"/>
          <w:b/>
        </w:rPr>
        <w:t>disponer o renunciar de manera anticipada a las normas procesales, salvo los supuestos de mecanismos alternos de solución de conflictos</w:t>
      </w:r>
      <w:r w:rsidRPr="00D66245">
        <w:rPr>
          <w:rFonts w:ascii="Palatino Linotype" w:hAnsi="Palatino Linotype"/>
        </w:rPr>
        <w:t>, sumisión de competencia admisible, ejecuciones extrajudiciales o actos jurídicos expresamente previstos en el ordenamiento jurídico.”</w:t>
      </w:r>
    </w:p>
    <w:p w14:paraId="41CEA142"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Si bien la primera de las normas establece que las partes pueden disponer de sus “derechos procesales”, establece que esa limitación está sujeta a que los mismos no resulten indisponibles, sin definir los supuestos de indisponibilidad. Se debe entender que todo derecho es disponible salvo que una norma expresamente establezca que no lo es. El artículo 3.5 no regula los derechos de las partes, sino las normas procesales, y establece que son indisponibles de manera anticipada, con lo que debe entenderse que, caso contrario, son disponibles. </w:t>
      </w:r>
    </w:p>
    <w:p w14:paraId="2F0D2AC8"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lastRenderedPageBreak/>
        <w:t>Se establece como supuesto de disponibilidad de las normas procesales los mecanismos alternos de solución de conflictos, previendo el caso de la renuncia a la jurisdicción común contenida en una cláusula arbitral, aunque al no limitarse al arbitraje, también abarcaría la conciliación o cualquier otro mecanismo de solución de conflictos, por ejemplo, un comité de resolución de controversias.</w:t>
      </w:r>
    </w:p>
    <w:p w14:paraId="272F1146"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¿Sería aplicable la indisponibilidad de las normas procesales establecida en el artículo 3.5 al arbitraje? Si bien defiendo la independencia normativa del arbitraje, lo cierto del caso es que en virtud del artículo 39 in fine de la Ley RAC, la aplicación supletoria del CPC en el arbitraje doméstico resulta jurídicamente plausible, siempre y cuando la normativa a aplicar supletoriamente resulte compatible con los principios del arbitraje.</w:t>
      </w:r>
    </w:p>
    <w:p w14:paraId="1BDA9E4B"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Ese test de compatibilidad normativa debe respetar los principios aplicables al arbitraje, algunos de los cuales regula el propio artículo 39 de la Ley RAC: debido proceso, derecho de defensa, contradicción, oralidad, concentración, informalidad y verdad real. </w:t>
      </w:r>
    </w:p>
    <w:p w14:paraId="2CF7615D"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Regresando al análisis general de las normas procesales mencionadas al inicio de este acápite, aun y cuando el CPC contiene un claro llamado a la informalidad y prevé la posibilidad de que las partes puedan disponer de normas y derechos bajo determinados supuestos, el proceso jurisdiccional mantiene una limitada disponibilidad en cuanto a su configuración. Es un proceso estandarizado al que las partes están sometidas sin posibilidad de personalizarlo a sus necesidades. Podrá ser un proceso informal, pero no es un proceso flexible.</w:t>
      </w:r>
    </w:p>
    <w:p w14:paraId="295EF684"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En contraposición, el arbitraje no es sólo informal, sino también flexible. El artículo 39 de la Ley RAC consagra el derecho de libre elección del procedimiento con el que cuentan las partes. Éstas podrán adoptar reglas procesales de una institución arbitral, en el caso de que decidan que el arbitraje sea institucional, o incluso darse sus propias normas, si el arbitraje es ad hoc. También podrán decidir si el caso se resuelve aplicando las normas legales, si el arbitraje es de derecho, o aplicando simplemente la equidad. Tal </w:t>
      </w:r>
      <w:r w:rsidRPr="00D66245">
        <w:rPr>
          <w:rFonts w:ascii="Palatino Linotype" w:hAnsi="Palatino Linotype"/>
        </w:rPr>
        <w:lastRenderedPageBreak/>
        <w:t>es la flexibilidad con que cuenta el arbitraje que las partes pueden escoger al o los árbitros que resolverán la controversia, o pactar el mecanismo para su nombramiento.</w:t>
      </w:r>
    </w:p>
    <w:p w14:paraId="6D91F201"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Este mecanismo, que puede parecer libertino, tiene asociado un doble sistema de control jurisdiccional: el recurso de nulidad con respecto al laudo arbitral y el reconocimiento, con respecto a los laudos emitidos fuera de Costa Rica.</w:t>
      </w:r>
    </w:p>
    <w:p w14:paraId="12FE0122" w14:textId="77777777" w:rsidR="00FE353F" w:rsidRPr="00D66245" w:rsidRDefault="00FE353F" w:rsidP="00FE353F">
      <w:pPr>
        <w:pStyle w:val="Prrafodelista"/>
        <w:numPr>
          <w:ilvl w:val="0"/>
          <w:numId w:val="8"/>
        </w:numPr>
        <w:spacing w:before="120" w:after="200" w:line="240" w:lineRule="auto"/>
        <w:ind w:left="0" w:firstLine="0"/>
        <w:contextualSpacing w:val="0"/>
        <w:jc w:val="both"/>
        <w:rPr>
          <w:rFonts w:ascii="Palatino Linotype" w:hAnsi="Palatino Linotype"/>
          <w:b/>
          <w:lang w:val="es-ES"/>
        </w:rPr>
      </w:pPr>
      <w:r w:rsidRPr="00D66245">
        <w:rPr>
          <w:rFonts w:ascii="Palatino Linotype" w:hAnsi="Palatino Linotype"/>
          <w:b/>
          <w:lang w:val="es-ES"/>
        </w:rPr>
        <w:t>Práctica de la prueba</w:t>
      </w:r>
    </w:p>
    <w:p w14:paraId="357E3711"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En materia probatoria es quizá en donde el nuevo CPC se asemeja más al arbitraje, sobre todo con la incorporación de la búsqueda de la verdad real como principio rector de toda la actividad probatoria. </w:t>
      </w:r>
    </w:p>
    <w:p w14:paraId="4613461E"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Establece el artículo 5 (6) del CPC como una potestad del tribunal: “Procurar la búsqueda de la verdad dentro de los límites establecidos en el ordenamiento jurídico”</w:t>
      </w:r>
      <w:r w:rsidRPr="00D66245">
        <w:rPr>
          <w:rFonts w:ascii="Palatino Linotype" w:hAnsi="Palatino Linotype"/>
          <w:i/>
        </w:rPr>
        <w:t>.</w:t>
      </w:r>
      <w:r w:rsidRPr="00D66245">
        <w:rPr>
          <w:rFonts w:ascii="Palatino Linotype" w:hAnsi="Palatino Linotype"/>
        </w:rPr>
        <w:t xml:space="preserve"> Este principio es concordante con otras novedades del Código: la matización del sistema de prueba tasada y la incorporación del concepto de carga dinámica de la prueba. </w:t>
      </w:r>
    </w:p>
    <w:p w14:paraId="6C75B68D"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En el arbitraje doméstico, el artículo 39 de la Ley RAC ya contenía el principio de verdad real, y aun y cuando el artículo 50 Ley RAC sigue atribuyendo a cada parte la carga de la prueba de los hechos en que fundamenta sus pretensiones o defensas, precisamente la búsqueda de la verdad real faculta a los árbitros a dinamizar esta disposición y a redistribuir la carga de la prueba a la parte que esté en mejor posición para probar un hecho en concreto, con la posibilidad, poco utilizada en la práctica, de hacer inferencias negativas con respecto a la conducta omisa o evasiva de una parte en presentar una prueba que se entiende en su poder.</w:t>
      </w:r>
    </w:p>
    <w:p w14:paraId="7AE92E43"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La matización de la prueba tasada ha hecho desaparecer la prueba confesional, sustituyéndola por la declaración de parte, aunque con la aplicación de una admisión tácita del interrogatorio en caso de no comparecencia, rehusarse a declarar o hacerlo de forma evasiva. En el arbitraje doméstico la confesional se venía practicando de forma idéntica a </w:t>
      </w:r>
      <w:r w:rsidRPr="00D66245">
        <w:rPr>
          <w:rFonts w:ascii="Palatino Linotype" w:hAnsi="Palatino Linotype"/>
        </w:rPr>
        <w:lastRenderedPageBreak/>
        <w:t>la judicial, aun y cuando algunos tribunales arbitrales aceptaban como prueba la declaración de la propia parte.</w:t>
      </w:r>
    </w:p>
    <w:p w14:paraId="5EA0C809"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No permite el CPC la declaración escrita de los testigos, práctica que, si bien no se estila aun en Costa Rica, es común en el arbitraje internacional y tiene un enorme beneficio en cuanto al tiempo y eficiencia de los interrogatorios. Debe aclararse que la declaración escrita en el arbitraje no sustituye al interrogatorio en audiencia, pero la limita a los casos en donde se solicita expresamente por la parte contraria a la que ofrece el testigo. Son muchos los casos en donde los testimonios de los testigos no son relevantes o no existe controversia sobre su declaración, por lo que la declaración por escrito sirve como filtro para determinar aquellos casos en donde el interrogatorio resulta esencial. Incluso puede verse como un asunto de transparencia, ya que tampoco son infrecuentes los casos en donde una parte desconoce por completo sobre qué declarará un testigo que se ofrece en un memorial de demanda o de contestación, y aquellos en donde la audiencia se vuelve un campo de batalla sobre el alcance de la declaración de un testigo con respecto a los hechos a los que fue o no ofrecido.</w:t>
      </w:r>
    </w:p>
    <w:p w14:paraId="426B95F3"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Otra novedad que incorpora el CPC en su artículo 44.1 es la posibilidad de que las partes puedan aportar dictámenes periciales o informes técnicos en condición de pericia de parte, aunque también se puede pedir al tribunal el nombramiento del perito. En este punto, la práctica procesal tradicional también ha permeado el arbitraje doméstico, en donde las partes suelen pedir al tribunal la designación de un perito, con la complejidad de que el tribunal arbitral no cuenta con una lista de peritos oficiales, como sucede en la jurisdicción común.</w:t>
      </w:r>
    </w:p>
    <w:p w14:paraId="3464547C"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Esta práctica judicial ha venido poco a poco siendo reemplazada en el arbitraje doméstico, en donde algunos tribunales han comenzado a separar entre las pericias de parte y las pericias del tribunal, que es el supuesto en el que el tribunal arbitral designa un perito de oficio para la aclaración de algún aspecto técnico de interés. Considero que las pericias de parte, y sobre todo la incorporación de los informes junto con los memoriales </w:t>
      </w:r>
      <w:r w:rsidRPr="00D66245">
        <w:rPr>
          <w:rFonts w:ascii="Palatino Linotype" w:hAnsi="Palatino Linotype"/>
        </w:rPr>
        <w:lastRenderedPageBreak/>
        <w:t xml:space="preserve">de demanda, réplica o reconvención, contribuyen a que el proceso sea más eficiente. </w:t>
      </w:r>
    </w:p>
    <w:p w14:paraId="0809DE49"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Se puede argumentar que la designación del perito por parte del tribunal (judicial o arbitral) aporta independencia al perito a la hora de realizar el informe. Esto puede ser parcialmente cierto, pero la independencia del perito no garantiza la calidad de su trabajo. El interrogatorio del perito, las declaraciones sobre su independencia que incluya en el informe, y la posibilidad de presentar contra informes son mecanismos de control sobre la independencia del perito. En la práctica, el sistema de listas de peritos o la designación a cargo del tribunal no garantiza la calidad del trabajo profesional: se rinden dictámenes periciales incompletos, parcializados, en muchos casos innecesarios o se designan peritos inadecuados para la prueba a rendir, con una pérdida de tiempo y recursos que repercute en la ralentización procesal. No todo es responsabilidad de los peritos, en muchos casos las culpas son concurrentes, cuando los litigantes no saben qué tienen que probar ni cómo probarlo. Se solicitan pericias en términos generales, se toman a la ligera las cualificaciones o la formación del perito</w:t>
      </w:r>
      <w:r w:rsidRPr="00D66245">
        <w:rPr>
          <w:rStyle w:val="Refdenotaalpie"/>
          <w:rFonts w:ascii="Palatino Linotype" w:hAnsi="Palatino Linotype"/>
        </w:rPr>
        <w:footnoteReference w:id="4"/>
      </w:r>
      <w:r w:rsidRPr="00D66245">
        <w:rPr>
          <w:rFonts w:ascii="Palatino Linotype" w:hAnsi="Palatino Linotype"/>
        </w:rPr>
        <w:t xml:space="preserve">. </w:t>
      </w:r>
    </w:p>
    <w:p w14:paraId="7DA143B3"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En el arbitraje en general, la práctica de la prueba es un aspecto deliberadamente omiso en las regulaciones aplicables, tanto en la legislación como en los reglamentos de arbitraje de las instituciones administradoras. Digo deliberadamente omiso porque la falta de regulación obedece precisamente a la libertad con que cuentan las partes de fijar las reglas aplicables al proceso, y a falta de acuerdo entre ellas, del tribunal para fijarlas. Esta ausencia de regulación exhaustiva puede generar una primera sensación de vértigo para el neófito en arbitraje, misma que fue llenada en la práctica arbitral costarricense con la aplicación del clausulado procesal civil, que resultaba lengua común para todos los practicantes.</w:t>
      </w:r>
    </w:p>
    <w:p w14:paraId="2EAF182C"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Una mayor sofisticación de la práctica arbitral, más formación profesional y la participación en arbitrajes internacionales, han permitido </w:t>
      </w:r>
      <w:r w:rsidRPr="00D66245">
        <w:rPr>
          <w:rFonts w:ascii="Palatino Linotype" w:hAnsi="Palatino Linotype"/>
        </w:rPr>
        <w:lastRenderedPageBreak/>
        <w:t>que el uso del CPC para llenar este vacío se haya moderado, aplicando en su lugar las Reglas de la IBA sobre práctica de pruebas en el arbitraje internacional</w:t>
      </w:r>
      <w:r w:rsidRPr="00D66245">
        <w:rPr>
          <w:rStyle w:val="Refdenotaalpie"/>
          <w:rFonts w:ascii="Palatino Linotype" w:hAnsi="Palatino Linotype"/>
        </w:rPr>
        <w:footnoteReference w:id="5"/>
      </w:r>
      <w:r w:rsidRPr="00D66245">
        <w:rPr>
          <w:rFonts w:ascii="Palatino Linotype" w:hAnsi="Palatino Linotype"/>
        </w:rPr>
        <w:t xml:space="preserve">, instrumento que, pese a su condición de </w:t>
      </w:r>
      <w:r w:rsidRPr="00D66245">
        <w:rPr>
          <w:rFonts w:ascii="Palatino Linotype" w:hAnsi="Palatino Linotype"/>
          <w:i/>
        </w:rPr>
        <w:t>soft law</w:t>
      </w:r>
      <w:r w:rsidRPr="00D66245">
        <w:rPr>
          <w:rFonts w:ascii="Palatino Linotype" w:hAnsi="Palatino Linotype"/>
        </w:rPr>
        <w:t>, es aplicado cada día con mayor frecuencia por tribunales domésticos, ya sea de manera directa incorporándolo como norma procesal supletoria, o de manera indirecta, aplicando sus soluciones o filosofía en las ordenes procesales que se dictan.</w:t>
      </w:r>
    </w:p>
    <w:p w14:paraId="0E3F2A6D" w14:textId="7C175F42"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Las nuevas normas que en materia de práctica de la prueba ofrece el CPC, al ser resultado de una teoría procesal moderna, resultan mucho más compatibles con las prácticas existentes en el arbitraje, aunque responden a una lógica de un proceso jurisdiccional al que, debe recordarse siempre, las partes acordaron renunciar al pactar una cláusula arbitral. En consecuencia, aun y cuando la aplicación del CPC siempre ha de ser residual en el arbitraje, resultará de mucha más utilidad que las soluciones que contenía su predecesor.</w:t>
      </w:r>
    </w:p>
    <w:p w14:paraId="284B544B" w14:textId="77777777" w:rsidR="00FE353F" w:rsidRPr="00D66245" w:rsidRDefault="00FE353F" w:rsidP="00FE353F">
      <w:pPr>
        <w:pStyle w:val="Prrafodelista"/>
        <w:numPr>
          <w:ilvl w:val="0"/>
          <w:numId w:val="8"/>
        </w:numPr>
        <w:spacing w:before="120" w:after="200" w:line="240" w:lineRule="auto"/>
        <w:ind w:left="0" w:firstLine="0"/>
        <w:contextualSpacing w:val="0"/>
        <w:jc w:val="both"/>
        <w:rPr>
          <w:rFonts w:ascii="Palatino Linotype" w:hAnsi="Palatino Linotype"/>
          <w:b/>
          <w:lang w:val="es-ES"/>
        </w:rPr>
      </w:pPr>
      <w:r w:rsidRPr="00D66245">
        <w:rPr>
          <w:rFonts w:ascii="Palatino Linotype" w:hAnsi="Palatino Linotype"/>
          <w:b/>
          <w:lang w:val="es-ES"/>
        </w:rPr>
        <w:t>La innecesaria (sobre) regulación del reconocimiento de laudos extranjeros</w:t>
      </w:r>
      <w:r w:rsidRPr="00D66245">
        <w:rPr>
          <w:rStyle w:val="Refdenotaalpie"/>
          <w:rFonts w:ascii="Palatino Linotype" w:hAnsi="Palatino Linotype"/>
          <w:lang w:val="es-ES"/>
        </w:rPr>
        <w:footnoteReference w:id="6"/>
      </w:r>
    </w:p>
    <w:p w14:paraId="6CED79AA"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El proceso de reconocimiento de laudo extranjero en Costa Rica actualmente está regulado por cuatro cuerpos normativos: (i) la Convención de Nueva York sobre el reconocimiento y ejecución de sentencias arbitrales extranjeras de 1958 -en lo sucesivo Convención de Nueva York-; (ii) Convención Interamericana sobre Arbitraje Comercial Internacional de 1975 -en lo sucesivo Convención de Panamá-; (iii) la LACI; y (iv) el Código Procesal Civil. </w:t>
      </w:r>
    </w:p>
    <w:p w14:paraId="6D616657"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lastRenderedPageBreak/>
        <w:t>Cabe destacar que las cuatro normas contemplan causales para denegar el reconocimiento de un laudo extranjero. Sobre este tema en particular, la LACI al ser versión pura de Ley Modelo, provoca que los tres primeros instrumentos normativos mencionados anteriormente contemplen las mismas causales para rechazar el reconocimiento del laudo extranjero. En cuanto a la causal del orden público, el reconocimiento podrá ser denegado en caso de ser contrario al de Costa Rica; sin especificar si se refiere al orden público doméstico o internacional.</w:t>
      </w:r>
    </w:p>
    <w:p w14:paraId="3428B8AC"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El anterior Código Procesal no contemplaba causales para denegar el reconocimiento de un laudo extranjero; sólo estipulaba requisitos para otorgarlo. El artículo 705 contemplaba como uno de ellos que el laudo extranjero no sea contrario al orden público, sin especificar a cuál tipo se refiere: ¿Al orden público de Costa Rica o transnacional? En caso de que sea al orden público de Costa Rica, ¿Se utiliza el doméstico o el internacional? Tales incógnitas no eran resueltas expresamente por dicha norma; no obstante, por lo dispuesto en los demás cuerpos legales que regulan el tema, debe entenderse que se refiere al costarricense.</w:t>
      </w:r>
    </w:p>
    <w:p w14:paraId="19416EF6"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Ahora bien, en nuestro criterio, el orden público que actualmente debe utilizarse en Costa Rica para el reconocimiento de laudos extranjeros es el internacional. Tal conclusión se extrae de lo dispuesto en el artículo 2A de la LACI, que estipula lo siguiente:</w:t>
      </w:r>
    </w:p>
    <w:p w14:paraId="7E4A89FD" w14:textId="77777777" w:rsidR="00FE353F" w:rsidRPr="00D66245" w:rsidRDefault="00FE353F" w:rsidP="00FE353F">
      <w:pPr>
        <w:spacing w:before="120" w:after="200"/>
        <w:jc w:val="both"/>
        <w:rPr>
          <w:rFonts w:ascii="Palatino Linotype" w:hAnsi="Palatino Linotype"/>
        </w:rPr>
      </w:pPr>
      <w:r w:rsidRPr="00D66245">
        <w:rPr>
          <w:rFonts w:ascii="Palatino Linotype" w:hAnsi="Palatino Linotype"/>
        </w:rPr>
        <w:t>“ARTÍCULO 2 A.- Origen internacional y principios generales</w:t>
      </w:r>
    </w:p>
    <w:p w14:paraId="0C9C98B6" w14:textId="77777777" w:rsidR="00FE353F" w:rsidRPr="00C4535F" w:rsidRDefault="00FE353F" w:rsidP="00FE353F">
      <w:pPr>
        <w:spacing w:after="0"/>
        <w:jc w:val="both"/>
        <w:rPr>
          <w:rFonts w:ascii="Palatino Linotype" w:hAnsi="Palatino Linotype"/>
        </w:rPr>
      </w:pPr>
      <w:r w:rsidRPr="00C4535F">
        <w:rPr>
          <w:rFonts w:ascii="Palatino Linotype" w:hAnsi="Palatino Linotype"/>
        </w:rPr>
        <w:t>1) En la interpretación de la presente ley habrá de tenerse en cuenta su origen internacional y la necesidad de promover la uniformidad de su aplicación y la observancia de la buena fe.</w:t>
      </w:r>
    </w:p>
    <w:p w14:paraId="6E9B43DF" w14:textId="77777777" w:rsidR="00FE353F" w:rsidRPr="00D66245" w:rsidRDefault="00FE353F" w:rsidP="00FE353F">
      <w:pPr>
        <w:spacing w:after="0"/>
        <w:jc w:val="both"/>
        <w:rPr>
          <w:rFonts w:ascii="Palatino Linotype" w:hAnsi="Palatino Linotype"/>
        </w:rPr>
      </w:pPr>
      <w:r w:rsidRPr="00D66245">
        <w:rPr>
          <w:rFonts w:ascii="Palatino Linotype" w:hAnsi="Palatino Linotype"/>
        </w:rPr>
        <w:t>2) Las cuestiones relativas a las materias que se rigen por la presente ley, que no estén expresamente resueltas en ella, se dirimirán de conformidad con los principios generales en que se basa la presente ley.” (el resaltado es propio)</w:t>
      </w:r>
    </w:p>
    <w:p w14:paraId="5587C656"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Esta norma permite concluir que el artículo 36.1 de la LACI que establece las causales para denegar el reconocimiento de un laudo extranjero en Costa Rica, debe ser interpretado conforme a los principios </w:t>
      </w:r>
      <w:r w:rsidRPr="00D66245">
        <w:rPr>
          <w:rFonts w:ascii="Palatino Linotype" w:hAnsi="Palatino Linotype"/>
        </w:rPr>
        <w:lastRenderedPageBreak/>
        <w:t>internacionales, mediante una aplicación uniforme, por lo que el ordenamiento jurídico costarricense acepta la aplicación del carácter internacional del orden público, con lo que se tutela la eficacia y la uniformidad del arbitraje internacional.</w:t>
      </w:r>
    </w:p>
    <w:p w14:paraId="54D0A2B0"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Sin embargo, el nuevo CPC, regula de forma innecesaria e inadecuada el reconocimiento de laudos extranjeros en Costa Rica. Los artículos 98 y 99.2 del CPC realizan una diferenciación interesante, nunca antes vista en una normal procesal nacional. Por un lado, el numeral 98, referente a la aplicación de un Derecho extranjero por parte de la jurisdicción nacional, estipula lo siguiente:</w:t>
      </w:r>
    </w:p>
    <w:p w14:paraId="62FE24C9" w14:textId="77777777" w:rsidR="00FE353F" w:rsidRPr="00D66245" w:rsidRDefault="00FE353F" w:rsidP="00FE353F">
      <w:pPr>
        <w:spacing w:before="120" w:after="200"/>
        <w:jc w:val="both"/>
        <w:rPr>
          <w:rFonts w:ascii="Palatino Linotype" w:hAnsi="Palatino Linotype"/>
        </w:rPr>
      </w:pPr>
      <w:r w:rsidRPr="00D66245">
        <w:rPr>
          <w:rFonts w:ascii="Palatino Linotype" w:hAnsi="Palatino Linotype"/>
        </w:rPr>
        <w:t xml:space="preserve">“Artículo 98.- Normativa aplicable. Tratándose de cooperación judicial internacional se aplicarán las disposiciones de los tratados y los convenios internacionales vigentes y en su ausencia la normativa nacional. En ningún caso se aplicará de oficio el derecho extranjero, salvo si las partes fundan su derecho en una ley extranjera y acreditan legalmente su existencia, vigencia, contenido e interpretación. Cuando sea aplicable, el derecho extranjero deberá interpretarse como lo harían los tribunales del Estado a cuyo orden jurídico pertenece. </w:t>
      </w:r>
      <w:r w:rsidRPr="00D66245">
        <w:rPr>
          <w:rFonts w:ascii="Palatino Linotype" w:hAnsi="Palatino Linotype"/>
          <w:b/>
        </w:rPr>
        <w:t>Solo se podrán declarar inaplicables los preceptos de la ley extranjera, cuando estos contraríen manifiestamente los principios esenciales del orden público internacional en los que el Estado asienta su individualidad jurídica</w:t>
      </w:r>
      <w:r w:rsidRPr="00D66245">
        <w:rPr>
          <w:rFonts w:ascii="Palatino Linotype" w:hAnsi="Palatino Linotype"/>
        </w:rPr>
        <w:t>. Los procesos, cualquiera que sea su naturaleza, se sujetarán al ordenamiento nacional.” (el resaltado es propio)</w:t>
      </w:r>
    </w:p>
    <w:p w14:paraId="4AD60D9C"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La adopción de esta norma en los términos expuestos resulta un gran avance en materia de Derecho Internacional Privado para Costa Rica. Dicha norma de conflicto resulta ser uniforme con los principales postulados sobre el tema, tanto así que se refiere al orden público internacional como la excepción para que una ley extranjera no sea aplicada. No obstante, los aplausos para el legislador cesan al analizar este artículo en conjunto con el 99.2. Este último establece los nuevos requisitos para el reconocimiento de sentencias y laudos extranjeros, y lo hace en los siguientes términos:</w:t>
      </w:r>
    </w:p>
    <w:p w14:paraId="10D4E44E" w14:textId="77777777" w:rsidR="00FE353F" w:rsidRPr="00D66245" w:rsidRDefault="00FE353F" w:rsidP="00FE353F">
      <w:pPr>
        <w:spacing w:before="120" w:after="200"/>
        <w:jc w:val="both"/>
        <w:rPr>
          <w:rFonts w:ascii="Palatino Linotype" w:hAnsi="Palatino Linotype"/>
        </w:rPr>
      </w:pPr>
      <w:r w:rsidRPr="00D66245">
        <w:rPr>
          <w:rFonts w:ascii="Palatino Linotype" w:hAnsi="Palatino Linotype"/>
        </w:rPr>
        <w:t>“Artículo 99.- Eficacia de sentencias y laudos extranjeros</w:t>
      </w:r>
    </w:p>
    <w:p w14:paraId="52473484" w14:textId="77777777" w:rsidR="00FE353F" w:rsidRPr="00D66245" w:rsidRDefault="00FE353F" w:rsidP="00FE353F">
      <w:pPr>
        <w:spacing w:before="120" w:after="200"/>
        <w:jc w:val="both"/>
        <w:rPr>
          <w:rFonts w:ascii="Palatino Linotype" w:hAnsi="Palatino Linotype"/>
        </w:rPr>
      </w:pPr>
      <w:r w:rsidRPr="00D66245">
        <w:rPr>
          <w:rFonts w:ascii="Palatino Linotype" w:hAnsi="Palatino Linotype"/>
        </w:rPr>
        <w:lastRenderedPageBreak/>
        <w:t>(…)</w:t>
      </w:r>
    </w:p>
    <w:p w14:paraId="10B67DEE" w14:textId="77777777" w:rsidR="00FE353F" w:rsidRPr="00D66245" w:rsidRDefault="00FE353F" w:rsidP="00FE353F">
      <w:pPr>
        <w:spacing w:before="120" w:after="200"/>
        <w:jc w:val="both"/>
        <w:rPr>
          <w:rFonts w:ascii="Palatino Linotype" w:hAnsi="Palatino Linotype"/>
        </w:rPr>
      </w:pPr>
      <w:r w:rsidRPr="00D66245">
        <w:rPr>
          <w:rFonts w:ascii="Palatino Linotype" w:hAnsi="Palatino Linotype"/>
        </w:rPr>
        <w:t>99.2. Requisitos de la solicitud de reconocimiento. Para el reconocimiento de sentencia y laudos extranjeros deberán cumplirse los siguientes presupuestos:</w:t>
      </w:r>
    </w:p>
    <w:p w14:paraId="4409BBFF" w14:textId="77777777" w:rsidR="00FE353F" w:rsidRPr="00D66245" w:rsidRDefault="00FE353F" w:rsidP="00FE353F">
      <w:pPr>
        <w:spacing w:before="120" w:after="200"/>
        <w:jc w:val="both"/>
        <w:rPr>
          <w:rFonts w:ascii="Palatino Linotype" w:hAnsi="Palatino Linotype"/>
        </w:rPr>
      </w:pPr>
      <w:r w:rsidRPr="00D66245">
        <w:rPr>
          <w:rFonts w:ascii="Palatino Linotype" w:hAnsi="Palatino Linotype"/>
        </w:rPr>
        <w:t>(…)</w:t>
      </w:r>
    </w:p>
    <w:p w14:paraId="447E09BE" w14:textId="77777777" w:rsidR="00FE353F" w:rsidRPr="00D66245" w:rsidRDefault="00FE353F" w:rsidP="00FE353F">
      <w:pPr>
        <w:spacing w:before="120" w:after="200"/>
        <w:jc w:val="both"/>
        <w:rPr>
          <w:rFonts w:ascii="Palatino Linotype" w:hAnsi="Palatino Linotype"/>
        </w:rPr>
      </w:pPr>
      <w:r w:rsidRPr="00D66245">
        <w:rPr>
          <w:rFonts w:ascii="Palatino Linotype" w:hAnsi="Palatino Linotype"/>
        </w:rPr>
        <w:t xml:space="preserve">4. La pretensión invocada no debe ser competencia exclusiva de los órganos jurisdiccionales costarricenses, debe tener conexión con Costa Rica y </w:t>
      </w:r>
      <w:r w:rsidRPr="00D66245">
        <w:rPr>
          <w:rFonts w:ascii="Palatino Linotype" w:hAnsi="Palatino Linotype"/>
          <w:b/>
        </w:rPr>
        <w:t xml:space="preserve">no ser manifiestamente contraria al orden público </w:t>
      </w:r>
      <w:r w:rsidRPr="00D66245">
        <w:rPr>
          <w:rFonts w:ascii="Palatino Linotype" w:hAnsi="Palatino Linotype"/>
          <w:b/>
          <w:u w:val="single"/>
        </w:rPr>
        <w:t>nacional</w:t>
      </w:r>
      <w:r w:rsidRPr="00D66245">
        <w:rPr>
          <w:rFonts w:ascii="Palatino Linotype" w:hAnsi="Palatino Linotype"/>
        </w:rPr>
        <w:t>.” (el resaltado es propio).</w:t>
      </w:r>
    </w:p>
    <w:p w14:paraId="32488B47" w14:textId="77777777" w:rsidR="00FE353F" w:rsidRPr="00D66245" w:rsidRDefault="00FE353F" w:rsidP="00FE353F">
      <w:pPr>
        <w:spacing w:before="120" w:after="200"/>
        <w:jc w:val="both"/>
        <w:rPr>
          <w:rFonts w:ascii="Palatino Linotype" w:hAnsi="Palatino Linotype"/>
        </w:rPr>
      </w:pPr>
      <w:r w:rsidRPr="00D66245">
        <w:rPr>
          <w:rFonts w:ascii="Palatino Linotype" w:hAnsi="Palatino Linotype"/>
        </w:rPr>
        <w:t>La lectura conjunta y literal de dichas normas deja muchas dudas, entre ellas: ¿A qué se refiere el artículo 99.2(4) con el término orden público nacional? ¿Por qué se diferenció entre orden público nacional e internacional?  ¿El legislador tiene la intención de que las normas imperativas costarricenses impidan el reconocimiento de una sentencia o laudo extranjero?</w:t>
      </w:r>
      <w:r w:rsidRPr="00D66245">
        <w:rPr>
          <w:rFonts w:ascii="Palatino Linotype" w:hAnsi="Palatino Linotype"/>
          <w:vertAlign w:val="superscript"/>
        </w:rPr>
        <w:footnoteReference w:id="7"/>
      </w:r>
    </w:p>
    <w:p w14:paraId="2413E0B0"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Para comenzar, ¿Cuál es el significado de orden público nacional? Es controvertido. No necesariamente es un sinónimo de orden público interno o doméstico; pues tanto el carácter interno como internacional del orden público pertenecen a un Estado particular y, por tanto, son términos nacionales. La premisa anterior se refuerza con lo dispuesto tanto la Convención de Nueva York como la Convención de Panamá y la LACI, que utilizan el orden público de Costa Rica como causal para denegar el reconocimiento de un laudo extranjero. La interpretación sistemática de los cuatro cuerpos normativos aplicables al reconocimiento de laudos extranjeros permite concluir que el término “nacional” se utiliza como homólogo al orden público de Costa Rica.</w:t>
      </w:r>
    </w:p>
    <w:p w14:paraId="299F74C3"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lastRenderedPageBreak/>
        <w:t>Sin embargo, la interpretación sistemática del CPC permite concluir que la intención del legislador era utilizar los términos nacional e internacional como antónimos. Primero, porque existe doctrina que utiliza el término de orden público nacional como sinónimo del interno.</w:t>
      </w:r>
      <w:r w:rsidRPr="00D66245">
        <w:rPr>
          <w:rFonts w:ascii="Palatino Linotype" w:hAnsi="Palatino Linotype"/>
          <w:vertAlign w:val="superscript"/>
        </w:rPr>
        <w:footnoteReference w:id="8"/>
      </w:r>
      <w:r w:rsidRPr="00D66245">
        <w:rPr>
          <w:rFonts w:ascii="Palatino Linotype" w:hAnsi="Palatino Linotype"/>
        </w:rPr>
        <w:t xml:space="preserve"> Segundo, por el contenido del artículo 98 del propio nuevo Código Procesal Civil de Costa Rica. Al utilizarse el término de orden público internacional en dicho artículo, se puede concluir que, si el legislador hubiese deseado que este también aplicase al reconocimiento de laudos extranjeros, así lo hubiese estipulado expresamente en el numeral 99.2(4).</w:t>
      </w:r>
    </w:p>
    <w:p w14:paraId="654F38DA"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Por lo tanto, la diferenciación realizada por el legislador en las dos disposiciones bajo estudio en el CPC podría provoca un retroceso del país en la promoción del arbitraje a nivel internacional. No obstante, el riesgo se ve considerablemente mitigado gracias a la LACI que permite superar la desafortunada técnica legislativa que en este punto contiene el CPC. Mediante el principio lex specialis, consideramos que la causal de orden público siempre debe ser analizada bajo su carácter internacional.</w:t>
      </w:r>
    </w:p>
    <w:p w14:paraId="2B44DF22"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La Sala Primera de la Corte Suprema de Justicia debe aplicar para el reconocimiento de laudos extranjeros la LACI, y solo supletoriamente, el CPC, en virtud del principio apuntado anteriormente. Esta conclusión se ve respaldada por lo contenido en el ya mencionado artículo 2 A de la Ley Modelo, pues con base en este, existe una obligación del operador legal de promover la uniformidad del arbitraje internacional. Esto necesariamente implica aplicar las disposiciones relacionadas a este tema conforme a los principales postulados existentes internacionalmente.</w:t>
      </w:r>
    </w:p>
    <w:p w14:paraId="0C30F053"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Precisamente, la tendencia internacional actual es interpretar que el orden público al que se refieren la Convención de Nueva York, la Convención de Panamá y la Ley Modelo es el internacional, y es este el que debe aplicar, con el fin de permitir una mayor eficacia del arbitraje. Referente </w:t>
      </w:r>
      <w:r w:rsidRPr="00D66245">
        <w:rPr>
          <w:rFonts w:ascii="Palatino Linotype" w:hAnsi="Palatino Linotype"/>
        </w:rPr>
        <w:lastRenderedPageBreak/>
        <w:t xml:space="preserve">a este tema, es importante tomar en consideración las palabras del profesor MORENO RODRÍGUEZ: </w:t>
      </w:r>
    </w:p>
    <w:p w14:paraId="4C8052E1"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esta tendencia de no dejar de lado laudos arbitrales merced a argumentos meramente localistas so pretexto de un supuesto “orden público” emergente de reglas autóctonas, obviamente coadyuva a que circulen válidamente decisiones que se amparan en principios internacionales o soluciones de tinte universal.”</w:t>
      </w:r>
      <w:r w:rsidRPr="00D66245">
        <w:rPr>
          <w:rStyle w:val="Refdenotaalpie"/>
          <w:rFonts w:ascii="Palatino Linotype" w:hAnsi="Palatino Linotype"/>
        </w:rPr>
        <w:footnoteReference w:id="9"/>
      </w:r>
    </w:p>
    <w:p w14:paraId="45EB9AC0" w14:textId="560CDECA" w:rsidR="008057F8"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Sin duda alguna, será deber de la Sala Primera aplicar la normativa adecuada a la hora de resolver un caso concreto, con la salvedad de que, si se utiliza como base normas imperativas para denegar el reconocimiento de laudos extranjeros, la visión del país frente a la comunidad internacional se verá desmejorada. </w:t>
      </w:r>
    </w:p>
    <w:p w14:paraId="5FB2F060" w14:textId="77777777" w:rsidR="00FE353F" w:rsidRPr="00D66245" w:rsidRDefault="00FE353F" w:rsidP="00FE353F">
      <w:pPr>
        <w:pStyle w:val="Prrafodelista"/>
        <w:numPr>
          <w:ilvl w:val="0"/>
          <w:numId w:val="8"/>
        </w:numPr>
        <w:spacing w:before="120" w:after="200" w:line="240" w:lineRule="auto"/>
        <w:ind w:left="0" w:firstLine="0"/>
        <w:contextualSpacing w:val="0"/>
        <w:jc w:val="both"/>
        <w:rPr>
          <w:rFonts w:ascii="Palatino Linotype" w:hAnsi="Palatino Linotype"/>
          <w:b/>
        </w:rPr>
      </w:pPr>
      <w:r w:rsidRPr="00D66245">
        <w:rPr>
          <w:rFonts w:ascii="Palatino Linotype" w:hAnsi="Palatino Linotype"/>
          <w:b/>
        </w:rPr>
        <w:t>El proceso por audiencias y la oralidad</w:t>
      </w:r>
    </w:p>
    <w:p w14:paraId="6EBC83CA"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El CPC cuenta con una marcada tendencia hacia la oralidad, al potencializar el uso de las audiencias como mecanismo para resolución de etapas procesales que previamente eran escritas. La gran ventaja del sistema de audiencias es la inmediatez con la que los asuntos se resuelven, el tribunal escucha a las partes y resuelve los puntos controvertidos de forma inmediata, con la posibilidad de ejercer los recursos contra tales resoluciones también de forma oral en la misma audiencia.</w:t>
      </w:r>
    </w:p>
    <w:p w14:paraId="5118D252"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La oralidad no es un fin en sí mismo, ni asegura per se una adecuada resolución de los asuntos, pero tampoco lo asegura el sistema escrito que hoy se está superando. Lo cierto es que, concentrar para una audiencia la resolución de una serie de actos procesales radica en una mayor eficiencia procesal. La disminución real en el tiempo de resolución depende de vencer el reto material, que escapa al alcance del Código, de coordinar la disponibilidad de los recursos indispensables para la realización de la </w:t>
      </w:r>
      <w:r w:rsidRPr="00D66245">
        <w:rPr>
          <w:rFonts w:ascii="Palatino Linotype" w:hAnsi="Palatino Linotype"/>
        </w:rPr>
        <w:lastRenderedPageBreak/>
        <w:t>audiencia: el tribunal, las partes, el espacio físico y los mecanismos para la grabación de la misma, ya sea en audio y video o sólo en audio.</w:t>
      </w:r>
    </w:p>
    <w:p w14:paraId="40496A08"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Sobre este punto, resulta novedosa la audiencia preliminar en el proceso de conocimiento, regulada en el artículo 102.3 CPC. Novedosa para la jurisdicción civil, aunque ya había sido introducida en el proceso penal y en el proceso contencioso administrativo. La audiencia es optativa, al indicar la norma que se señalará </w:t>
      </w:r>
      <w:r w:rsidRPr="00D66245">
        <w:rPr>
          <w:rFonts w:ascii="Palatino Linotype" w:hAnsi="Palatino Linotype"/>
          <w:i/>
        </w:rPr>
        <w:t>si es necesario.</w:t>
      </w:r>
      <w:r w:rsidRPr="00D66245">
        <w:rPr>
          <w:rFonts w:ascii="Palatino Linotype" w:hAnsi="Palatino Linotype"/>
        </w:rPr>
        <w:t xml:space="preserve"> La necesidad o no de la audiencia dependerá de las circunstancias de cada caso, sin embargo, el hecho de que la contestación de las excepciones y el ofrecimiento de la contraprueba sean actividades a desarrollar en la audiencia, hacen que su señalamiento resulte prácticamente mandatorio. </w:t>
      </w:r>
    </w:p>
    <w:p w14:paraId="5B75915E"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Se hacen algunos comentarios en el sentido de que, en este punto, sobre el proceso por audiencias y un mayor uso de la oralidad, el proceso civil se asemeja más al arbitraje, y lo cierto del caso es que esto dependerá en buena medida de cuales normas procesales estén aplicando las partes. </w:t>
      </w:r>
    </w:p>
    <w:p w14:paraId="4856A288"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Tanto la Ley RAC como la LACI otorgan al tribunal arbitral la potestad de decidir sobre la celebración de audiencias, “o si las actuaciones se substanciarán únicamente sobre la base de documentos y demás pruebas existentes.”</w:t>
      </w:r>
      <w:r w:rsidRPr="00D66245">
        <w:rPr>
          <w:rStyle w:val="Refdenotaalpie"/>
          <w:rFonts w:ascii="Palatino Linotype" w:hAnsi="Palatino Linotype"/>
        </w:rPr>
        <w:footnoteReference w:id="10"/>
      </w:r>
      <w:r w:rsidRPr="00D66245">
        <w:rPr>
          <w:rFonts w:ascii="Palatino Linotype" w:hAnsi="Palatino Linotype"/>
        </w:rPr>
        <w:t xml:space="preserve"> En el supuesto de arbitrajes institucionales, son las normas de cada institución las que determinarán la necesidad o no celebrar audiencias, y el contenido de éstas.</w:t>
      </w:r>
    </w:p>
    <w:p w14:paraId="3EA61E03"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El Reglamento de Arbitraje de la Cámara de Comercio Internacional (ICC)</w:t>
      </w:r>
      <w:r w:rsidRPr="00D66245">
        <w:rPr>
          <w:rStyle w:val="Refdenotaalpie"/>
          <w:rFonts w:ascii="Palatino Linotype" w:hAnsi="Palatino Linotype"/>
        </w:rPr>
        <w:footnoteReference w:id="11"/>
      </w:r>
      <w:r w:rsidRPr="00D66245">
        <w:rPr>
          <w:rFonts w:ascii="Palatino Linotype" w:hAnsi="Palatino Linotype"/>
        </w:rPr>
        <w:t xml:space="preserve"> si bien prevé la realización de audiencias, no determina más que reglas generales para la realización de éstas, por lo que el que sean preliminares, de evacuación de prueba o de conclusiones dependerá del acuerdo de las partes o de la decisión del tribunal arbitral. </w:t>
      </w:r>
    </w:p>
    <w:p w14:paraId="05DA346E"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En Costa Rica, de los 4 principales centros de arbitraje, los reglamentos del Centro de Conciliación y Arbitraje de la Cámara de </w:t>
      </w:r>
      <w:r w:rsidRPr="00D66245">
        <w:rPr>
          <w:rFonts w:ascii="Palatino Linotype" w:hAnsi="Palatino Linotype"/>
        </w:rPr>
        <w:lastRenderedPageBreak/>
        <w:t>Comercio de Costa Rica (CCA), del Centro de Resolución de Controversias (CRC) del Colegio Federado de Ingenieros y Arquitectos y del Centro de Arbitraje y Mediación (CAM) del Colegio de Abogados prevén la realización de una audiencia preliminar. El Reglamento del Centro Internacional de Conciliación y Arbitraje (CICA) de la Cámara de Comercio Costarricense Norteamericana (AMCHAM) no contempla actualmente una audiencia preliminar.</w:t>
      </w:r>
    </w:p>
    <w:p w14:paraId="1F1A238C"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En el caso de CCA, su nuevo reglamento vigente desde febrero de 2018, prevé no sólo la audiencia preliminar, sino también lo que denomina una audiencia inicial, prevista luego de instalado el tribunal arbitral, cuya finalidad principal es la fijación del calendario procesal. Esta audiencia inicial es frecuente en el arbitraje internacional, en donde usualmente se realiza de manera virtual. Es sumamente útil para permitir la fijación de las fases procesales subsecuentes en el calendario procesal, y que el tribunal arbitral pueda entender de mejor forma las necesidades de las partes y cualquier solicitud o incluso propuesta del tribunal de personalización del proceso. </w:t>
      </w:r>
    </w:p>
    <w:p w14:paraId="48D2858E"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En el caso de los tres reglamentos arbitrales que prevén la realización de la audiencia preliminar, la misma es facultativa en todos ellos, es decir, el tribunal arbitral resolverá si la convoca, o si resuelve las actividades procesales en ella previstas de forma escrita. En ninguno de los casos se prevé una consecuencia procesal tan draconiana como la que prevé el artículo 50.2(2) CPC ante la inasistencia de la parte actora o reconventora: el desistimiento de la acción con condena en costas y daños y perjuicios.</w:t>
      </w:r>
    </w:p>
    <w:p w14:paraId="4F5A6E4E" w14:textId="70F0ABE5" w:rsidR="00FE353F" w:rsidRDefault="00FE353F" w:rsidP="00FE353F">
      <w:pPr>
        <w:spacing w:before="120" w:after="200"/>
        <w:ind w:firstLine="709"/>
        <w:jc w:val="both"/>
        <w:rPr>
          <w:rFonts w:ascii="Palatino Linotype" w:hAnsi="Palatino Linotype"/>
        </w:rPr>
      </w:pPr>
      <w:r w:rsidRPr="00D66245">
        <w:rPr>
          <w:rFonts w:ascii="Palatino Linotype" w:hAnsi="Palatino Linotype"/>
        </w:rPr>
        <w:t>En consecuencia, aun y cuando la mayoría de los reglamentos de arbitraje domésticos prevén la realización de una audiencia preliminar, no puede concluirse que el modelo procesal por audiencias sea una característica intrínseca del arbitraje, ya que no hay un único proceso arbitral, sino tantos como necesidades de las partes puedan existir.</w:t>
      </w:r>
    </w:p>
    <w:p w14:paraId="5BFF66BA" w14:textId="7014D532" w:rsidR="009A0252" w:rsidRDefault="009A0252" w:rsidP="00FE353F">
      <w:pPr>
        <w:spacing w:before="120" w:after="200"/>
        <w:ind w:firstLine="709"/>
        <w:jc w:val="both"/>
        <w:rPr>
          <w:rFonts w:ascii="Palatino Linotype" w:hAnsi="Palatino Linotype"/>
        </w:rPr>
      </w:pPr>
    </w:p>
    <w:p w14:paraId="6A43C105" w14:textId="77777777" w:rsidR="009A0252" w:rsidRDefault="009A0252" w:rsidP="00FE353F">
      <w:pPr>
        <w:spacing w:before="120" w:after="200"/>
        <w:ind w:firstLine="709"/>
        <w:jc w:val="both"/>
        <w:rPr>
          <w:rFonts w:ascii="Palatino Linotype" w:hAnsi="Palatino Linotype"/>
        </w:rPr>
      </w:pPr>
    </w:p>
    <w:p w14:paraId="5B467862" w14:textId="77777777" w:rsidR="00FE353F" w:rsidRPr="00D66245" w:rsidRDefault="00FE353F" w:rsidP="00FE353F">
      <w:pPr>
        <w:pStyle w:val="Prrafodelista"/>
        <w:numPr>
          <w:ilvl w:val="0"/>
          <w:numId w:val="8"/>
        </w:numPr>
        <w:spacing w:before="120" w:after="200" w:line="240" w:lineRule="auto"/>
        <w:ind w:left="0" w:firstLine="0"/>
        <w:contextualSpacing w:val="0"/>
        <w:jc w:val="both"/>
        <w:rPr>
          <w:rFonts w:ascii="Palatino Linotype" w:hAnsi="Palatino Linotype"/>
          <w:b/>
        </w:rPr>
      </w:pPr>
      <w:r w:rsidRPr="00D66245">
        <w:rPr>
          <w:rFonts w:ascii="Palatino Linotype" w:hAnsi="Palatino Linotype"/>
          <w:b/>
        </w:rPr>
        <w:lastRenderedPageBreak/>
        <w:t xml:space="preserve">La ejecución provisional </w:t>
      </w:r>
    </w:p>
    <w:p w14:paraId="39851D78"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Una de las novedades que introduce el CPC es la ejecución provisional de sentencias no firmes, regulada en el Capítulo II del Título III del Código, artículos 141 a 145. Se limita este supuesto a sentencias con una condena de contenido patrimonial, y con la característica de que no se requiere que el ejecutante rinda una garantía. La ejecución provisional no es automática, sino que debe ser solicitada por el ejecutante y cabrá la oposición del ejecutado ante determinados supuestos.</w:t>
      </w:r>
    </w:p>
    <w:p w14:paraId="42C86494"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Esta novedad que introduce el CPC existe, mutatis mutandis, para la ejecución de los laudos arbitrales desde la promulgación de la Ley RAC en 1997. Establece el párrafo primero del artículo 58 de la Ley RAC: “El laudo se dictará por escrito; será definitivo, vinculante para las partes e inapelable, salvo el recurso de revisión. Una vez que el laudo se haya dictado, producirá los efectos de cosa juzgada material y las partes deberán cumplirlo sin demora. Por su parte, el artículo 66 RAC sobre el recurso de nulidad dispone que la interposición del recurso no suspenderá el cumplimiento del laudo.”</w:t>
      </w:r>
    </w:p>
    <w:p w14:paraId="1CC74F65"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La característica del laudo de ser ejecutorio de inmediato se justifica en especial en el hecho de que el recurso de nulidad no puede versar sobre el fondo del asunto, con lo que el control jurisdiccional es -o debe ser- considerablemente limitado.</w:t>
      </w:r>
      <w:r w:rsidRPr="00D66245">
        <w:rPr>
          <w:rStyle w:val="Refdenotaalpie"/>
          <w:rFonts w:ascii="Palatino Linotype" w:hAnsi="Palatino Linotype"/>
        </w:rPr>
        <w:footnoteReference w:id="12"/>
      </w:r>
      <w:r w:rsidRPr="00D66245">
        <w:rPr>
          <w:rFonts w:ascii="Palatino Linotype" w:hAnsi="Palatino Linotype"/>
        </w:rPr>
        <w:t xml:space="preserve"> No existe limitación a la ejecución del laudo dependiendo de su contenido, a diferencia de las sentencias, que sólo se podrán ejecutar anticipadamente si su contenido es patrimonial.</w:t>
      </w:r>
    </w:p>
    <w:p w14:paraId="253D9010"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En el caso de sentencias, éstas pueden ser recurridas tanto por motivos procesales como de fondo, incluyendo los motivos de fondo tanto la infracción a normas legales, la indebida valoración de la prueba o el error en su interpretación. En este caso, la justificación del beneficio de la ejecución </w:t>
      </w:r>
      <w:r w:rsidRPr="00D66245">
        <w:rPr>
          <w:rFonts w:ascii="Palatino Linotype" w:hAnsi="Palatino Linotype"/>
        </w:rPr>
        <w:lastRenderedPageBreak/>
        <w:t>provisional radica en el hecho de que la misma sea dictada por un tribunal colegiado.</w:t>
      </w:r>
    </w:p>
    <w:p w14:paraId="45CC7C65"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En el caso de la ejecución de laudos arbitrales, no estamos en presencia de una ejecución provisional, como en el caso de las sentencias, sino de una ejecución de pleno derecho que no se ve suspendida </w:t>
      </w:r>
    </w:p>
    <w:p w14:paraId="50CD0C93"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En el arbitraje doméstico, cuando una parte resulta victoriosa y la contraria no acepta el resultado del laudo, suele hacerse un análisis del laudo para determinar la posibilidad o no de que un recurso de nulidad prospere. La ventaja, de alguna forma, es que el plazo para interponer el recurso de nulidad es corto: 15 días. Esto permite que en un periodo breve de tiempo la parte victoriosa pueda conocer si la contraria ejerció o no el recurso de nulidad, y hacer un análisis sobre su eventual procedencia. La LACI por otra parte extiende este plazo para interponer la acción de nulidad a 3 meses, en arbitrajes internacionales. </w:t>
      </w:r>
    </w:p>
    <w:p w14:paraId="65685418"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En la práctica, los tiempos de resolución del recurso de nulidad por parte de la Sala Primera suelen ser mayores al tiempo que puede demorar el traslado de la ejecución del laudo y la resolución sobre embargos u otras medidas cautelares; aunque no superiores al plazo para ejecutar actos de remate o puesta en posesión. Si bien el riesgo de que el laudo se anule con posterioridad a que haya sido ejecutado existe, la demora del proceso de ejecución se convierte en un mecanismo de facto que previene que esta situación se presente. Los tiempos de resolución del proceso de ejecución y del recurso de nulidad son una patología procesal que debe superarse, y no pueden convertirse en un mecanismo de control ni en una estrategia procesal.</w:t>
      </w:r>
    </w:p>
    <w:p w14:paraId="6E6EFDC0" w14:textId="77777777" w:rsidR="00FE353F" w:rsidRPr="00D66245" w:rsidRDefault="00FE353F" w:rsidP="00FE353F">
      <w:pPr>
        <w:pStyle w:val="Prrafodelista"/>
        <w:numPr>
          <w:ilvl w:val="0"/>
          <w:numId w:val="8"/>
        </w:numPr>
        <w:tabs>
          <w:tab w:val="left" w:pos="0"/>
        </w:tabs>
        <w:spacing w:before="120" w:after="200" w:line="240" w:lineRule="auto"/>
        <w:ind w:left="0" w:firstLine="0"/>
        <w:contextualSpacing w:val="0"/>
        <w:jc w:val="both"/>
        <w:rPr>
          <w:rFonts w:ascii="Palatino Linotype" w:hAnsi="Palatino Linotype"/>
          <w:b/>
        </w:rPr>
      </w:pPr>
      <w:r w:rsidRPr="00D66245">
        <w:rPr>
          <w:rFonts w:ascii="Palatino Linotype" w:hAnsi="Palatino Linotype"/>
          <w:b/>
        </w:rPr>
        <w:t>La preocupante demanda de revisión.</w:t>
      </w:r>
    </w:p>
    <w:p w14:paraId="33099135"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 xml:space="preserve">La existencia de un limitado elenco de acciones contra el laudo arbitral es una de las ventajas que tiene el arbitraje. Precisamente por eso se dice que el arbitraje es un proceso de un “one shoot”, es decir, de un único tiro, en comparación con el proceso jurisdiccional en donde tradicionalmente </w:t>
      </w:r>
      <w:r w:rsidRPr="00D66245">
        <w:rPr>
          <w:rFonts w:ascii="Palatino Linotype" w:hAnsi="Palatino Linotype"/>
        </w:rPr>
        <w:lastRenderedPageBreak/>
        <w:t xml:space="preserve">se cuenta con al menos una segunda instancia que revise el proceso por la forma y el fondo. </w:t>
      </w:r>
    </w:p>
    <w:p w14:paraId="57789799"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Para algunos litigantes esto, lejos de ser una ventaja, es una limitación del arbitraje. La solución es que estos litigantes sometan sus asuntos a la jurisdicción común, en vez de desnaturalizar el arbitraje creando una segunda instancia. Se discute en algunos foros sobre la posibilidad de crear una suerte de segunda instancia arbitral, es decir que exista un segundo panel de árbitros que revise lo resuelto por el tribunal arbitral. Este modelo ya existe en el arbitraje de inversión, concretamente en el procedimiento ante el CIADI, en donde creo yo se justifica por el hecho de que la parte demandada siempre será un estado soberano, con lo que existen intereses públicos de por medio que pueden requerir una mayor legitimación y revisión de los laudos que resuelven disputas de inversión.</w:t>
      </w:r>
    </w:p>
    <w:p w14:paraId="485CB9A6" w14:textId="77777777" w:rsidR="00FE353F" w:rsidRPr="00D66245" w:rsidRDefault="00FE353F" w:rsidP="00FE353F">
      <w:pPr>
        <w:spacing w:before="120" w:after="200"/>
        <w:ind w:firstLine="709"/>
        <w:jc w:val="both"/>
        <w:rPr>
          <w:rFonts w:ascii="Palatino Linotype" w:hAnsi="Palatino Linotype"/>
        </w:rPr>
      </w:pPr>
      <w:r w:rsidRPr="00D66245">
        <w:rPr>
          <w:rFonts w:ascii="Palatino Linotype" w:hAnsi="Palatino Linotype"/>
        </w:rPr>
        <w:t>La Ley RAC, con evidente influencia del Código Procesal Civil anterior, previó que contra el laudo arbitral podrían ejercerse tanto el recurso de nulidad como el de revisión. Dispone su artículo 58:</w:t>
      </w:r>
    </w:p>
    <w:p w14:paraId="284AF2D1" w14:textId="77777777" w:rsidR="00FE353F" w:rsidRPr="00D66245" w:rsidRDefault="00FE353F" w:rsidP="00FE353F">
      <w:pPr>
        <w:spacing w:before="120" w:after="200"/>
        <w:jc w:val="both"/>
        <w:rPr>
          <w:rFonts w:ascii="Palatino Linotype" w:hAnsi="Palatino Linotype"/>
        </w:rPr>
      </w:pPr>
      <w:r w:rsidRPr="00D66245">
        <w:rPr>
          <w:rFonts w:ascii="Palatino Linotype" w:hAnsi="Palatino Linotype"/>
        </w:rPr>
        <w:t>“El laudo se dictará por escrito; será definitivo, vinculante para las partes e inapelable, salvo el recurso de revisión…”</w:t>
      </w:r>
    </w:p>
    <w:p w14:paraId="5E5209C6" w14:textId="77777777" w:rsidR="00FE353F" w:rsidRPr="00D66245" w:rsidRDefault="00FE353F" w:rsidP="00FE353F">
      <w:pPr>
        <w:spacing w:before="120" w:after="200"/>
        <w:ind w:firstLine="708"/>
        <w:jc w:val="both"/>
        <w:rPr>
          <w:rFonts w:ascii="Palatino Linotype" w:hAnsi="Palatino Linotype"/>
        </w:rPr>
      </w:pPr>
      <w:r w:rsidRPr="00D66245">
        <w:rPr>
          <w:rFonts w:ascii="Palatino Linotype" w:hAnsi="Palatino Linotype"/>
        </w:rPr>
        <w:t>El artículo 64 dice:</w:t>
      </w:r>
    </w:p>
    <w:p w14:paraId="0C4DE692" w14:textId="77777777" w:rsidR="00FE353F" w:rsidRPr="00D66245" w:rsidRDefault="00FE353F" w:rsidP="00FE353F">
      <w:pPr>
        <w:spacing w:before="120" w:after="200"/>
        <w:jc w:val="both"/>
        <w:rPr>
          <w:rFonts w:ascii="Palatino Linotype" w:hAnsi="Palatino Linotype"/>
        </w:rPr>
      </w:pPr>
      <w:r w:rsidRPr="00D66245">
        <w:rPr>
          <w:rFonts w:ascii="Palatino Linotype" w:hAnsi="Palatino Linotype"/>
        </w:rPr>
        <w:t>“Contra el laudo en un proceso arbitral, solamente podrán interponerse recursos de nulidad y de revisión. El derecho de interponer los recursos es irrenunciable. El recurso de nulidad se aplicará según los artículos 65, siguientes y concordantes de la presente ley. El recurso de revisión se aplicará de acuerdo con el Código Procesal Civil.”</w:t>
      </w:r>
    </w:p>
    <w:p w14:paraId="23932943" w14:textId="77777777" w:rsidR="00FE353F" w:rsidRPr="00D66245" w:rsidRDefault="00FE353F" w:rsidP="00FE353F">
      <w:pPr>
        <w:spacing w:before="120" w:after="200"/>
        <w:ind w:firstLine="708"/>
        <w:jc w:val="both"/>
        <w:rPr>
          <w:rFonts w:ascii="Palatino Linotype" w:hAnsi="Palatino Linotype"/>
        </w:rPr>
      </w:pPr>
      <w:r w:rsidRPr="00D66245">
        <w:rPr>
          <w:rFonts w:ascii="Palatino Linotype" w:hAnsi="Palatino Linotype"/>
        </w:rPr>
        <w:t>El recurso de revisión que preveía la Ley RAC era el recurso incluido en el Código Procesal Civil de 1990, que estaba regulado en los artículos 619 al 628 del Código. Las causales del recurso eran considerablemente limitadas, y en su mayoría o no eran aplicables al arbitraje, pendían de una declaratoria en sede penal o se relacionaban con la incomparencia justificada durante el proceso. Se establecían en el artículo 619 que rezaba:</w:t>
      </w:r>
    </w:p>
    <w:p w14:paraId="5FA2A7FC" w14:textId="77777777" w:rsidR="00FE353F" w:rsidRPr="00D66245" w:rsidRDefault="00FE353F" w:rsidP="00FE353F">
      <w:pPr>
        <w:spacing w:before="120" w:after="200"/>
        <w:jc w:val="both"/>
        <w:rPr>
          <w:rFonts w:ascii="Palatino Linotype" w:hAnsi="Palatino Linotype"/>
        </w:rPr>
      </w:pPr>
      <w:r w:rsidRPr="00D66245">
        <w:rPr>
          <w:rFonts w:ascii="Palatino Linotype" w:hAnsi="Palatino Linotype"/>
        </w:rPr>
        <w:lastRenderedPageBreak/>
        <w:t>“Artículo 619. Procedencia y causales.</w:t>
      </w:r>
    </w:p>
    <w:p w14:paraId="7E1354AC" w14:textId="77777777" w:rsidR="00FE353F" w:rsidRPr="00D66245" w:rsidRDefault="00FE353F" w:rsidP="00FE353F">
      <w:pPr>
        <w:spacing w:before="120" w:after="200"/>
        <w:ind w:firstLine="708"/>
        <w:jc w:val="both"/>
        <w:rPr>
          <w:rFonts w:ascii="Palatino Linotype" w:hAnsi="Palatino Linotype"/>
        </w:rPr>
      </w:pPr>
      <w:r w:rsidRPr="00D66245">
        <w:rPr>
          <w:rFonts w:ascii="Palatino Linotype" w:hAnsi="Palatino Linotype"/>
        </w:rPr>
        <w:t>El recurso de revisión procederá solamente contra una sentencia firme con autoridad y eficacia de cosa juzgada material, en los siguientes casos:</w:t>
      </w:r>
    </w:p>
    <w:p w14:paraId="46A43A6D" w14:textId="77777777" w:rsidR="00FE353F" w:rsidRPr="00D66245" w:rsidRDefault="00FE353F" w:rsidP="00FE353F">
      <w:pPr>
        <w:spacing w:before="120" w:after="200"/>
        <w:ind w:firstLine="708"/>
        <w:jc w:val="both"/>
        <w:rPr>
          <w:rFonts w:ascii="Palatino Linotype" w:hAnsi="Palatino Linotype"/>
        </w:rPr>
      </w:pPr>
      <w:r w:rsidRPr="00D66245">
        <w:rPr>
          <w:rFonts w:ascii="Palatino Linotype" w:hAnsi="Palatino Linotype"/>
        </w:rPr>
        <w:t>1) Si la parte que la pide demostrare que por impedírselo fuerza mayor, o por obra de la contraria, no recusó al juez o no pudo presentar algún documento u otra clase de prueba, o comparecer al acto en que se evacuó alguna de ella; de modo que en uno y otro caso haya habido indefensión y no haya sido posible en el curso del proceso pedir rectificación del vicio.</w:t>
      </w:r>
    </w:p>
    <w:p w14:paraId="25624FD3" w14:textId="77777777" w:rsidR="00FE353F" w:rsidRPr="00D66245" w:rsidRDefault="00FE353F" w:rsidP="00FE353F">
      <w:pPr>
        <w:spacing w:before="120" w:after="200"/>
        <w:ind w:firstLine="708"/>
        <w:jc w:val="both"/>
        <w:rPr>
          <w:rFonts w:ascii="Palatino Linotype" w:hAnsi="Palatino Linotype"/>
        </w:rPr>
      </w:pPr>
      <w:r w:rsidRPr="00D66245">
        <w:rPr>
          <w:rFonts w:ascii="Palatino Linotype" w:hAnsi="Palatino Linotype"/>
        </w:rPr>
        <w:t>2) Si la sentencia hubiere recaído en virtud de documentos que al tiempo de dictarse ignoraba el interesado haber sido declarados falsos, o cuya falsedad hubiere sido declarada después de la sentencia.</w:t>
      </w:r>
    </w:p>
    <w:p w14:paraId="479D1E87" w14:textId="77777777" w:rsidR="00FE353F" w:rsidRPr="00D66245" w:rsidRDefault="00FE353F" w:rsidP="00FE353F">
      <w:pPr>
        <w:spacing w:before="120" w:after="200"/>
        <w:ind w:firstLine="708"/>
        <w:jc w:val="both"/>
        <w:rPr>
          <w:rFonts w:ascii="Palatino Linotype" w:hAnsi="Palatino Linotype"/>
        </w:rPr>
      </w:pPr>
      <w:r w:rsidRPr="00D66245">
        <w:rPr>
          <w:rFonts w:ascii="Palatino Linotype" w:hAnsi="Palatino Linotype"/>
        </w:rPr>
        <w:t>3) Si habiéndose dictado en virtud de prueba testimonial, los testigos hubieren sido condenados por falso testimonio, dado en las declaraciones que sirvieron de fundamento a la sentencia.</w:t>
      </w:r>
    </w:p>
    <w:p w14:paraId="71A908D1" w14:textId="77777777" w:rsidR="00FE353F" w:rsidRPr="00D66245" w:rsidRDefault="00FE353F" w:rsidP="00FE353F">
      <w:pPr>
        <w:spacing w:before="120" w:after="200"/>
        <w:ind w:firstLine="708"/>
        <w:jc w:val="both"/>
        <w:rPr>
          <w:rFonts w:ascii="Palatino Linotype" w:hAnsi="Palatino Linotype"/>
        </w:rPr>
      </w:pPr>
      <w:r w:rsidRPr="00D66245">
        <w:rPr>
          <w:rFonts w:ascii="Palatino Linotype" w:hAnsi="Palatino Linotype"/>
        </w:rPr>
        <w:t>4) Si habiéndose dictado en virtud de dictámenes de peritos, éstos hubieran sido condenados penalmente por falso testimonio al producir dicha prueba.</w:t>
      </w:r>
    </w:p>
    <w:p w14:paraId="7CC429B7" w14:textId="77777777" w:rsidR="00FE353F" w:rsidRPr="00D66245" w:rsidRDefault="00FE353F" w:rsidP="00FE353F">
      <w:pPr>
        <w:spacing w:before="120" w:after="200"/>
        <w:ind w:firstLine="708"/>
        <w:jc w:val="both"/>
        <w:rPr>
          <w:rFonts w:ascii="Palatino Linotype" w:hAnsi="Palatino Linotype"/>
        </w:rPr>
      </w:pPr>
      <w:r w:rsidRPr="00D66245">
        <w:rPr>
          <w:rFonts w:ascii="Palatino Linotype" w:hAnsi="Palatino Linotype"/>
        </w:rPr>
        <w:t>5) Si la sentencia se hubiere ganado en virtud de cohecho, violencia u otra maquinación fraudulenta, lo cual hubiere sido declarado en sentencia penal.</w:t>
      </w:r>
    </w:p>
    <w:p w14:paraId="0C8151FC" w14:textId="77777777" w:rsidR="00FE353F" w:rsidRPr="00D66245" w:rsidRDefault="00FE353F" w:rsidP="00FE353F">
      <w:pPr>
        <w:spacing w:before="120" w:after="200"/>
        <w:ind w:firstLine="708"/>
        <w:jc w:val="both"/>
        <w:rPr>
          <w:rFonts w:ascii="Palatino Linotype" w:hAnsi="Palatino Linotype"/>
        </w:rPr>
      </w:pPr>
      <w:r w:rsidRPr="00D66245">
        <w:rPr>
          <w:rFonts w:ascii="Palatino Linotype" w:hAnsi="Palatino Linotype"/>
        </w:rPr>
        <w:t>6) En los procesos que carezcan del recurso de casación, haberse dictado la sentencia sin haber sido emplazado el recurrente, o sin haber sido notificado del emplazamiento, siempre que el vicio no se hubiera convalidado.</w:t>
      </w:r>
    </w:p>
    <w:p w14:paraId="5832F7CD" w14:textId="77777777" w:rsidR="00FE353F" w:rsidRPr="00D66245" w:rsidRDefault="00FE353F" w:rsidP="00FE353F">
      <w:pPr>
        <w:spacing w:before="120" w:after="200"/>
        <w:ind w:firstLine="708"/>
        <w:jc w:val="both"/>
        <w:rPr>
          <w:rFonts w:ascii="Palatino Linotype" w:hAnsi="Palatino Linotype"/>
        </w:rPr>
      </w:pPr>
      <w:r w:rsidRPr="00D66245">
        <w:rPr>
          <w:rFonts w:ascii="Palatino Linotype" w:hAnsi="Palatino Linotype"/>
        </w:rPr>
        <w:t>7) Haber existido indebida representación durante todo el proceso.</w:t>
      </w:r>
    </w:p>
    <w:p w14:paraId="365969B6" w14:textId="77777777" w:rsidR="00FE353F" w:rsidRPr="00D66245" w:rsidRDefault="00FE353F" w:rsidP="00FE353F">
      <w:pPr>
        <w:spacing w:before="120" w:after="200"/>
        <w:ind w:firstLine="708"/>
        <w:jc w:val="both"/>
        <w:rPr>
          <w:rFonts w:ascii="Palatino Linotype" w:hAnsi="Palatino Linotype"/>
        </w:rPr>
      </w:pPr>
      <w:r w:rsidRPr="00D66245">
        <w:rPr>
          <w:rFonts w:ascii="Palatino Linotype" w:hAnsi="Palatino Linotype"/>
        </w:rPr>
        <w:lastRenderedPageBreak/>
        <w:t>8) Ser la sentencia contradictoria con otra anterior que produzca cosa juzgada, cuando el recurrente no hubiere podido alegar esa excepción por haber sido ausente en el segundo proceso, y por habérsele nombrado curador procesal, ignorándose además la existencia de la primera sentencia. No habrá lugar a la revisión si la excepción se hubiere opuesto oportunamente y hubiere sido denegada.</w:t>
      </w:r>
    </w:p>
    <w:p w14:paraId="1F3936B9" w14:textId="77777777" w:rsidR="00FE353F" w:rsidRPr="00D66245" w:rsidRDefault="00FE353F" w:rsidP="00FE353F">
      <w:pPr>
        <w:spacing w:before="120" w:after="200"/>
        <w:ind w:firstLine="708"/>
        <w:jc w:val="both"/>
        <w:rPr>
          <w:rFonts w:ascii="Palatino Linotype" w:hAnsi="Palatino Linotype"/>
        </w:rPr>
      </w:pPr>
      <w:r w:rsidRPr="00D66245">
        <w:rPr>
          <w:rFonts w:ascii="Palatino Linotype" w:hAnsi="Palatino Linotype"/>
        </w:rPr>
        <w:t>9) En caso de procesos seguidos con un curador procesal, si el recurrente justificare haber estado ausente de la República desde el principio, de manera que no hubiere podido presentarse en tiempo hábil para rendir prueba.”</w:t>
      </w:r>
    </w:p>
    <w:p w14:paraId="053CFB04" w14:textId="77777777" w:rsidR="00FE353F" w:rsidRPr="00D66245" w:rsidRDefault="00FE353F" w:rsidP="00FE353F">
      <w:pPr>
        <w:spacing w:before="120" w:after="200"/>
        <w:ind w:firstLine="708"/>
        <w:jc w:val="both"/>
        <w:rPr>
          <w:rFonts w:ascii="Palatino Linotype" w:hAnsi="Palatino Linotype"/>
        </w:rPr>
      </w:pPr>
      <w:r w:rsidRPr="00D66245">
        <w:rPr>
          <w:rFonts w:ascii="Palatino Linotype" w:hAnsi="Palatino Linotype"/>
        </w:rPr>
        <w:t xml:space="preserve">No tengo conocimiento de que se haya intentando algún caso de revisión contra un laudo arbitral, ni tampoco que un recurso de revisión contra una sentencia judicial haya prosperado a lo largo de los 28 años de vigencia del anterior Código Procesal Civil. </w:t>
      </w:r>
    </w:p>
    <w:p w14:paraId="0F7675F0" w14:textId="77777777" w:rsidR="00FE353F" w:rsidRPr="00D66245" w:rsidRDefault="00FE353F" w:rsidP="00FE353F">
      <w:pPr>
        <w:spacing w:before="120" w:after="200"/>
        <w:ind w:firstLine="708"/>
        <w:jc w:val="both"/>
        <w:rPr>
          <w:rFonts w:ascii="Palatino Linotype" w:hAnsi="Palatino Linotype"/>
        </w:rPr>
      </w:pPr>
      <w:r w:rsidRPr="00D66245">
        <w:rPr>
          <w:rFonts w:ascii="Palatino Linotype" w:hAnsi="Palatino Linotype"/>
        </w:rPr>
        <w:t>El nuevo Código mantiene la revisión, aunque, apegado a una mejor técnica procesal la ha reformulado como una demanda independiente que procede no sólo contra sentencias, sino contra resoluciones que produzcan cosa juzgada material.</w:t>
      </w:r>
    </w:p>
    <w:p w14:paraId="4E97357A" w14:textId="77777777" w:rsidR="00FE353F" w:rsidRPr="00D66245" w:rsidRDefault="00FE353F" w:rsidP="00FE353F">
      <w:pPr>
        <w:spacing w:before="120" w:after="200"/>
        <w:ind w:firstLine="708"/>
        <w:jc w:val="both"/>
        <w:rPr>
          <w:rFonts w:ascii="Palatino Linotype" w:hAnsi="Palatino Linotype"/>
        </w:rPr>
      </w:pPr>
      <w:r w:rsidRPr="00D66245">
        <w:rPr>
          <w:rFonts w:ascii="Palatino Linotype" w:hAnsi="Palatino Linotype"/>
        </w:rPr>
        <w:t>El artículo 72.1 establece las causales para la revisión, algunas de ellas se mantienen, otras son novedosas:</w:t>
      </w:r>
    </w:p>
    <w:p w14:paraId="19EB797E" w14:textId="77777777" w:rsidR="00FE353F" w:rsidRPr="00D66245" w:rsidRDefault="00FE353F" w:rsidP="00FE353F">
      <w:pPr>
        <w:autoSpaceDE w:val="0"/>
        <w:autoSpaceDN w:val="0"/>
        <w:adjustRightInd w:val="0"/>
        <w:spacing w:before="120" w:after="200"/>
        <w:jc w:val="both"/>
        <w:rPr>
          <w:rFonts w:ascii="Palatino Linotype" w:hAnsi="Palatino Linotype" w:cs="Times New Roman"/>
        </w:rPr>
      </w:pPr>
      <w:r w:rsidRPr="00D66245">
        <w:rPr>
          <w:rFonts w:ascii="Palatino Linotype" w:hAnsi="Palatino Linotype" w:cs="Times New Roman"/>
        </w:rPr>
        <w:t>“72.1 Procedencia y causales. La revisión procederá contra pronunciamientos que tengan efecto de cosa juzgada material, siempre que concurra alguna de las siguientes causales:</w:t>
      </w:r>
    </w:p>
    <w:p w14:paraId="79A08706"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1. Se hubieran dictado como consecuencia de prevaricato, cohecho o actos fraudulentos</w:t>
      </w:r>
    </w:p>
    <w:p w14:paraId="1E68F07C"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declarados en sentencia penal.</w:t>
      </w:r>
    </w:p>
    <w:p w14:paraId="3ADE8FE7"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2. Cuando medie fraude procesal, colusión u otra maniobra fraudulenta de las partes para alcanzar el fallo.</w:t>
      </w:r>
    </w:p>
    <w:p w14:paraId="07435601"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3. Cuando alguna de las pruebas decisivas del pronunciamiento impugnado hubiera sido declarada falsa en fallo penal firme.</w:t>
      </w:r>
    </w:p>
    <w:p w14:paraId="3D4729F9"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lastRenderedPageBreak/>
        <w:t>4. Se obtuvieran mediante violencia, intimidación o dolo.</w:t>
      </w:r>
    </w:p>
    <w:p w14:paraId="6E22057A"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5. Cuando, por fuerza mayor o por actos fraudulentos de la parte contraria, no se hubiera presentado prueba esencial o se hubiera imposibilitado la comparecencia de la parte interesada a algún acto donde se practicó prueba trascendente.</w:t>
      </w:r>
    </w:p>
    <w:p w14:paraId="2A391939"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6. Se haya dictado la sentencia sin emplazar al impugnante.</w:t>
      </w:r>
    </w:p>
    <w:p w14:paraId="6B897BF1"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7. Haya existido falta o indebida representación durante todo el proceso o al menos durante la audiencia de pruebas.</w:t>
      </w:r>
    </w:p>
    <w:p w14:paraId="1464BD65"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8. Que la sentencia sea contradictoria con otra anterior con autoridad de cosa juzgada material, siempre que no se hubiera podido alegar dicha excepción.</w:t>
      </w:r>
    </w:p>
    <w:p w14:paraId="77C29472"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9. Que la sentencia sea contradictoria con otra penal posterior con autoridad de cosa juzgada material en la que se establezca si la persona a quien se imputan los hechos que constituyen una infracción penal es o no la autora de ellos.</w:t>
      </w:r>
    </w:p>
    <w:p w14:paraId="7EC5C190"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10. Cuando se hubieran afectado, ilícitamente, bienes o derechos de terceros que no tuvieron participación en el proceso.</w:t>
      </w:r>
    </w:p>
    <w:p w14:paraId="039F9DBD"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11. En cualquier otro caso en que se hubiera producido una grave y trascendente violación al debido proceso.</w:t>
      </w:r>
    </w:p>
    <w:p w14:paraId="1D7308D8"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12. Cuando surjan nuevos medios probatorios científicos o tecnológicos que permitan desvirtuar las conclusiones que se obtuvieron en la sentencia impugnada.</w:t>
      </w:r>
    </w:p>
    <w:p w14:paraId="61270E40"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Será necesario que el vicio hubiera causado perjuicio al impugnante y no haya sido posible subsanarlo dentro del mismo proceso en que se produjo.</w:t>
      </w:r>
    </w:p>
    <w:p w14:paraId="325A878A"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No es procedente la revisión, cuando se sustente en una causal ya conocida y no invocada por el impugnante en una solicitud de revisión anterior.”</w:t>
      </w:r>
    </w:p>
    <w:p w14:paraId="560E8E40"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En virtud del párrafo final de este artículo, en relación con el 72.8 CPC, es posible que el recurso de revisión se ejerza en múltiples ocasiones, dependiendo de las causales y el motivo de rechazo de la solicitud.</w:t>
      </w:r>
    </w:p>
    <w:p w14:paraId="07741448"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lastRenderedPageBreak/>
        <w:t xml:space="preserve">Para efectos del arbitraje, las causales 10, 11 y 12 resultan peligrosos portillos por los que una parte -o un tercero- pueden intentar atacar el laudo arbitral mediante una demanda de revisión. </w:t>
      </w:r>
    </w:p>
    <w:p w14:paraId="0B3AB845"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La causal del inciso 10 resulta de interés por la imposibilidad de que un tercero sea parte del proceso arbitral. Aun y cuando la norma habla expresamente de un tercero, y no de una parte no signataria (supuesto en que eventualmente se podría extender los efectos de la cláusula arbitral a esa no signataria), y que incluye el calificativo de ilícitamente, sin que se precise si dicha ilicitud debe ser declarada penalmente, considero que da pie a que terceros (verdaderos o no) puedan recurrir a la revisión del laudo arbitral.</w:t>
      </w:r>
    </w:p>
    <w:p w14:paraId="66BBE5B0"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En el caso del inciso 11, se recurre a una fórmula abierta al referirse a una grave y trascendente violación al debido proceso. El calificativo de grave y trascendente únicamente se podrá determinar en sentencia, y no se limita el hecho de que esta misma causal, mutatis mutandis, está contenida en el artículo 67 inciso e) de la Ley RAC para el recurso de nulidad del laudo.</w:t>
      </w:r>
    </w:p>
    <w:p w14:paraId="51677ABC"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Por último, en el inciso 12, el surgimiento de nuevos medios probatorios científicos o tecnológicos que permitan modificar las conclusiones a las que se llegó con la sentencia, precisa de una interpretación en el sentido de que el surgimiento de dichos medios lo será en el supuesto en que dichos medios no existieran científicamente o técnicamente al momento de dictarse la sentencia, ya que, en los términos en que está formulada la norma, no se restringe necesariamente a ese supuesto, y el surgimiento de una nueva prueba podría darse simplemente del hecho de que anteriormente no se había solicitado.</w:t>
      </w:r>
    </w:p>
    <w:p w14:paraId="09DC6A6C"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Los plazos para la interposición de la acción se mantienen con respecto al Código anterior: 3 meses desde que se está en posibilidad de alegar el vicio y diez años desde la firmeza de la sentencia que motiva la revisión. Al ser una demanda, existe la posibilidad de que se recabe prueba, aun y cuando la conocería la Sala Primera de la Corte Suprema de Justicia.</w:t>
      </w:r>
    </w:p>
    <w:p w14:paraId="67EB68D4"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 xml:space="preserve">El artículo 72.4 párrafo final contiene una novedad al preverse la posibilidad de que, previa fijación de una garantía, se pueda suspender la </w:t>
      </w:r>
      <w:r w:rsidRPr="00D66245">
        <w:rPr>
          <w:rFonts w:ascii="Palatino Linotype" w:hAnsi="Palatino Linotype" w:cs="Times New Roman"/>
        </w:rPr>
        <w:lastRenderedPageBreak/>
        <w:t>ejecución de la sentencia recurrida, lo cual, en el caso de un laudo arbitral, desnaturalizaría su carácter ejecutorio.</w:t>
      </w:r>
    </w:p>
    <w:p w14:paraId="4D2184AD"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Independientemente de que esta acción sea conveniente o no para el proceso jurisdiccional, resulta poco deseable e inconveniente su aplicación al arbitraje doméstico, por aplicación del artículo 64 de la Ley RAC anteriormente citado. Y digo al arbitraje doméstico porque, por suerte, es inconcebible su aplicación al arbitraje internacional al no estar prevista la revisión dentro de las acciones disponibles contra el laudo arbitral dictado en un arbitraje internacional, al amparo de la LACI.</w:t>
      </w:r>
    </w:p>
    <w:p w14:paraId="19EBBDC3"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Ya en otro momento me he referido a la inconveniencia de que el proceso arbitral, se regule en Costa Rica en dos cuerpos normativos diferentes, dando pie a lo que he denominado un arbitraje bifronte. Dicha regulación dual es producto de las circunstancias: se decidió aprobar la LACI en su versión pura, lo cual fue un gran acierto del legislador, pero se decidió dejar la Ley RAC tal cual está, sin armonizarla con la LACI. Tenemos entonces, dos regulaciones diferentes para un mismo proceso, en donde la aplicación de una u otra legislación depende exclusivamente de los puntos de conexión que prevé el artículo 1(3)(4) de la LACI.</w:t>
      </w:r>
      <w:r w:rsidRPr="00D66245">
        <w:rPr>
          <w:rStyle w:val="Refdenotaalpie"/>
          <w:rFonts w:ascii="Palatino Linotype" w:hAnsi="Palatino Linotype" w:cs="Times New Roman"/>
          <w:vertAlign w:val="baseline"/>
        </w:rPr>
        <w:footnoteReference w:id="13"/>
      </w:r>
    </w:p>
    <w:p w14:paraId="03DB9E50"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Si bien en el pasado la revisión no fue un problema para el arbitraje (como sí lo ha sido el reenvío</w:t>
      </w:r>
      <w:r w:rsidRPr="00D66245">
        <w:rPr>
          <w:rStyle w:val="Refdenotaalpie"/>
          <w:rFonts w:ascii="Palatino Linotype" w:hAnsi="Palatino Linotype" w:cs="Times New Roman"/>
          <w:vertAlign w:val="baseline"/>
        </w:rPr>
        <w:footnoteReference w:id="14"/>
      </w:r>
      <w:r w:rsidRPr="00D66245">
        <w:rPr>
          <w:rFonts w:ascii="Palatino Linotype" w:hAnsi="Palatino Linotype" w:cs="Times New Roman"/>
        </w:rPr>
        <w:t xml:space="preserve">), nunca fue ni deseable ni necesaria su inclusión dentro de la Ley RAC. En virtud de la forma en que se redactó el 64 de la Ley RAC, sin hacer alusión a un artículo específico del Código Procesal Civil sino haciendo referencia a dicha norma en general, prima facie seguiría siendo aplicable dicha acción contra el laudo en el tanto sigue estando contemplada en el nuevo Código Procesal Civil. Sin embargo, la apertura de sus causales, y sobre todo la posibilidad de que se pueda </w:t>
      </w:r>
      <w:r w:rsidRPr="00D66245">
        <w:rPr>
          <w:rFonts w:ascii="Palatino Linotype" w:hAnsi="Palatino Linotype" w:cs="Times New Roman"/>
        </w:rPr>
        <w:lastRenderedPageBreak/>
        <w:t>suspender la ejecución del laudo mientras el mismo se conoce, hacen necesaria una modificación a los 58 y 64 de la Ley RAC eliminando el recurso de revisión del elenco de acciones disponibles contra el laudo arbitral, y dejando la nulidad como única acción disponible contra éste, al igual que lo prevé la LACI y es común en todas las jurisdicciones amigables con el arbitraje.</w:t>
      </w:r>
    </w:p>
    <w:p w14:paraId="1B550695"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En el tanto dicha reforma no se de, el rol de la Sala Primera, como órgano encargado de resolver cualquier eventual demanda de revisión contra un laudo arbitral, será determinante para evitar que esta acción se convierta en una herramienta para ralentizar, obstruir o dificultar la ejecución de los laudos arbitrales en Costa Rica. Por suerte, la Sala Primera ha sido gran amiga de arbitraje en Costa Rica, mostrándose prudente siempre en sus intervenciones, respetando la voluntad de las partes de renunciar a la jurisdicción común, pero sin renunciar a su deber de fiscalización del laudo en vía de nulidad del laudo doméstico y de reconocimiento del laudo extranjero.</w:t>
      </w:r>
    </w:p>
    <w:p w14:paraId="27EA395A" w14:textId="77777777" w:rsidR="00FE353F" w:rsidRPr="00D66245" w:rsidRDefault="00FE353F" w:rsidP="00FE353F">
      <w:pPr>
        <w:pStyle w:val="Prrafodelista"/>
        <w:numPr>
          <w:ilvl w:val="0"/>
          <w:numId w:val="8"/>
        </w:numPr>
        <w:autoSpaceDE w:val="0"/>
        <w:autoSpaceDN w:val="0"/>
        <w:adjustRightInd w:val="0"/>
        <w:spacing w:before="120" w:after="200" w:line="240" w:lineRule="auto"/>
        <w:ind w:left="0" w:firstLine="0"/>
        <w:contextualSpacing w:val="0"/>
        <w:jc w:val="both"/>
        <w:rPr>
          <w:rFonts w:ascii="Palatino Linotype" w:hAnsi="Palatino Linotype" w:cs="Times New Roman"/>
          <w:b/>
        </w:rPr>
      </w:pPr>
      <w:r w:rsidRPr="00D66245">
        <w:rPr>
          <w:rFonts w:ascii="Palatino Linotype" w:hAnsi="Palatino Linotype" w:cs="Times New Roman"/>
          <w:b/>
        </w:rPr>
        <w:t>Las causales de impedimento.</w:t>
      </w:r>
    </w:p>
    <w:p w14:paraId="5FA70683"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 xml:space="preserve">El artículo 31 de la Ley RAC establece sucintamente que las causas de recusación de un árbitro son las mismas que rigen para los jueces, así como la existencia de circunstancias que den lugar a dudas justificadas respecto de su imparcialidad o independencia. </w:t>
      </w:r>
    </w:p>
    <w:p w14:paraId="25B1C11C"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Por su parte, el artículo 12 establece de la LACI establece:</w:t>
      </w:r>
    </w:p>
    <w:p w14:paraId="2F4A09C4" w14:textId="77777777" w:rsidR="00FE353F" w:rsidRPr="00D66245" w:rsidRDefault="00FE353F" w:rsidP="00FE353F">
      <w:pPr>
        <w:autoSpaceDE w:val="0"/>
        <w:autoSpaceDN w:val="0"/>
        <w:adjustRightInd w:val="0"/>
        <w:spacing w:before="120" w:after="200"/>
        <w:jc w:val="both"/>
        <w:rPr>
          <w:rFonts w:ascii="Palatino Linotype" w:hAnsi="Palatino Linotype" w:cs="Times New Roman"/>
        </w:rPr>
      </w:pPr>
      <w:r w:rsidRPr="00D66245">
        <w:rPr>
          <w:rFonts w:ascii="Palatino Linotype" w:hAnsi="Palatino Linotype" w:cs="Times New Roman"/>
        </w:rPr>
        <w:t>“Motivos de recusación</w:t>
      </w:r>
    </w:p>
    <w:p w14:paraId="46657FB1" w14:textId="77777777" w:rsidR="00FE353F" w:rsidRPr="00D66245" w:rsidRDefault="00FE353F" w:rsidP="00FE353F">
      <w:pPr>
        <w:autoSpaceDE w:val="0"/>
        <w:autoSpaceDN w:val="0"/>
        <w:adjustRightInd w:val="0"/>
        <w:spacing w:before="120" w:after="200"/>
        <w:jc w:val="both"/>
        <w:rPr>
          <w:rFonts w:ascii="Palatino Linotype" w:hAnsi="Palatino Linotype" w:cs="Times New Roman"/>
        </w:rPr>
      </w:pPr>
      <w:r w:rsidRPr="00D66245">
        <w:rPr>
          <w:rFonts w:ascii="Palatino Linotype" w:hAnsi="Palatino Linotype" w:cs="Times New Roman"/>
        </w:rPr>
        <w:t>1) La persona a quien se comunique su posible nombramiento como árbitro deberá revelar todas las circunstancias que puedan dar lugar a dudas justificadas acerca de su imparcialidad o independencia. El árbitro, desde el momento de su nombramiento y durante todas las actuaciones arbitrales, revelará sin demora tales circunstancias a las partes, a menos que ya les haya informado de ellas.</w:t>
      </w:r>
    </w:p>
    <w:p w14:paraId="3EE07AD3" w14:textId="77777777" w:rsidR="00FE353F" w:rsidRPr="00D66245" w:rsidRDefault="00FE353F" w:rsidP="00FE353F">
      <w:pPr>
        <w:autoSpaceDE w:val="0"/>
        <w:autoSpaceDN w:val="0"/>
        <w:adjustRightInd w:val="0"/>
        <w:spacing w:before="120" w:after="200"/>
        <w:jc w:val="both"/>
        <w:rPr>
          <w:rFonts w:ascii="Palatino Linotype" w:hAnsi="Palatino Linotype" w:cs="Times New Roman"/>
        </w:rPr>
      </w:pPr>
      <w:r w:rsidRPr="00D66245">
        <w:rPr>
          <w:rFonts w:ascii="Palatino Linotype" w:hAnsi="Palatino Linotype" w:cs="Times New Roman"/>
        </w:rPr>
        <w:lastRenderedPageBreak/>
        <w:t>2) Un árbitro solo podrá ser recusado si existen circunstancias que den lugar a dudas justificadas respecto de su imparcialidad o independencia, o si no posee las cualificaciones convenidas por las partes. Una parte solo podrá recusar al árbitro nombrado por ella, o en cuyo nombramiento haya participado, por causas de las que haya tenido conocimiento después de efectuada la designación.”</w:t>
      </w:r>
    </w:p>
    <w:p w14:paraId="44D4BC1B"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Cuando el artículo 31 de la Ley RAC remite a las causales de recusación de los jueces, no indica cuales jueces, sin embargo, por afinidad de materia, se ha entendido tradicionalmente que son los jueces civiles, por lo que se aplicaba por remisión el artículo 53 del anterior CPC, que establecía 12 causales, aunque la primera de ellas lo que hacía era indicar que serían causas de recusación las que establecía el artículo 49 como causas de impedimento, que ofrecía 7 causales adicionales.</w:t>
      </w:r>
    </w:p>
    <w:p w14:paraId="30412E47"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El nuevo CPC reformula la competencia subjetiva, condensando en un único artículo, el 12, un elenco de 16 causales que denomina de impedimento, superando así la distinción previa entre causales de impedimento y de recusación. Establece la norma:</w:t>
      </w:r>
    </w:p>
    <w:p w14:paraId="4F9924CC"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“Artículo 12. Causales de impedimento</w:t>
      </w:r>
    </w:p>
    <w:p w14:paraId="41257921"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Son causales de impedimento:</w:t>
      </w:r>
    </w:p>
    <w:p w14:paraId="55A4CAB8"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1. El interés directo en el resultado del proceso.</w:t>
      </w:r>
    </w:p>
    <w:p w14:paraId="2E01C59E"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2. Ser una de las partes cónyuge, conviviente, ascendiente, descendiente o pariente hasta el tercer grado de consanguinidad, o segundo de afinidad del juez.</w:t>
      </w:r>
    </w:p>
    <w:p w14:paraId="150710E6"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3. El interés directo en el resultado del proceso de cualquiera de los familiares del juez indicados en el inciso anterior. En tribunales colegiados, las causales de los incisos anteriores se extienden a los demás integrantes.</w:t>
      </w:r>
    </w:p>
    <w:p w14:paraId="4B1FFA81"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4. Haber sido el juez abogado, tutor, curador, apoderado, representante o administrador de alguna de las partes. Esta causal se extiende al cónyuge, conviviente, ascendiente y descendiente del juez.</w:t>
      </w:r>
    </w:p>
    <w:p w14:paraId="24DA147C"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 xml:space="preserve">5. Ser acreedor, deudor, fiador o fiado, empleado o patrono en relación con alguna de las partes. No hay causal si el nexo es con el Estado o cualquier institución pública. Tampoco, si se diera con una sociedad mercantil, una </w:t>
      </w:r>
      <w:r w:rsidRPr="00D66245">
        <w:rPr>
          <w:rFonts w:ascii="Palatino Linotype" w:hAnsi="Palatino Linotype" w:cs="Times New Roman"/>
        </w:rPr>
        <w:lastRenderedPageBreak/>
        <w:t>corporación, una asociación o cualquier otra persona jurídica, cuando el nexo con estas sea irrelevante para demeritar la objetividad del funcionario.</w:t>
      </w:r>
    </w:p>
    <w:p w14:paraId="5D50A8EB"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6. Ser el juez o alguno de los parientes indicados en el inciso 2), parte contraria de algunas partes en otro proceso, siempre que este no hubiera sido instaurado con el único propósito de inhabilitarlo.</w:t>
      </w:r>
    </w:p>
    <w:p w14:paraId="7A6D3155"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7. Existir o haber existido, en los dos años precedentes a la iniciación del proceso, un proceso</w:t>
      </w:r>
    </w:p>
    <w:p w14:paraId="4A0A94A5"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jurisdiccional o administrativo en que figuren como contrarios, respecto de alguna de las partes, el juez o sus parientes indicados en el inciso 2).</w:t>
      </w:r>
    </w:p>
    <w:p w14:paraId="12F56712"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8. Deba el juez fallar en grado acerca de una resolución dictada por alguno de los parientes indicados en el inciso 2).</w:t>
      </w:r>
    </w:p>
    <w:p w14:paraId="6B7FCAF1"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9. Ser o haber sido, en el último año, compañero de oficina o de trabajo de alguna de las partes.</w:t>
      </w:r>
    </w:p>
    <w:p w14:paraId="2099829A"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10. Sostener el juez, su cónyuge, ascendiente o descendiente opinión contraria a la de algunas de las partes, en otro proceso de su interés.</w:t>
      </w:r>
    </w:p>
    <w:p w14:paraId="3C341BF2"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11. Ser una de las partes juez o árbitro en otro proceso en que sea parte el juez o los parientes indicados en el inciso anterior.</w:t>
      </w:r>
    </w:p>
    <w:p w14:paraId="3620F020"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12. Haberse impuesto al juez alguna corrección disciplinaria, en el mismo proceso, por queja</w:t>
      </w:r>
    </w:p>
    <w:p w14:paraId="28A8D3F8"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presentada por una de las partes.</w:t>
      </w:r>
    </w:p>
    <w:p w14:paraId="6FD88A7C"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13. Haber externado, fuera de sus funciones, opinión a favor o en contra de alguna de las partes. Las opiniones expuestas o los informes rendidos que no se refieran al caso concreto, como aquellas dadas con carácter doctrinario o en virtud de requerimientos de los otros poderes o en otros asuntos de que conozcan o hayan conocido de acuerdo con la ley, no configuran esta casual.</w:t>
      </w:r>
    </w:p>
    <w:p w14:paraId="6145BC7E"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14. Haber sido el juez perito o testigo en el proceso.</w:t>
      </w:r>
    </w:p>
    <w:p w14:paraId="4B5D1AF2"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15. Haber participado en la decisión del acto objeto del proceso.</w:t>
      </w:r>
    </w:p>
    <w:p w14:paraId="4DDF8257" w14:textId="77777777" w:rsidR="00FE353F" w:rsidRPr="00D66245" w:rsidRDefault="00FE353F" w:rsidP="00FE353F">
      <w:pPr>
        <w:autoSpaceDE w:val="0"/>
        <w:autoSpaceDN w:val="0"/>
        <w:adjustRightInd w:val="0"/>
        <w:spacing w:after="0"/>
        <w:jc w:val="both"/>
        <w:rPr>
          <w:rFonts w:ascii="Palatino Linotype" w:hAnsi="Palatino Linotype" w:cs="Times New Roman"/>
        </w:rPr>
      </w:pPr>
      <w:r w:rsidRPr="00D66245">
        <w:rPr>
          <w:rFonts w:ascii="Palatino Linotype" w:hAnsi="Palatino Linotype" w:cs="Times New Roman"/>
        </w:rPr>
        <w:t>16. La existencia de circunstancias que den lugar a dudas justificadas respecto de su imparcialidad u objetividad.”</w:t>
      </w:r>
    </w:p>
    <w:p w14:paraId="129827F0"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 xml:space="preserve">Las causales son bastante similares a las que ya existían, aunque con algunas modificaciones menores, como, por ejemplo, el hecho de que en el anterior CPC no podían participar como jueces los primos hermanos, y ahora, esta restricción desaparece al limitarse al tercer grado de </w:t>
      </w:r>
      <w:r w:rsidRPr="00D66245">
        <w:rPr>
          <w:rFonts w:ascii="Palatino Linotype" w:hAnsi="Palatino Linotype" w:cs="Times New Roman"/>
        </w:rPr>
        <w:lastRenderedPageBreak/>
        <w:t>consanguinidad, que no incluye a los primos por corresponder éstos al cuarto grado de consanguinidad.</w:t>
      </w:r>
    </w:p>
    <w:p w14:paraId="7240DDFA"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La causal del inciso 16 es una novedad del CPC que además constituye una causal abierta. Sin embargo, esta causal es muy similar a la que prevé el artículo 31 de la Ley RAC, que habla de circunstancias que den lugar a dudas justificadas respecto de su imparcialidad o independencia. La diferencia radica únicamente en la última palabra, mientras que la Ley RAC habla de independencia, el CPC habla de objetividad.</w:t>
      </w:r>
    </w:p>
    <w:p w14:paraId="3D90BE13" w14:textId="77777777" w:rsidR="00FE353F"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En virtud de que el artículo 31 de la Ley RAC remite expresamente a las causales de recusación aplicables a los jueces, no sería válido aplicar el sistema de integración normativa del artículo 39 in fine de la Ley RAC que permitiría acudir a las normas procesales de la legislación costarricense, y aplicar el artículo 12 de la LACI. En este caso el CPC hace una remisión indirecta al CPC que debe ser observada.</w:t>
      </w:r>
    </w:p>
    <w:p w14:paraId="1F66C846" w14:textId="41CA8880" w:rsidR="00EF1A6A" w:rsidRPr="00D66245" w:rsidRDefault="00FE353F" w:rsidP="00FE353F">
      <w:pPr>
        <w:autoSpaceDE w:val="0"/>
        <w:autoSpaceDN w:val="0"/>
        <w:adjustRightInd w:val="0"/>
        <w:spacing w:before="120" w:after="200"/>
        <w:ind w:firstLine="708"/>
        <w:jc w:val="both"/>
        <w:rPr>
          <w:rFonts w:ascii="Palatino Linotype" w:hAnsi="Palatino Linotype" w:cs="Times New Roman"/>
        </w:rPr>
      </w:pPr>
      <w:r w:rsidRPr="00D66245">
        <w:rPr>
          <w:rFonts w:ascii="Palatino Linotype" w:hAnsi="Palatino Linotype" w:cs="Times New Roman"/>
        </w:rPr>
        <w:t>Considero conveniente la eliminación de esta remisión al CPC y regular la recusación en los términos que prevé la LACI. En la práctica arbitral internacional, y cada día con más frecuencia en nuestro arbitraje doméstico, los árbitros aplican las Directrices IBA sobre Conflictos de Intereses en Arbitraje Internacional</w:t>
      </w:r>
      <w:r w:rsidRPr="00D66245">
        <w:rPr>
          <w:rStyle w:val="Refdenotaalpie"/>
          <w:rFonts w:ascii="Palatino Linotype" w:hAnsi="Palatino Linotype" w:cs="Times New Roman"/>
        </w:rPr>
        <w:footnoteReference w:id="15"/>
      </w:r>
      <w:r w:rsidRPr="00D66245">
        <w:rPr>
          <w:rFonts w:ascii="Palatino Linotype" w:hAnsi="Palatino Linotype" w:cs="Times New Roman"/>
          <w:vertAlign w:val="superscript"/>
        </w:rPr>
        <w:t>,</w:t>
      </w:r>
      <w:r w:rsidRPr="00D66245">
        <w:rPr>
          <w:rFonts w:ascii="Palatino Linotype" w:hAnsi="Palatino Linotype" w:cs="Times New Roman"/>
        </w:rPr>
        <w:t xml:space="preserve"> que aun y cuando, al igual que las de la práctica de la prueba sean </w:t>
      </w:r>
      <w:r w:rsidRPr="00D66245">
        <w:rPr>
          <w:rFonts w:ascii="Palatino Linotype" w:hAnsi="Palatino Linotype" w:cs="Times New Roman"/>
          <w:i/>
        </w:rPr>
        <w:t>soft law</w:t>
      </w:r>
      <w:r w:rsidRPr="00D66245">
        <w:rPr>
          <w:rFonts w:ascii="Palatino Linotype" w:hAnsi="Palatino Linotype" w:cs="Times New Roman"/>
        </w:rPr>
        <w:t>, son aplicadas en virtud del consenso que internacionalmente existe sobre su condición de mejores prácticas en la materia.</w:t>
      </w:r>
    </w:p>
    <w:p w14:paraId="3995DE4D" w14:textId="77777777" w:rsidR="00FE353F" w:rsidRPr="00D66245" w:rsidRDefault="00FE353F" w:rsidP="00FE353F">
      <w:pPr>
        <w:autoSpaceDE w:val="0"/>
        <w:autoSpaceDN w:val="0"/>
        <w:adjustRightInd w:val="0"/>
        <w:spacing w:before="120" w:after="200"/>
        <w:jc w:val="both"/>
        <w:rPr>
          <w:rFonts w:ascii="Palatino Linotype" w:hAnsi="Palatino Linotype" w:cs="Times New Roman"/>
          <w:b/>
        </w:rPr>
      </w:pPr>
      <w:r w:rsidRPr="00D66245">
        <w:rPr>
          <w:rFonts w:ascii="Palatino Linotype" w:hAnsi="Palatino Linotype" w:cs="Times New Roman"/>
          <w:b/>
        </w:rPr>
        <w:t>Conclusión</w:t>
      </w:r>
    </w:p>
    <w:p w14:paraId="457DF056" w14:textId="77777777" w:rsidR="00FE353F" w:rsidRPr="00D66245" w:rsidRDefault="00FE353F" w:rsidP="00FE353F">
      <w:pPr>
        <w:spacing w:before="120" w:after="200"/>
        <w:ind w:firstLine="360"/>
        <w:jc w:val="both"/>
        <w:rPr>
          <w:rFonts w:ascii="Palatino Linotype" w:hAnsi="Palatino Linotype"/>
        </w:rPr>
      </w:pPr>
      <w:r w:rsidRPr="00D66245">
        <w:rPr>
          <w:rFonts w:ascii="Palatino Linotype" w:hAnsi="Palatino Linotype"/>
        </w:rPr>
        <w:t xml:space="preserve">El arbitraje no se ve amenazado con la aprobación de una normativa procesal más moderna y robusta de la que existía. Aun y cuando algunas figuras del proceso civil puedan resultar novedosas e incluso envidiables, como la demanda improponible y la independencia funcional entre la </w:t>
      </w:r>
      <w:r w:rsidRPr="00D66245">
        <w:rPr>
          <w:rFonts w:ascii="Palatino Linotype" w:hAnsi="Palatino Linotype"/>
        </w:rPr>
        <w:lastRenderedPageBreak/>
        <w:t>demanda y la reconvención, el arbitraje sigue ofreciendo a las partes cinco elementos esenciales:</w:t>
      </w:r>
    </w:p>
    <w:p w14:paraId="0B79EE35" w14:textId="77777777" w:rsidR="00FE353F" w:rsidRPr="00D66245" w:rsidRDefault="00FE353F" w:rsidP="00FE353F">
      <w:pPr>
        <w:pStyle w:val="Prrafodelista"/>
        <w:numPr>
          <w:ilvl w:val="0"/>
          <w:numId w:val="7"/>
        </w:numPr>
        <w:spacing w:before="120" w:after="200" w:line="240" w:lineRule="auto"/>
        <w:contextualSpacing w:val="0"/>
        <w:jc w:val="both"/>
        <w:rPr>
          <w:rFonts w:ascii="Palatino Linotype" w:hAnsi="Palatino Linotype"/>
          <w:lang w:val="es-ES"/>
        </w:rPr>
      </w:pPr>
      <w:r w:rsidRPr="00D66245">
        <w:rPr>
          <w:rFonts w:ascii="Palatino Linotype" w:hAnsi="Palatino Linotype"/>
          <w:lang w:val="es-ES"/>
        </w:rPr>
        <w:t>Flexibilidad para personalizar el proceso de acuerdo a sus necesidades, escogiendo, entre otras cosas, las normas procesales, la institución administradora (si es que desean que exista una) e incluso si la controversia se resolverá aplicando el derecho o la equidad.</w:t>
      </w:r>
    </w:p>
    <w:p w14:paraId="5FB42E5C" w14:textId="77777777" w:rsidR="00FE353F" w:rsidRPr="00D66245" w:rsidRDefault="00FE353F" w:rsidP="00FE353F">
      <w:pPr>
        <w:pStyle w:val="Prrafodelista"/>
        <w:numPr>
          <w:ilvl w:val="0"/>
          <w:numId w:val="7"/>
        </w:numPr>
        <w:spacing w:before="120" w:after="200" w:line="240" w:lineRule="auto"/>
        <w:contextualSpacing w:val="0"/>
        <w:jc w:val="both"/>
        <w:rPr>
          <w:rFonts w:ascii="Palatino Linotype" w:hAnsi="Palatino Linotype"/>
          <w:lang w:val="es-ES"/>
        </w:rPr>
      </w:pPr>
      <w:r w:rsidRPr="00D66245">
        <w:rPr>
          <w:rFonts w:ascii="Palatino Linotype" w:hAnsi="Palatino Linotype"/>
          <w:lang w:val="es-ES"/>
        </w:rPr>
        <w:t xml:space="preserve">La posibilidad de escoger al árbitro que resolverá la controversia, incluso al número de éstos, lo cual, aun y cuando el CPC prevé que las partes tienen derecho a un juez idóneo, es muy difícil de lograr por motivos de especialización y cantidad de jueces. </w:t>
      </w:r>
    </w:p>
    <w:p w14:paraId="1E6367B9" w14:textId="77777777" w:rsidR="00FE353F" w:rsidRPr="00D66245" w:rsidRDefault="00FE353F" w:rsidP="00FE353F">
      <w:pPr>
        <w:pStyle w:val="Prrafodelista"/>
        <w:numPr>
          <w:ilvl w:val="0"/>
          <w:numId w:val="7"/>
        </w:numPr>
        <w:spacing w:before="120" w:after="200" w:line="240" w:lineRule="auto"/>
        <w:contextualSpacing w:val="0"/>
        <w:jc w:val="both"/>
        <w:rPr>
          <w:rFonts w:ascii="Palatino Linotype" w:hAnsi="Palatino Linotype"/>
          <w:lang w:val="es-ES"/>
        </w:rPr>
      </w:pPr>
      <w:r w:rsidRPr="00D66245">
        <w:rPr>
          <w:rFonts w:ascii="Palatino Linotype" w:hAnsi="Palatino Linotype"/>
          <w:lang w:val="es-ES"/>
        </w:rPr>
        <w:t>Los laudos arbitrales viajan de forma más fácil que las sentencias judiciales en virtud de la Convención de Nueva York. No existe un equivalente a dicha Convención para sentencias judiciales. Esto, en un contexto de internacionalidad de la disputa, resulta indispensable para garantizar el reconocimiento de la resolución en el extranjero.</w:t>
      </w:r>
    </w:p>
    <w:p w14:paraId="668EF80D" w14:textId="77777777" w:rsidR="00FE353F" w:rsidRPr="00D66245" w:rsidRDefault="00FE353F" w:rsidP="00FE353F">
      <w:pPr>
        <w:pStyle w:val="Prrafodelista"/>
        <w:numPr>
          <w:ilvl w:val="0"/>
          <w:numId w:val="7"/>
        </w:numPr>
        <w:spacing w:before="120" w:after="200" w:line="240" w:lineRule="auto"/>
        <w:contextualSpacing w:val="0"/>
        <w:jc w:val="both"/>
        <w:rPr>
          <w:rFonts w:ascii="Palatino Linotype" w:hAnsi="Palatino Linotype"/>
          <w:lang w:val="es-ES"/>
        </w:rPr>
      </w:pPr>
      <w:r w:rsidRPr="00D66245">
        <w:rPr>
          <w:rFonts w:ascii="Palatino Linotype" w:hAnsi="Palatino Linotype"/>
          <w:lang w:val="es-ES"/>
        </w:rPr>
        <w:t>La confidencialidad del proceso arbitral, que sobre todo en conflictos mercantiles o societarios, puede resultar un elemento decisivo frente a la publicidad del proceso que prevé el artículo 2.10 del CPC.</w:t>
      </w:r>
    </w:p>
    <w:p w14:paraId="15CEEE61" w14:textId="77777777" w:rsidR="00FE353F" w:rsidRPr="00D66245" w:rsidRDefault="00FE353F" w:rsidP="00FE353F">
      <w:pPr>
        <w:pStyle w:val="Prrafodelista"/>
        <w:numPr>
          <w:ilvl w:val="0"/>
          <w:numId w:val="7"/>
        </w:numPr>
        <w:spacing w:before="120" w:after="200" w:line="240" w:lineRule="auto"/>
        <w:contextualSpacing w:val="0"/>
        <w:jc w:val="both"/>
        <w:rPr>
          <w:rFonts w:ascii="Palatino Linotype" w:hAnsi="Palatino Linotype"/>
          <w:lang w:val="es-ES"/>
        </w:rPr>
      </w:pPr>
      <w:r w:rsidRPr="00D66245">
        <w:rPr>
          <w:rFonts w:ascii="Palatino Linotype" w:hAnsi="Palatino Linotype"/>
          <w:lang w:val="es-ES"/>
        </w:rPr>
        <w:t>El tiempo de resolución. Aun y cuando este aspecto podría estar en entredicho por los lamentablemente extensos plazos de resolución en la Sala Primera de la apelación al laudo parcial de competencia y la nulidad del laudo arbitral, el arbitraje, en sí mismo, es más expedito que el proceso civil, o cuando menos, debería serlo. Será la experiencia la que podrá decirnos si el CPC logra realmente reducir los tiempos de resolución de los casos, pero el arbitraje es hasta ahora un proceso más rápido y eficiente que el proceso jurisdiccional, no sólo por que los árbitros están obligados a aceptar un número limitado de casos, sino también por el hecho de existir recursos limitados contra el laudo y la imposibilidad de recurrir las resoluciones interlocutorias, salvo el laudo parcial de competencia ya mencionado.</w:t>
      </w:r>
    </w:p>
    <w:p w14:paraId="3E9BC90B" w14:textId="77777777" w:rsidR="00FE353F" w:rsidRPr="00D66245" w:rsidRDefault="00FE353F" w:rsidP="00FE353F">
      <w:pPr>
        <w:spacing w:before="120" w:after="200"/>
        <w:jc w:val="both"/>
        <w:rPr>
          <w:rFonts w:ascii="Palatino Linotype" w:hAnsi="Palatino Linotype"/>
        </w:rPr>
      </w:pPr>
      <w:r w:rsidRPr="00D66245">
        <w:rPr>
          <w:rFonts w:ascii="Palatino Linotype" w:hAnsi="Palatino Linotype"/>
        </w:rPr>
        <w:lastRenderedPageBreak/>
        <w:t>Como lo dice su exposición de motivos, el CPC no es fruto de la improvisación, y ello salta a la vista de su simple lectura. Es una norma de rigor científico, que armoniza institutos ya arraigados en nuestro medio con otros novedosos importados, pero más importante, adaptados a nuestro entorno. Resulta evidente que es una norma confeccionada por juristas con muchas horas vuelo en la tramitación de procesos judiciales, de allí su resultado: una normativa con un acabado mucho más fino que la que le antecedía.</w:t>
      </w:r>
    </w:p>
    <w:p w14:paraId="797C819C" w14:textId="77777777" w:rsidR="00FE353F" w:rsidRPr="00D66245" w:rsidRDefault="00FE353F" w:rsidP="00FE353F">
      <w:pPr>
        <w:spacing w:before="120" w:after="200"/>
        <w:jc w:val="both"/>
        <w:rPr>
          <w:rFonts w:ascii="Palatino Linotype" w:hAnsi="Palatino Linotype"/>
        </w:rPr>
      </w:pPr>
      <w:r w:rsidRPr="00D66245">
        <w:rPr>
          <w:rFonts w:ascii="Palatino Linotype" w:hAnsi="Palatino Linotype"/>
        </w:rPr>
        <w:t>Considero que con el nuevo CPC el arbitraje podrá salir robustecido, no sólo porque ofrece soluciones acordes con los principios procesales modernos que son aplicados en el arbitraje, sino también porque obligará a los litigantes a aplicar un nuevo tipo de litigio, más estratégico, inmediato, sofisticado y con mayor aplicación de la oralidad.</w:t>
      </w:r>
    </w:p>
    <w:p w14:paraId="38853CFA" w14:textId="77777777" w:rsidR="00FE353F" w:rsidRPr="00D66245" w:rsidRDefault="00FE353F" w:rsidP="00FE353F">
      <w:pPr>
        <w:spacing w:before="120" w:after="200"/>
        <w:jc w:val="center"/>
        <w:rPr>
          <w:rFonts w:ascii="Palatino Linotype" w:hAnsi="Palatino Linotype"/>
          <w:b/>
        </w:rPr>
      </w:pPr>
      <w:r w:rsidRPr="00D66245">
        <w:rPr>
          <w:rFonts w:ascii="Palatino Linotype" w:hAnsi="Palatino Linotype"/>
          <w:b/>
        </w:rPr>
        <w:t>Bibliografía</w:t>
      </w:r>
    </w:p>
    <w:p w14:paraId="6A810DAC" w14:textId="77777777" w:rsidR="00FE353F" w:rsidRPr="00D66245" w:rsidRDefault="00FE353F" w:rsidP="00FE353F">
      <w:pPr>
        <w:spacing w:before="120" w:after="200"/>
        <w:jc w:val="both"/>
        <w:rPr>
          <w:rFonts w:ascii="Palatino Linotype" w:hAnsi="Palatino Linotype"/>
        </w:rPr>
      </w:pPr>
      <w:r w:rsidRPr="00D66245">
        <w:rPr>
          <w:rFonts w:ascii="Palatino Linotype" w:hAnsi="Palatino Linotype"/>
        </w:rPr>
        <w:t>GONZÁLEZ DE COSSÍO, Francisco: “Orden público en México”. Club Español del Arbitraje, San José, Costa Rica (2011). Disponible en: http://www.gdca.com.mx/PDF/arbitraje/ORDEN%20PUBLICO%20EN%20MEXICO.pdf</w:t>
      </w:r>
    </w:p>
    <w:p w14:paraId="73F66AEE" w14:textId="77777777" w:rsidR="00FE353F" w:rsidRPr="00D66245" w:rsidRDefault="00FE353F" w:rsidP="00FE353F">
      <w:pPr>
        <w:spacing w:before="120" w:after="200"/>
        <w:jc w:val="both"/>
        <w:rPr>
          <w:rFonts w:ascii="Palatino Linotype" w:hAnsi="Palatino Linotype"/>
        </w:rPr>
      </w:pPr>
      <w:r w:rsidRPr="00D66245">
        <w:rPr>
          <w:rFonts w:ascii="Palatino Linotype" w:hAnsi="Palatino Linotype"/>
        </w:rPr>
        <w:t xml:space="preserve">MORENO RODRÍGUEZ, José Antonio: “Derecho aplicable y arbitraje internacional”. España, Thomson Reuters Aranzadi, 1era edición española (2014). </w:t>
      </w:r>
    </w:p>
    <w:p w14:paraId="4F71186F" w14:textId="77777777" w:rsidR="00FE353F" w:rsidRPr="00D66245" w:rsidRDefault="00FE353F" w:rsidP="00FE353F">
      <w:pPr>
        <w:spacing w:before="120" w:after="200"/>
        <w:jc w:val="both"/>
        <w:rPr>
          <w:rFonts w:ascii="Palatino Linotype" w:hAnsi="Palatino Linotype"/>
        </w:rPr>
      </w:pPr>
      <w:r w:rsidRPr="00D66245">
        <w:rPr>
          <w:rFonts w:ascii="Palatino Linotype" w:hAnsi="Palatino Linotype"/>
        </w:rPr>
        <w:t xml:space="preserve">PARIS CRUZ, Mauricio: “El necesario divorcio entre el Código Procesal Civil y el arbitraje comercial” En: Revista Judicial No. 109 (2013). Disponible para descarga en el siguiente vínculo: </w:t>
      </w:r>
      <w:hyperlink r:id="rId19" w:history="1">
        <w:r w:rsidRPr="00D66245">
          <w:rPr>
            <w:rStyle w:val="Hipervnculo"/>
            <w:rFonts w:ascii="Palatino Linotype" w:hAnsi="Palatino Linotype"/>
            <w:color w:val="auto"/>
          </w:rPr>
          <w:t>http://bonafide.cr/descargas/</w:t>
        </w:r>
      </w:hyperlink>
    </w:p>
    <w:p w14:paraId="40C32A6C" w14:textId="77777777" w:rsidR="00FE353F" w:rsidRPr="00D66245" w:rsidRDefault="00FE353F" w:rsidP="00FE353F">
      <w:pPr>
        <w:spacing w:before="120" w:after="200"/>
        <w:jc w:val="both"/>
        <w:rPr>
          <w:rFonts w:ascii="Palatino Linotype" w:hAnsi="Palatino Linotype"/>
        </w:rPr>
      </w:pPr>
      <w:r w:rsidRPr="00D66245">
        <w:rPr>
          <w:rFonts w:ascii="Palatino Linotype" w:hAnsi="Palatino Linotype"/>
        </w:rPr>
        <w:t>PARIS CRUZ, Mauricio: “La deseable transición del reenvío a la remisión en el arbitraje costarricense”. En: Revista Judicial No. 117 de setiembre 2015. Disponible para descarga en el siguiente vínculo: http://bonafide.cr/descargas/</w:t>
      </w:r>
    </w:p>
    <w:p w14:paraId="460F61EC" w14:textId="77777777" w:rsidR="00FE353F" w:rsidRDefault="00FE353F" w:rsidP="00FE353F">
      <w:pPr>
        <w:spacing w:before="120" w:after="200"/>
        <w:jc w:val="both"/>
        <w:rPr>
          <w:rFonts w:ascii="Palatino Linotype" w:hAnsi="Palatino Linotype"/>
        </w:rPr>
      </w:pPr>
      <w:r w:rsidRPr="00D66245">
        <w:rPr>
          <w:rFonts w:ascii="Palatino Linotype" w:hAnsi="Palatino Linotype"/>
        </w:rPr>
        <w:lastRenderedPageBreak/>
        <w:t>PARIS CRUZ, Mauricio. RAPSO HENRÍQUEZ, Mauricio: “El orden público en las nuevas normas procesales sobre reconocimiento de laudos internacionales en Costa Rica” En: Spain Arbitration Review. Revista del Club Español del Arbitraje. No. 30 (2017). Madrid, España. Disponible para descarga en el siguiente vínculo: http://bonafide.cr/descargas/</w:t>
      </w:r>
    </w:p>
    <w:p w14:paraId="5EFFA2E4" w14:textId="77777777" w:rsidR="00C4535F" w:rsidRDefault="00C4535F" w:rsidP="00FE353F">
      <w:pPr>
        <w:spacing w:before="120" w:after="200"/>
        <w:jc w:val="both"/>
        <w:rPr>
          <w:rFonts w:ascii="Palatino Linotype" w:hAnsi="Palatino Linotype"/>
        </w:rPr>
      </w:pPr>
    </w:p>
    <w:p w14:paraId="263F82AF" w14:textId="77777777" w:rsidR="00C4535F" w:rsidRDefault="00C4535F" w:rsidP="00FE353F">
      <w:pPr>
        <w:pStyle w:val="Ttulo"/>
        <w:spacing w:before="120" w:after="200"/>
        <w:rPr>
          <w:rFonts w:ascii="Palatino Linotype" w:hAnsi="Palatino Linotype"/>
          <w:sz w:val="22"/>
          <w:szCs w:val="22"/>
          <w:u w:val="none"/>
          <w:lang w:val="es-CR"/>
        </w:rPr>
        <w:sectPr w:rsidR="00C4535F" w:rsidSect="00C11F9F">
          <w:headerReference w:type="even" r:id="rId20"/>
          <w:type w:val="oddPage"/>
          <w:pgSz w:w="12242" w:h="15842" w:code="1"/>
          <w:pgMar w:top="1474" w:right="2098" w:bottom="1021" w:left="2778" w:header="851" w:footer="2835" w:gutter="0"/>
          <w:cols w:space="708"/>
          <w:titlePg/>
          <w:docGrid w:linePitch="360"/>
        </w:sectPr>
      </w:pPr>
    </w:p>
    <w:p w14:paraId="7C2F5DF8" w14:textId="6DBDD273" w:rsidR="00FE353F" w:rsidRPr="00D66245" w:rsidRDefault="00FE353F" w:rsidP="00FE353F">
      <w:pPr>
        <w:pStyle w:val="Ttulo"/>
        <w:spacing w:before="120" w:after="200"/>
        <w:rPr>
          <w:rFonts w:ascii="Palatino Linotype" w:hAnsi="Palatino Linotype"/>
          <w:sz w:val="22"/>
          <w:szCs w:val="22"/>
          <w:u w:val="none"/>
          <w:lang w:val="es-CR"/>
        </w:rPr>
      </w:pPr>
      <w:r w:rsidRPr="00D66245">
        <w:rPr>
          <w:rFonts w:ascii="Palatino Linotype" w:hAnsi="Palatino Linotype"/>
          <w:sz w:val="22"/>
          <w:szCs w:val="22"/>
          <w:u w:val="none"/>
          <w:lang w:val="es-CR"/>
        </w:rPr>
        <w:lastRenderedPageBreak/>
        <w:t>STORYTELLING PARA ABOGADOS</w:t>
      </w:r>
    </w:p>
    <w:p w14:paraId="4034E882" w14:textId="77777777" w:rsidR="00FE353F" w:rsidRPr="00D66245" w:rsidRDefault="00FE353F" w:rsidP="00FE353F">
      <w:pPr>
        <w:pStyle w:val="Subttulo"/>
        <w:spacing w:before="120" w:after="200"/>
        <w:ind w:left="4248"/>
        <w:contextualSpacing w:val="0"/>
        <w:rPr>
          <w:rFonts w:ascii="Palatino Linotype" w:hAnsi="Palatino Linotype"/>
          <w:b/>
          <w:caps w:val="0"/>
          <w:color w:val="auto"/>
          <w:sz w:val="22"/>
          <w:lang w:val="es-CR"/>
        </w:rPr>
      </w:pPr>
      <w:r w:rsidRPr="00D66245">
        <w:rPr>
          <w:rFonts w:ascii="Palatino Linotype" w:hAnsi="Palatino Linotype"/>
          <w:b/>
          <w:caps w:val="0"/>
          <w:color w:val="auto"/>
          <w:sz w:val="22"/>
          <w:lang w:val="es-CR"/>
        </w:rPr>
        <w:t>Kendall David Ruiz Jiménez</w:t>
      </w:r>
    </w:p>
    <w:p w14:paraId="5121FF29" w14:textId="77777777" w:rsidR="00FE353F" w:rsidRPr="00D66245" w:rsidRDefault="00FE353F" w:rsidP="00FE353F">
      <w:pPr>
        <w:pStyle w:val="Ttulo1"/>
        <w:spacing w:before="120" w:after="200"/>
        <w:rPr>
          <w:rFonts w:ascii="Palatino Linotype" w:hAnsi="Palatino Linotype" w:cs="Times New Roman"/>
          <w:caps w:val="0"/>
          <w:sz w:val="22"/>
          <w:szCs w:val="22"/>
        </w:rPr>
      </w:pPr>
      <w:r w:rsidRPr="00D66245">
        <w:rPr>
          <w:rFonts w:ascii="Palatino Linotype" w:hAnsi="Palatino Linotype" w:cs="Times New Roman"/>
          <w:caps w:val="0"/>
          <w:sz w:val="22"/>
          <w:szCs w:val="22"/>
        </w:rPr>
        <w:t>El arte de contar historias…</w:t>
      </w:r>
    </w:p>
    <w:p w14:paraId="2046A8C7" w14:textId="77777777" w:rsidR="00FE353F" w:rsidRPr="00D66245" w:rsidRDefault="00FE353F" w:rsidP="00FE353F">
      <w:pPr>
        <w:spacing w:before="120" w:after="200"/>
        <w:ind w:firstLine="708"/>
        <w:jc w:val="both"/>
        <w:rPr>
          <w:rFonts w:ascii="Palatino Linotype" w:hAnsi="Palatino Linotype" w:cs="Times New Roman"/>
          <w:lang w:val="es-CR"/>
        </w:rPr>
      </w:pPr>
      <w:r w:rsidRPr="00D66245">
        <w:rPr>
          <w:rFonts w:ascii="Palatino Linotype" w:hAnsi="Palatino Linotype" w:cs="Times New Roman"/>
        </w:rPr>
        <w:t xml:space="preserve">“Había una vez” una de las frases más conocidas por la humanidad traducida en distintos idiomas para poder introducir un relato, que después nos llevaría a un sinfín de emociones, entre felicidad, angustia, emoción, tristeza y que llevaría consigo un final donde el “bien triunfa sobre el mal” y “vivieron felices para siempre”… Y he aquí mi historia antes de prepararme para una audiencia sentado en la oficina del Doctor Sergio Artavia Barrantes, analizábamos un caso que sería una de las primeras audiencias luego de la implementación del nuevo Código Procesal Civil en el año 2018, dentro de los temas que discutíamos era el ¿Cómo abordar el caso en la audiencia?, ¿Cómo convencer al juez?, ¿Cómo sintetizar el caso y explicarlo de manera entendible?, de tal manera que comentamos sobre el libro de </w:t>
      </w:r>
      <w:r w:rsidRPr="00D66245">
        <w:rPr>
          <w:rFonts w:ascii="Palatino Linotype" w:hAnsi="Palatino Linotype" w:cs="Times New Roman"/>
          <w:lang w:val="es-CR"/>
        </w:rPr>
        <w:t>Meyer, Philip. Storytelling for Lawyers de Oxford University Press.  Nevertheless, un libro que recomiendo para el desarrollo y el entendimiento de esta práctica (Storytelling) que puede ayudarnos en los procesos y a que la narrativa de nuestros casos mejores y que inclusive la teoría de los casos sea construida de una manera más “sensorial” y las conclusiones tengan una estructura comprensible, a partir de ese momento en preparación de ese caso me he dedicado a estudiar este modelo de comunicación para captar la atención de los receptores y ha sido muy funcional para el desarrollo de los casos.</w:t>
      </w:r>
    </w:p>
    <w:p w14:paraId="51C5AED0" w14:textId="77777777" w:rsidR="00FE353F" w:rsidRPr="00D66245" w:rsidRDefault="00FE353F" w:rsidP="00FE353F">
      <w:pPr>
        <w:spacing w:before="120" w:after="200"/>
        <w:ind w:firstLine="708"/>
        <w:jc w:val="both"/>
        <w:rPr>
          <w:rFonts w:ascii="Palatino Linotype" w:hAnsi="Palatino Linotype" w:cs="Times New Roman"/>
          <w:bCs/>
          <w:i/>
          <w:lang w:val="es-CR"/>
        </w:rPr>
      </w:pPr>
      <w:r w:rsidRPr="00D66245">
        <w:rPr>
          <w:rFonts w:ascii="Palatino Linotype" w:hAnsi="Palatino Linotype" w:cs="Times New Roman"/>
          <w:lang w:val="es-CR"/>
        </w:rPr>
        <w:t xml:space="preserve">El Storytelling es un arte (que puede ser aprendido o adaptado), su traducción es “contar historias”, y el arte de contar historias tienen su origen desde el mismo nacimiento de la humanidad, historias bien contadas o mal contadas han sido los elementos esenciales para toma de decisiones a nivel político y social durante la historia de la humanidad, y como bien menciona un autor Juan Carlos Jiménez Aznar </w:t>
      </w:r>
      <w:r w:rsidRPr="00D66245">
        <w:rPr>
          <w:rFonts w:ascii="Palatino Linotype" w:hAnsi="Palatino Linotype" w:cs="Times New Roman"/>
          <w:i/>
          <w:lang w:val="es-CR"/>
        </w:rPr>
        <w:t>“</w:t>
      </w:r>
      <w:r w:rsidRPr="00D66245">
        <w:rPr>
          <w:rFonts w:ascii="Palatino Linotype" w:hAnsi="Palatino Linotype" w:cs="Times New Roman"/>
          <w:bCs/>
          <w:i/>
          <w:lang w:val="es-CR"/>
        </w:rPr>
        <w:t xml:space="preserve">En la red tienes a tu alcance multitud de ejemplos de storytellings personales. Para redactar el tuyo podrás elegir entre varias estructuras. Una sencilla y efectiva es la estructura Pixar (esta es una de las claves </w:t>
      </w:r>
      <w:r w:rsidRPr="00D66245">
        <w:rPr>
          <w:rFonts w:ascii="Palatino Linotype" w:hAnsi="Palatino Linotype" w:cs="Times New Roman"/>
          <w:bCs/>
          <w:i/>
          <w:lang w:val="es-CR"/>
        </w:rPr>
        <w:lastRenderedPageBreak/>
        <w:t>del éxito de la compañía de animación), si observas con atención, todas sus películas siguen este guión:</w:t>
      </w:r>
    </w:p>
    <w:p w14:paraId="27D03735" w14:textId="77777777" w:rsidR="00FE353F" w:rsidRPr="00D66245" w:rsidRDefault="00FE353F" w:rsidP="00FE353F">
      <w:pPr>
        <w:spacing w:before="120" w:after="200"/>
        <w:ind w:firstLine="708"/>
        <w:jc w:val="both"/>
        <w:rPr>
          <w:rFonts w:ascii="Palatino Linotype" w:hAnsi="Palatino Linotype" w:cs="Times New Roman"/>
          <w:b/>
          <w:bCs/>
          <w:i/>
          <w:lang w:val="es-CR"/>
        </w:rPr>
      </w:pPr>
      <w:r w:rsidRPr="00D66245">
        <w:rPr>
          <w:rFonts w:ascii="Palatino Linotype" w:hAnsi="Palatino Linotype" w:cs="Times New Roman"/>
          <w:b/>
          <w:bCs/>
          <w:i/>
          <w:iCs/>
          <w:lang w:val="es-CR"/>
        </w:rPr>
        <w:t xml:space="preserve">Érase una vez……………………… Todos los días, …………………………. Un día ………………….. Por este motivo ……………Debido a ello………… Hasta que finalmente ………………………....…” </w:t>
      </w:r>
      <w:sdt>
        <w:sdtPr>
          <w:rPr>
            <w:rFonts w:ascii="Palatino Linotype" w:hAnsi="Palatino Linotype" w:cs="Times New Roman"/>
            <w:bCs/>
            <w:i/>
            <w:lang w:val="es-CR"/>
          </w:rPr>
          <w:id w:val="-2012278871"/>
          <w:citation/>
        </w:sdtPr>
        <w:sdtEndPr/>
        <w:sdtContent>
          <w:r w:rsidRPr="00D66245">
            <w:rPr>
              <w:rFonts w:ascii="Palatino Linotype" w:hAnsi="Palatino Linotype" w:cs="Times New Roman"/>
              <w:bCs/>
              <w:i/>
              <w:lang w:val="es-CR"/>
            </w:rPr>
            <w:fldChar w:fldCharType="begin"/>
          </w:r>
          <w:r w:rsidRPr="00D66245">
            <w:rPr>
              <w:rFonts w:ascii="Palatino Linotype" w:hAnsi="Palatino Linotype" w:cs="Times New Roman"/>
              <w:bCs/>
              <w:i/>
              <w:lang w:val="es-CR"/>
            </w:rPr>
            <w:instrText xml:space="preserve"> CITATION Jua16 \l 5130 </w:instrText>
          </w:r>
          <w:r w:rsidRPr="00D66245">
            <w:rPr>
              <w:rFonts w:ascii="Palatino Linotype" w:hAnsi="Palatino Linotype" w:cs="Times New Roman"/>
              <w:bCs/>
              <w:i/>
              <w:lang w:val="es-CR"/>
            </w:rPr>
            <w:fldChar w:fldCharType="separate"/>
          </w:r>
          <w:r w:rsidRPr="00D66245">
            <w:rPr>
              <w:rFonts w:ascii="Palatino Linotype" w:hAnsi="Palatino Linotype" w:cs="Times New Roman"/>
              <w:bCs/>
              <w:i/>
              <w:noProof/>
              <w:lang w:val="es-CR"/>
            </w:rPr>
            <w:t xml:space="preserve"> </w:t>
          </w:r>
          <w:r w:rsidRPr="00D66245">
            <w:rPr>
              <w:rFonts w:ascii="Palatino Linotype" w:hAnsi="Palatino Linotype" w:cs="Times New Roman"/>
              <w:noProof/>
              <w:lang w:val="es-CR"/>
            </w:rPr>
            <w:t>(Aznar 2016)</w:t>
          </w:r>
          <w:r w:rsidRPr="00D66245">
            <w:rPr>
              <w:rFonts w:ascii="Palatino Linotype" w:hAnsi="Palatino Linotype" w:cs="Times New Roman"/>
              <w:bCs/>
              <w:i/>
              <w:lang w:val="es-CR"/>
            </w:rPr>
            <w:fldChar w:fldCharType="end"/>
          </w:r>
        </w:sdtContent>
      </w:sdt>
      <w:r w:rsidRPr="00D66245">
        <w:rPr>
          <w:rStyle w:val="Refdenotaalpie"/>
          <w:rFonts w:ascii="Palatino Linotype" w:hAnsi="Palatino Linotype" w:cs="Times New Roman"/>
          <w:bCs/>
          <w:i/>
          <w:lang w:val="es-CR"/>
        </w:rPr>
        <w:footnoteReference w:id="16"/>
      </w:r>
    </w:p>
    <w:p w14:paraId="79E2B754" w14:textId="77777777" w:rsidR="00FE353F" w:rsidRPr="00D66245" w:rsidRDefault="00FE353F" w:rsidP="00FE353F">
      <w:pPr>
        <w:spacing w:before="120" w:after="200"/>
        <w:ind w:firstLine="708"/>
        <w:jc w:val="both"/>
        <w:rPr>
          <w:rFonts w:ascii="Palatino Linotype" w:hAnsi="Palatino Linotype" w:cs="Times New Roman"/>
          <w:lang w:val="es-CR"/>
        </w:rPr>
      </w:pPr>
      <w:r w:rsidRPr="00D66245">
        <w:rPr>
          <w:rFonts w:ascii="Palatino Linotype" w:hAnsi="Palatino Linotype" w:cs="Times New Roman"/>
          <w:lang w:val="es-CR"/>
        </w:rPr>
        <w:t>Entonces si una empresa como PIXAR ha tenido tanto éxito contando historias, ¿Porqué no lo podemos hacer nosotros? o aún más específico, ¿Porqué no aplicarlo los abogados en los casos?, y es por ello que este tema ha sido asignado para el IX Congreso Internacional de profesionales en derecho, para procurar impregnar un tema que en los últimos tiempos ha sido una herramienta de mercadeo y de colocación que podría fácilmente utilizarse para el desarrollo de diversos casos que lleve usted en su oficina.</w:t>
      </w:r>
    </w:p>
    <w:p w14:paraId="09A011DF" w14:textId="77777777" w:rsidR="00FE353F" w:rsidRPr="00D66245" w:rsidRDefault="00FE353F" w:rsidP="00FE353F">
      <w:pPr>
        <w:spacing w:before="120" w:after="200"/>
        <w:ind w:firstLine="708"/>
        <w:jc w:val="both"/>
        <w:rPr>
          <w:rFonts w:ascii="Palatino Linotype" w:hAnsi="Palatino Linotype" w:cs="Times New Roman"/>
          <w:lang w:val="es-CR"/>
        </w:rPr>
      </w:pPr>
      <w:r w:rsidRPr="00D66245">
        <w:rPr>
          <w:rFonts w:ascii="Palatino Linotype" w:hAnsi="Palatino Linotype" w:cs="Times New Roman"/>
          <w:lang w:val="es-CR"/>
        </w:rPr>
        <w:t>De tal manera que iré por partes contándole un poco sobre el storytelling como concepto, elementos esenciales, maneras de desarrollarlo y adaptarlo a sus casos para lograr captar la atención del juez o tribunal y que sea un mecanismo que pueda usar en el momento que usted estime oportuno.</w:t>
      </w:r>
    </w:p>
    <w:p w14:paraId="5CDA5155" w14:textId="77777777" w:rsidR="00FE353F" w:rsidRPr="00D66245" w:rsidRDefault="00FE353F" w:rsidP="00FE353F">
      <w:pPr>
        <w:pStyle w:val="Ttulo2"/>
        <w:spacing w:before="120" w:after="200"/>
        <w:jc w:val="both"/>
        <w:rPr>
          <w:rFonts w:ascii="Palatino Linotype" w:hAnsi="Palatino Linotype" w:cs="Times New Roman"/>
          <w:b/>
          <w:color w:val="auto"/>
          <w:sz w:val="22"/>
          <w:szCs w:val="22"/>
        </w:rPr>
      </w:pPr>
      <w:r w:rsidRPr="00D66245">
        <w:rPr>
          <w:rFonts w:ascii="Palatino Linotype" w:hAnsi="Palatino Linotype" w:cs="Times New Roman"/>
          <w:b/>
          <w:color w:val="auto"/>
          <w:sz w:val="22"/>
          <w:szCs w:val="22"/>
        </w:rPr>
        <w:t>STORYTELLING ¿Qué es?</w:t>
      </w:r>
    </w:p>
    <w:p w14:paraId="3E6F01FF" w14:textId="3330BDF7" w:rsidR="00FE353F" w:rsidRPr="00D66245" w:rsidRDefault="00FE353F" w:rsidP="00FE353F">
      <w:pPr>
        <w:spacing w:before="120" w:after="200"/>
        <w:ind w:firstLine="708"/>
        <w:jc w:val="both"/>
        <w:rPr>
          <w:rFonts w:ascii="Palatino Linotype" w:hAnsi="Palatino Linotype" w:cs="Times New Roman"/>
          <w:b/>
          <w:bCs/>
          <w:lang w:val="es-CR"/>
        </w:rPr>
      </w:pPr>
      <w:r w:rsidRPr="00D66245">
        <w:rPr>
          <w:rFonts w:ascii="Palatino Linotype" w:hAnsi="Palatino Linotype" w:cs="Times New Roman"/>
        </w:rPr>
        <w:t xml:space="preserve">Esta es la pregunta inicial que uno hace, y es que como abogados no se nos es familiar este termino dado que ha sido más utilizado por los expertos en mercadeo o publicistas que los abogados, y esto se debe a que se ha descubierto que contar historias “engancha” más al receptor del mensaje que simplemente colocar información y las razones por las que se trata de convencer sobre un punto en particular, pero no es simplemente contar una historia, es SABER CONTARLA, pero enfoquémonos de momento en el concepto y para ello hay un concepto que el autor </w:t>
      </w:r>
      <w:r w:rsidRPr="00D66245">
        <w:rPr>
          <w:rFonts w:ascii="Palatino Linotype" w:hAnsi="Palatino Linotype" w:cs="Times New Roman"/>
          <w:b/>
          <w:bCs/>
          <w:lang w:val="es-CR"/>
        </w:rPr>
        <w:t> </w:t>
      </w:r>
      <w:r w:rsidRPr="00D66245">
        <w:rPr>
          <w:rFonts w:ascii="Palatino Linotype" w:hAnsi="Palatino Linotype" w:cs="Times New Roman"/>
          <w:bCs/>
          <w:lang w:val="es-CR"/>
        </w:rPr>
        <w:t>Aznar</w:t>
      </w:r>
      <w:r w:rsidRPr="00D66245">
        <w:rPr>
          <w:rFonts w:ascii="Palatino Linotype" w:hAnsi="Palatino Linotype" w:cs="Times New Roman"/>
          <w:b/>
          <w:bCs/>
          <w:lang w:val="es-CR"/>
        </w:rPr>
        <w:t xml:space="preserve"> lo ha definido de una manera sencilla y básicamente como </w:t>
      </w:r>
      <w:r w:rsidRPr="00D66245">
        <w:rPr>
          <w:rFonts w:ascii="Palatino Linotype" w:hAnsi="Palatino Linotype" w:cs="Times New Roman"/>
          <w:bCs/>
          <w:i/>
          <w:lang w:val="es-CR"/>
        </w:rPr>
        <w:t xml:space="preserve">“una técnica de comunicación </w:t>
      </w:r>
      <w:r w:rsidRPr="00D66245">
        <w:rPr>
          <w:rFonts w:ascii="Palatino Linotype" w:hAnsi="Palatino Linotype" w:cs="Times New Roman"/>
          <w:bCs/>
          <w:i/>
          <w:lang w:val="es-CR"/>
        </w:rPr>
        <w:lastRenderedPageBreak/>
        <w:t>consistente en narrar una historia, un relato personal con el objetivo que el mensaje que se pretende transmitir quede grabado con la mayor fuerza posible en el receptor.</w:t>
      </w:r>
      <w:r w:rsidRPr="00D66245">
        <w:rPr>
          <w:rStyle w:val="Refdenotaalpie"/>
          <w:rFonts w:ascii="Palatino Linotype" w:hAnsi="Palatino Linotype" w:cs="Times New Roman"/>
          <w:b/>
          <w:bCs/>
          <w:lang w:val="es-CR"/>
        </w:rPr>
        <w:footnoteReference w:id="17"/>
      </w:r>
    </w:p>
    <w:p w14:paraId="43AC5E7D" w14:textId="77777777" w:rsidR="00FE353F" w:rsidRPr="00D66245" w:rsidRDefault="00FE353F" w:rsidP="006D3048">
      <w:pPr>
        <w:spacing w:before="120" w:after="200"/>
        <w:ind w:firstLine="708"/>
        <w:jc w:val="both"/>
        <w:rPr>
          <w:rFonts w:ascii="Palatino Linotype" w:hAnsi="Palatino Linotype" w:cs="Times New Roman"/>
          <w:b/>
          <w:bCs/>
          <w:lang w:val="es-CR"/>
        </w:rPr>
      </w:pPr>
      <w:r w:rsidRPr="00D66245">
        <w:rPr>
          <w:rFonts w:ascii="Palatino Linotype" w:hAnsi="Palatino Linotype" w:cs="Times New Roman"/>
          <w:bCs/>
          <w:lang w:val="es-CR"/>
        </w:rPr>
        <w:t xml:space="preserve">Otro gran expositor y conocedor sobre el tema </w:t>
      </w:r>
      <w:r w:rsidRPr="00D66245">
        <w:rPr>
          <w:rFonts w:ascii="Palatino Linotype" w:hAnsi="Palatino Linotype" w:cs="Times New Roman"/>
          <w:b/>
          <w:bCs/>
          <w:lang w:val="es-CR"/>
        </w:rPr>
        <w:t xml:space="preserve">Philippe Nieuwbourg, </w:t>
      </w:r>
      <w:r w:rsidRPr="00D66245">
        <w:rPr>
          <w:rFonts w:ascii="Palatino Linotype" w:hAnsi="Palatino Linotype" w:cs="Times New Roman"/>
          <w:bCs/>
          <w:lang w:val="es-CR"/>
        </w:rPr>
        <w:t>uno de los primeros en identificar el valor de la visualización de los datos con la narración arrojando como resultado este nuevo concepto: Data Storytelling = Data Visualization + Storytelling</w:t>
      </w:r>
      <w:r w:rsidRPr="00D66245">
        <w:rPr>
          <w:rFonts w:ascii="Palatino Linotype" w:hAnsi="Palatino Linotype" w:cs="Times New Roman"/>
          <w:b/>
          <w:bCs/>
          <w:lang w:val="es-CR"/>
        </w:rPr>
        <w:t xml:space="preserve"> </w:t>
      </w:r>
      <w:r w:rsidRPr="00D66245">
        <w:rPr>
          <w:rFonts w:ascii="Palatino Linotype" w:hAnsi="Palatino Linotype" w:cs="Times New Roman"/>
          <w:bCs/>
          <w:lang w:val="es-CR"/>
        </w:rPr>
        <w:t xml:space="preserve">brinda un concepto realmente valioso  </w:t>
      </w:r>
      <w:r w:rsidRPr="00D66245">
        <w:rPr>
          <w:rFonts w:ascii="Palatino Linotype" w:hAnsi="Palatino Linotype" w:cs="Times New Roman"/>
          <w:bCs/>
          <w:i/>
        </w:rPr>
        <w:t>“El «Storytelling» es el arte y la manera de contar una historia dándoles un toque humano y el «Data Storytelling» es el arte y la manera de contar una historia apoyándose en los datos, cifras, o hechos, ya que si tomamos una gráfica o una simple curva ésta no cuenta ninguna historia. Entonces, el «Data Storytelling» ayuda a crear una historia que permitirá explicar las cifras y los datos”</w:t>
      </w:r>
      <w:r w:rsidRPr="00D66245">
        <w:rPr>
          <w:rStyle w:val="Refdenotaalpie"/>
          <w:rFonts w:ascii="Palatino Linotype" w:hAnsi="Palatino Linotype" w:cs="Times New Roman"/>
          <w:bCs/>
          <w:i/>
        </w:rPr>
        <w:footnoteReference w:id="18"/>
      </w:r>
      <w:r w:rsidRPr="00D66245">
        <w:rPr>
          <w:rFonts w:ascii="Palatino Linotype" w:hAnsi="Palatino Linotype" w:cs="Times New Roman"/>
          <w:bCs/>
        </w:rPr>
        <w:t>. </w:t>
      </w:r>
    </w:p>
    <w:p w14:paraId="46B1CCDB" w14:textId="77777777" w:rsidR="00FE353F" w:rsidRPr="00D66245" w:rsidRDefault="00FE353F" w:rsidP="006D3048">
      <w:pPr>
        <w:spacing w:before="120" w:after="200"/>
        <w:ind w:firstLine="708"/>
        <w:jc w:val="both"/>
        <w:rPr>
          <w:rFonts w:ascii="Palatino Linotype" w:hAnsi="Palatino Linotype" w:cs="Times New Roman"/>
          <w:lang w:val="es-CR"/>
        </w:rPr>
      </w:pPr>
      <w:r w:rsidRPr="00D66245">
        <w:rPr>
          <w:rFonts w:ascii="Palatino Linotype" w:hAnsi="Palatino Linotype" w:cs="Times New Roman"/>
          <w:lang w:val="es-CR"/>
        </w:rPr>
        <w:t>Grandes empresas como Samnsung, Sony, Adidas, Apple y otras corporaciones multimillonarias han generado publicidad utilizando esta técnica, a manera de ejemplo la empresa Nike realizo una campaña basada en la historia de un joven tiene un accidente en un partido de fútbol con el jugador Cristiano Ronaldo y con ello cambian de cuerpos</w:t>
      </w:r>
      <w:r w:rsidRPr="00D66245">
        <w:rPr>
          <w:rStyle w:val="Refdenotaalpie"/>
          <w:rFonts w:ascii="Palatino Linotype" w:hAnsi="Palatino Linotype" w:cs="Times New Roman"/>
          <w:lang w:val="es-CR"/>
        </w:rPr>
        <w:footnoteReference w:id="19"/>
      </w:r>
      <w:r w:rsidRPr="00D66245">
        <w:rPr>
          <w:rFonts w:ascii="Palatino Linotype" w:hAnsi="Palatino Linotype" w:cs="Times New Roman"/>
          <w:lang w:val="es-CR"/>
        </w:rPr>
        <w:t>, normalmente la publicidad debería durar 30 segundos a 60 segundos y en ese lapso contar todo y dejar el mensaje de interés, pero en este caso esta publicidad tiene una duración de 6 MINUTOS, pero solo en la página citada donde se encuentra esta publicidad tiene más de 21 millones de vistas, y eso es atípico en publicidad, ¿Cómo logró eso Nike y su agencia publicitaria? R/con storytelling…</w:t>
      </w:r>
    </w:p>
    <w:p w14:paraId="2E0CD988" w14:textId="77777777" w:rsidR="00FE353F" w:rsidRPr="00D66245" w:rsidRDefault="00FE353F" w:rsidP="006D3048">
      <w:pPr>
        <w:spacing w:before="120" w:after="200"/>
        <w:ind w:firstLine="708"/>
        <w:jc w:val="both"/>
        <w:rPr>
          <w:rFonts w:ascii="Palatino Linotype" w:hAnsi="Palatino Linotype" w:cs="Times New Roman"/>
          <w:lang w:val="es-CR"/>
        </w:rPr>
      </w:pPr>
      <w:r w:rsidRPr="00D66245">
        <w:rPr>
          <w:rFonts w:ascii="Palatino Linotype" w:hAnsi="Palatino Linotype" w:cs="Times New Roman"/>
          <w:lang w:val="es-CR"/>
        </w:rPr>
        <w:t xml:space="preserve">Pero ¿Qué pretendía nike con esto?, influir en la audiencia para que compre sus productos y eso es lo que se pretende con el Storytelling influir en las personas que reciben el mensaje para que realicen alguna conducta </w:t>
      </w:r>
      <w:r w:rsidRPr="00D66245">
        <w:rPr>
          <w:rFonts w:ascii="Palatino Linotype" w:hAnsi="Palatino Linotype" w:cs="Times New Roman"/>
          <w:lang w:val="es-CR"/>
        </w:rPr>
        <w:lastRenderedPageBreak/>
        <w:t xml:space="preserve">que sea a fin con lo que estoy relatando, y para ello hay que conectar emocionalmente a la audiencia con el mensaje que estoy transmitiendo. </w:t>
      </w:r>
    </w:p>
    <w:p w14:paraId="3E02066E" w14:textId="77777777" w:rsidR="00FE353F" w:rsidRPr="00D66245" w:rsidRDefault="00FE353F" w:rsidP="006D3048">
      <w:pPr>
        <w:spacing w:before="120" w:after="200"/>
        <w:ind w:firstLine="708"/>
        <w:jc w:val="both"/>
        <w:rPr>
          <w:rFonts w:ascii="Palatino Linotype" w:hAnsi="Palatino Linotype" w:cs="Times New Roman"/>
          <w:i/>
          <w:lang w:val="es-CR"/>
        </w:rPr>
      </w:pPr>
      <w:r w:rsidRPr="00D66245">
        <w:rPr>
          <w:rFonts w:ascii="Palatino Linotype" w:hAnsi="Palatino Linotype" w:cs="Times New Roman"/>
          <w:lang w:val="es-CR"/>
        </w:rPr>
        <w:t xml:space="preserve">Y es que como indica en la página denominada Litigiodeautor.com </w:t>
      </w:r>
      <w:sdt>
        <w:sdtPr>
          <w:rPr>
            <w:rFonts w:ascii="Palatino Linotype" w:hAnsi="Palatino Linotype" w:cs="Times New Roman"/>
            <w:lang w:val="es-CR"/>
          </w:rPr>
          <w:id w:val="425082446"/>
          <w:citation/>
        </w:sdtPr>
        <w:sdtEndPr/>
        <w:sdtContent>
          <w:r w:rsidRPr="00D66245">
            <w:rPr>
              <w:rFonts w:ascii="Palatino Linotype" w:hAnsi="Palatino Linotype" w:cs="Times New Roman"/>
              <w:lang w:val="es-CR"/>
            </w:rPr>
            <w:fldChar w:fldCharType="begin"/>
          </w:r>
          <w:r w:rsidRPr="00D66245">
            <w:rPr>
              <w:rFonts w:ascii="Palatino Linotype" w:hAnsi="Palatino Linotype" w:cs="Times New Roman"/>
              <w:lang w:val="es-CR"/>
            </w:rPr>
            <w:instrText xml:space="preserve"> CITATION Lit16 \l 5130 </w:instrText>
          </w:r>
          <w:r w:rsidRPr="00D66245">
            <w:rPr>
              <w:rFonts w:ascii="Palatino Linotype" w:hAnsi="Palatino Linotype" w:cs="Times New Roman"/>
              <w:lang w:val="es-CR"/>
            </w:rPr>
            <w:fldChar w:fldCharType="separate"/>
          </w:r>
          <w:r w:rsidRPr="00D66245">
            <w:rPr>
              <w:rFonts w:ascii="Palatino Linotype" w:hAnsi="Palatino Linotype" w:cs="Times New Roman"/>
              <w:noProof/>
              <w:lang w:val="es-CR"/>
            </w:rPr>
            <w:t>(Litigiodeautor 2016)</w:t>
          </w:r>
          <w:r w:rsidRPr="00D66245">
            <w:rPr>
              <w:rFonts w:ascii="Palatino Linotype" w:hAnsi="Palatino Linotype" w:cs="Times New Roman"/>
              <w:lang w:val="es-CR"/>
            </w:rPr>
            <w:fldChar w:fldCharType="end"/>
          </w:r>
        </w:sdtContent>
      </w:sdt>
      <w:r w:rsidRPr="00D66245">
        <w:rPr>
          <w:rStyle w:val="Refdenotaalpie"/>
          <w:rFonts w:ascii="Palatino Linotype" w:hAnsi="Palatino Linotype" w:cs="Times New Roman"/>
          <w:lang w:val="es-CR"/>
        </w:rPr>
        <w:footnoteReference w:id="20"/>
      </w:r>
      <w:r w:rsidRPr="00D66245">
        <w:rPr>
          <w:rFonts w:ascii="Palatino Linotype" w:hAnsi="Palatino Linotype" w:cs="Times New Roman"/>
          <w:lang w:val="es-CR"/>
        </w:rPr>
        <w:t xml:space="preserve"> “</w:t>
      </w:r>
      <w:r w:rsidRPr="00D66245">
        <w:rPr>
          <w:rFonts w:ascii="Palatino Linotype" w:hAnsi="Palatino Linotype" w:cs="Times New Roman"/>
          <w:b/>
          <w:bCs/>
          <w:i/>
          <w:lang w:val="es-CR"/>
        </w:rPr>
        <w:t>A los abogados nos llega todos los días material de primera para construir buenas historias</w:t>
      </w:r>
      <w:r w:rsidRPr="00D66245">
        <w:rPr>
          <w:rFonts w:ascii="Palatino Linotype" w:hAnsi="Palatino Linotype" w:cs="Times New Roman"/>
          <w:i/>
          <w:lang w:val="es-CR"/>
        </w:rPr>
        <w:t>. </w:t>
      </w:r>
      <w:hyperlink r:id="rId21" w:history="1">
        <w:r w:rsidRPr="00D66245">
          <w:rPr>
            <w:rStyle w:val="Hipervnculo"/>
            <w:rFonts w:ascii="Palatino Linotype" w:hAnsi="Palatino Linotype" w:cs="Times New Roman"/>
            <w:i/>
            <w:color w:val="auto"/>
            <w:lang w:val="es-CR"/>
          </w:rPr>
          <w:t>William Herndon</w:t>
        </w:r>
      </w:hyperlink>
      <w:r w:rsidRPr="00D66245">
        <w:rPr>
          <w:rFonts w:ascii="Palatino Linotype" w:hAnsi="Palatino Linotype" w:cs="Times New Roman"/>
          <w:i/>
          <w:lang w:val="es-CR"/>
        </w:rPr>
        <w:t>, abogado y socio de Lincoln, suelta esta perla en su </w:t>
      </w:r>
      <w:hyperlink r:id="rId22" w:history="1">
        <w:r w:rsidRPr="00D66245">
          <w:rPr>
            <w:rStyle w:val="Hipervnculo"/>
            <w:rFonts w:ascii="Palatino Linotype" w:hAnsi="Palatino Linotype" w:cs="Times New Roman"/>
            <w:i/>
            <w:color w:val="auto"/>
            <w:lang w:val="es-CR"/>
          </w:rPr>
          <w:t>biografía del presidente</w:t>
        </w:r>
      </w:hyperlink>
      <w:r w:rsidRPr="00D66245">
        <w:rPr>
          <w:rFonts w:ascii="Palatino Linotype" w:hAnsi="Palatino Linotype" w:cs="Times New Roman"/>
          <w:i/>
          <w:lang w:val="es-CR"/>
        </w:rPr>
        <w:t>: </w:t>
      </w:r>
      <w:r w:rsidRPr="00D66245">
        <w:rPr>
          <w:rFonts w:ascii="Palatino Linotype" w:hAnsi="Palatino Linotype" w:cs="Times New Roman"/>
          <w:i/>
          <w:iCs/>
          <w:lang w:val="es-CR"/>
        </w:rPr>
        <w:t>“si alguien está buscando historias sobre fraude, engaño, crueldad, promesas rotas, hogares desgraciados, no hay mejor lugar para encontrarlas que en un despacho de abogados”</w:t>
      </w:r>
      <w:r w:rsidRPr="00D66245">
        <w:rPr>
          <w:rFonts w:ascii="Palatino Linotype" w:hAnsi="Palatino Linotype" w:cs="Times New Roman"/>
          <w:i/>
          <w:lang w:val="es-CR"/>
        </w:rPr>
        <w:t>. Razón no le falta. Un ojo entrenado puede encontrar una historia convincente incluso cuando el expediente entre manos es aburrido y monótono.</w:t>
      </w:r>
    </w:p>
    <w:p w14:paraId="6EBD837F" w14:textId="77777777" w:rsidR="00FE353F" w:rsidRPr="00D66245" w:rsidRDefault="00FE353F" w:rsidP="006D3048">
      <w:pPr>
        <w:spacing w:before="120" w:after="200"/>
        <w:ind w:firstLine="708"/>
        <w:jc w:val="both"/>
        <w:rPr>
          <w:rFonts w:ascii="Palatino Linotype" w:hAnsi="Palatino Linotype" w:cs="Times New Roman"/>
          <w:lang w:val="es-CR"/>
        </w:rPr>
      </w:pPr>
      <w:r w:rsidRPr="00D66245">
        <w:rPr>
          <w:rFonts w:ascii="Palatino Linotype" w:hAnsi="Palatino Linotype" w:cs="Times New Roman"/>
          <w:i/>
          <w:lang w:val="es-CR"/>
        </w:rPr>
        <w:t>En su reciente obra </w:t>
      </w:r>
      <w:hyperlink r:id="rId23" w:history="1">
        <w:r w:rsidRPr="00D66245">
          <w:rPr>
            <w:rStyle w:val="Hipervnculo"/>
            <w:rFonts w:ascii="Palatino Linotype" w:hAnsi="Palatino Linotype" w:cs="Times New Roman"/>
            <w:i/>
            <w:color w:val="auto"/>
            <w:lang w:val="es-CR"/>
          </w:rPr>
          <w:t>Lawyers, Liars and the Art of Storytelling</w:t>
        </w:r>
      </w:hyperlink>
      <w:r w:rsidRPr="00D66245">
        <w:rPr>
          <w:rFonts w:ascii="Palatino Linotype" w:hAnsi="Palatino Linotype" w:cs="Times New Roman"/>
          <w:i/>
          <w:lang w:val="es-CR"/>
        </w:rPr>
        <w:t>, Jonathan Shapiro critica (con cariño) la incapacidad de muchos abogados para reconocer la importancia del relato e identificar elementos con alto componente persuasivo en la historia de nuestro cliente. Dejar de usar ese potencial narrativo puede ser un grave error estratégico</w:t>
      </w:r>
      <w:r w:rsidRPr="00D66245">
        <w:rPr>
          <w:rFonts w:ascii="Palatino Linotype" w:hAnsi="Palatino Linotype" w:cs="Times New Roman"/>
          <w:lang w:val="es-CR"/>
        </w:rPr>
        <w:t>.”</w:t>
      </w:r>
    </w:p>
    <w:p w14:paraId="776AA1A9" w14:textId="77777777" w:rsidR="00FE353F" w:rsidRPr="00D66245" w:rsidRDefault="00FE353F" w:rsidP="006D3048">
      <w:pPr>
        <w:spacing w:before="120" w:after="200"/>
        <w:ind w:firstLine="708"/>
        <w:jc w:val="both"/>
        <w:rPr>
          <w:rFonts w:ascii="Palatino Linotype" w:hAnsi="Palatino Linotype" w:cs="Times New Roman"/>
          <w:i/>
          <w:iCs/>
        </w:rPr>
      </w:pPr>
      <w:r w:rsidRPr="00D66245">
        <w:rPr>
          <w:rFonts w:ascii="Palatino Linotype" w:hAnsi="Palatino Linotype" w:cs="Times New Roman"/>
          <w:lang w:val="es-CR"/>
        </w:rPr>
        <w:t>De igual manera el Autor Jonathan Shapiro establece que el STORYTELLING ES LA ABOGACÍA MISMA, y es ahí donde radica la importancia de darle el tratamiento adecuado a la figura, y es esta afirmación de Shapiro es basada en lo que hacen los abogados</w:t>
      </w:r>
      <w:r w:rsidRPr="00D66245">
        <w:rPr>
          <w:rFonts w:ascii="Palatino Linotype" w:hAnsi="Palatino Linotype" w:cs="Times New Roman"/>
          <w:i/>
          <w:iCs/>
        </w:rPr>
        <w:t xml:space="preserve"> “–todos- es reunir información y compartirla con otros de la forma más efectiva posible. Lo hacen para convencer a otros para hacer o no hacer algo o para tomar una determinada decisión… El relato (storytelling) –qué es, por qué importa, cómo hacerlo- no es, por tanto, una metáfora de la abogacía. Es la abogacía misma”</w:t>
      </w:r>
      <w:sdt>
        <w:sdtPr>
          <w:rPr>
            <w:rFonts w:ascii="Palatino Linotype" w:hAnsi="Palatino Linotype" w:cs="Times New Roman"/>
            <w:i/>
            <w:iCs/>
          </w:rPr>
          <w:id w:val="1525522444"/>
          <w:citation/>
        </w:sdtPr>
        <w:sdtEndPr/>
        <w:sdtContent>
          <w:r w:rsidRPr="00D66245">
            <w:rPr>
              <w:rFonts w:ascii="Palatino Linotype" w:hAnsi="Palatino Linotype" w:cs="Times New Roman"/>
              <w:i/>
              <w:iCs/>
            </w:rPr>
            <w:fldChar w:fldCharType="begin"/>
          </w:r>
          <w:r w:rsidRPr="00D66245">
            <w:rPr>
              <w:rFonts w:ascii="Palatino Linotype" w:hAnsi="Palatino Linotype" w:cs="Times New Roman"/>
              <w:i/>
              <w:iCs/>
              <w:lang w:val="es-CR"/>
            </w:rPr>
            <w:instrText xml:space="preserve"> CITATION Jon16 \l 5130 </w:instrText>
          </w:r>
          <w:r w:rsidRPr="00D66245">
            <w:rPr>
              <w:rFonts w:ascii="Palatino Linotype" w:hAnsi="Palatino Linotype" w:cs="Times New Roman"/>
              <w:i/>
              <w:iCs/>
            </w:rPr>
            <w:fldChar w:fldCharType="separate"/>
          </w:r>
          <w:r w:rsidRPr="00D66245">
            <w:rPr>
              <w:rFonts w:ascii="Palatino Linotype" w:hAnsi="Palatino Linotype" w:cs="Times New Roman"/>
              <w:i/>
              <w:iCs/>
              <w:noProof/>
              <w:lang w:val="es-CR"/>
            </w:rPr>
            <w:t xml:space="preserve"> </w:t>
          </w:r>
          <w:r w:rsidRPr="00D66245">
            <w:rPr>
              <w:rFonts w:ascii="Palatino Linotype" w:hAnsi="Palatino Linotype" w:cs="Times New Roman"/>
              <w:noProof/>
              <w:lang w:val="es-CR"/>
            </w:rPr>
            <w:t>(Shapiro 2016)</w:t>
          </w:r>
          <w:r w:rsidRPr="00D66245">
            <w:rPr>
              <w:rFonts w:ascii="Palatino Linotype" w:hAnsi="Palatino Linotype" w:cs="Times New Roman"/>
              <w:i/>
              <w:iCs/>
            </w:rPr>
            <w:fldChar w:fldCharType="end"/>
          </w:r>
        </w:sdtContent>
      </w:sdt>
      <w:r w:rsidRPr="00D66245">
        <w:rPr>
          <w:rFonts w:ascii="Palatino Linotype" w:hAnsi="Palatino Linotype" w:cs="Times New Roman"/>
          <w:i/>
          <w:iCs/>
        </w:rPr>
        <w:t xml:space="preserve"> </w:t>
      </w:r>
      <w:r w:rsidRPr="00D66245">
        <w:rPr>
          <w:rStyle w:val="Refdenotaalpie"/>
          <w:rFonts w:ascii="Palatino Linotype" w:hAnsi="Palatino Linotype" w:cs="Times New Roman"/>
          <w:i/>
          <w:iCs/>
        </w:rPr>
        <w:footnoteReference w:id="21"/>
      </w:r>
      <w:r w:rsidRPr="00D66245">
        <w:rPr>
          <w:rFonts w:ascii="Palatino Linotype" w:hAnsi="Palatino Linotype" w:cs="Times New Roman"/>
          <w:i/>
          <w:iCs/>
        </w:rPr>
        <w:t>.</w:t>
      </w:r>
    </w:p>
    <w:p w14:paraId="50C8BA6B" w14:textId="77777777" w:rsidR="00FE353F" w:rsidRPr="00D66245" w:rsidRDefault="00FE353F" w:rsidP="006D3048">
      <w:pPr>
        <w:spacing w:before="120" w:after="200"/>
        <w:ind w:firstLine="708"/>
        <w:jc w:val="both"/>
        <w:rPr>
          <w:rFonts w:ascii="Palatino Linotype" w:hAnsi="Palatino Linotype" w:cs="Times New Roman"/>
          <w:i/>
        </w:rPr>
      </w:pPr>
      <w:r w:rsidRPr="00D66245">
        <w:rPr>
          <w:rFonts w:ascii="Palatino Linotype" w:hAnsi="Palatino Linotype" w:cs="Times New Roman"/>
          <w:lang w:val="es-CR"/>
        </w:rPr>
        <w:t xml:space="preserve">Teniendo claro que el storytelling para los abogados es lograr conectar al individuo receptor del mensaje (tribunal y porque no inclusive clientes) de manera emocional para que tome cierta decisión (hacerlo sentirse identificado) y que el Storytelling es la abogacía en si misma, ahora bien hay </w:t>
      </w:r>
      <w:r w:rsidRPr="00D66245">
        <w:rPr>
          <w:rFonts w:ascii="Palatino Linotype" w:hAnsi="Palatino Linotype" w:cs="Times New Roman"/>
          <w:lang w:val="es-CR"/>
        </w:rPr>
        <w:lastRenderedPageBreak/>
        <w:t xml:space="preserve">que lograr llegar a tener esta habilidad de contar historias, y esta </w:t>
      </w:r>
      <w:r w:rsidRPr="00D66245">
        <w:rPr>
          <w:rFonts w:ascii="Palatino Linotype" w:hAnsi="Palatino Linotype" w:cs="Times New Roman"/>
          <w:i/>
          <w:lang w:val="es-CR"/>
        </w:rPr>
        <w:t xml:space="preserve">“capacidad </w:t>
      </w:r>
      <w:r w:rsidRPr="00D66245">
        <w:rPr>
          <w:rFonts w:ascii="Palatino Linotype" w:hAnsi="Palatino Linotype" w:cs="Times New Roman"/>
          <w:i/>
        </w:rPr>
        <w:t>de contar historias, así como el arte que va asociado a ésta, es de las más antiguas que existen: conectar emocionalmente a través de una historia, dejar que te lleguen y toquen el corazón y la cabeza, el cuerpo y el espíritu: lo racional y lo instintivo”</w:t>
      </w:r>
      <w:r w:rsidRPr="00D66245">
        <w:rPr>
          <w:rStyle w:val="Refdenotaalpie"/>
          <w:rFonts w:ascii="Palatino Linotype" w:hAnsi="Palatino Linotype" w:cs="Times New Roman"/>
          <w:i/>
        </w:rPr>
        <w:footnoteReference w:id="22"/>
      </w:r>
      <w:sdt>
        <w:sdtPr>
          <w:rPr>
            <w:rFonts w:ascii="Palatino Linotype" w:hAnsi="Palatino Linotype" w:cs="Times New Roman"/>
            <w:i/>
          </w:rPr>
          <w:id w:val="173475571"/>
          <w:citation/>
        </w:sdtPr>
        <w:sdtEndPr/>
        <w:sdtContent>
          <w:r w:rsidRPr="00D66245">
            <w:rPr>
              <w:rFonts w:ascii="Palatino Linotype" w:hAnsi="Palatino Linotype" w:cs="Times New Roman"/>
              <w:i/>
            </w:rPr>
            <w:fldChar w:fldCharType="begin"/>
          </w:r>
          <w:r w:rsidRPr="00D66245">
            <w:rPr>
              <w:rFonts w:ascii="Palatino Linotype" w:hAnsi="Palatino Linotype" w:cs="Times New Roman"/>
              <w:i/>
              <w:lang w:val="es-CR"/>
            </w:rPr>
            <w:instrText xml:space="preserve"> CITATION 40d19 \l 5130 </w:instrText>
          </w:r>
          <w:r w:rsidRPr="00D66245">
            <w:rPr>
              <w:rFonts w:ascii="Palatino Linotype" w:hAnsi="Palatino Linotype" w:cs="Times New Roman"/>
              <w:i/>
            </w:rPr>
            <w:fldChar w:fldCharType="separate"/>
          </w:r>
          <w:r w:rsidRPr="00D66245">
            <w:rPr>
              <w:rFonts w:ascii="Palatino Linotype" w:hAnsi="Palatino Linotype" w:cs="Times New Roman"/>
              <w:i/>
              <w:noProof/>
              <w:lang w:val="es-CR"/>
            </w:rPr>
            <w:t xml:space="preserve"> </w:t>
          </w:r>
          <w:r w:rsidRPr="00D66245">
            <w:rPr>
              <w:rFonts w:ascii="Palatino Linotype" w:hAnsi="Palatino Linotype" w:cs="Times New Roman"/>
              <w:noProof/>
              <w:lang w:val="es-CR"/>
            </w:rPr>
            <w:t>(40defiebre s.f.)</w:t>
          </w:r>
          <w:r w:rsidRPr="00D66245">
            <w:rPr>
              <w:rFonts w:ascii="Palatino Linotype" w:hAnsi="Palatino Linotype" w:cs="Times New Roman"/>
              <w:i/>
            </w:rPr>
            <w:fldChar w:fldCharType="end"/>
          </w:r>
        </w:sdtContent>
      </w:sdt>
    </w:p>
    <w:p w14:paraId="3FA4759C" w14:textId="77777777" w:rsidR="00FE353F" w:rsidRPr="00D66245" w:rsidRDefault="00FE353F" w:rsidP="00FE353F">
      <w:pPr>
        <w:pStyle w:val="Ttulo2"/>
        <w:spacing w:before="120" w:after="200"/>
        <w:jc w:val="both"/>
        <w:rPr>
          <w:rFonts w:ascii="Palatino Linotype" w:hAnsi="Palatino Linotype" w:cs="Times New Roman"/>
          <w:b/>
          <w:color w:val="auto"/>
          <w:sz w:val="22"/>
          <w:szCs w:val="22"/>
        </w:rPr>
      </w:pPr>
      <w:r w:rsidRPr="00D66245">
        <w:rPr>
          <w:rFonts w:ascii="Palatino Linotype" w:hAnsi="Palatino Linotype" w:cs="Times New Roman"/>
          <w:b/>
          <w:color w:val="auto"/>
          <w:sz w:val="22"/>
          <w:szCs w:val="22"/>
        </w:rPr>
        <w:t xml:space="preserve">¿Qué debe saber un contador de historias(storyteller)? </w:t>
      </w:r>
    </w:p>
    <w:p w14:paraId="6A5DF5E6" w14:textId="77777777" w:rsidR="008057F8" w:rsidRPr="00D66245" w:rsidRDefault="00FE353F" w:rsidP="006D3048">
      <w:pPr>
        <w:spacing w:before="120" w:after="200"/>
        <w:ind w:firstLine="708"/>
        <w:rPr>
          <w:rFonts w:ascii="Palatino Linotype" w:hAnsi="Palatino Linotype" w:cs="Times New Roman"/>
        </w:rPr>
      </w:pPr>
      <w:r w:rsidRPr="00D66245">
        <w:rPr>
          <w:rFonts w:ascii="Palatino Linotype" w:hAnsi="Palatino Linotype" w:cs="Times New Roman"/>
        </w:rPr>
        <w:t>Esta explicación arranca con una frase que puede cambiar la manera de como se expresa usted como abogado y la manera como trata de convencer a un tribunal sobre su dicho:</w:t>
      </w:r>
    </w:p>
    <w:p w14:paraId="05358477" w14:textId="3B41E794" w:rsidR="00FE353F" w:rsidRPr="00D66245" w:rsidRDefault="00FE353F" w:rsidP="006D3048">
      <w:pPr>
        <w:spacing w:before="120" w:after="200"/>
        <w:ind w:firstLine="708"/>
        <w:rPr>
          <w:rFonts w:ascii="Palatino Linotype" w:hAnsi="Palatino Linotype" w:cs="Times New Roman"/>
        </w:rPr>
      </w:pPr>
      <w:r w:rsidRPr="00D66245">
        <w:rPr>
          <w:rFonts w:ascii="Palatino Linotype" w:hAnsi="Palatino Linotype" w:cs="Times New Roman"/>
          <w:b/>
          <w:bCs/>
          <w:i/>
          <w:iCs/>
        </w:rPr>
        <w:t>“La gente olvidará lo que dijiste, la gente olvidará lo que hiciste, pero la gente nunca olvidará cómo la hiciste sentir” – Maya Angelou.</w:t>
      </w:r>
    </w:p>
    <w:p w14:paraId="71277596" w14:textId="77777777" w:rsidR="00FE353F" w:rsidRPr="00D66245" w:rsidRDefault="00FE353F" w:rsidP="006D3048">
      <w:pPr>
        <w:spacing w:before="120" w:after="200"/>
        <w:ind w:firstLine="708"/>
        <w:jc w:val="both"/>
        <w:rPr>
          <w:rFonts w:ascii="Palatino Linotype" w:hAnsi="Palatino Linotype" w:cs="Times New Roman"/>
        </w:rPr>
      </w:pPr>
      <w:r w:rsidRPr="00D66245">
        <w:rPr>
          <w:rFonts w:ascii="Palatino Linotype" w:hAnsi="Palatino Linotype" w:cs="Times New Roman"/>
        </w:rPr>
        <w:t>Y es que la esencia de un “storyteller” está en hacer sentir a la persona emociones a su favor para lograr convencerlo de su idea, es marcar la diferencia. Algo que no se encuentra casi en literatura y a criterio personal me he dado cuenta analizando diversos abogados a nivel local y mundial, es LO ABURRIDOS QUE SOMOS LOS ABOGADOS al momento de exponer un punto, más aún los que están en áreas que no sea materia penal (en mi caso particular soy totalmente inclinado al área comercial-corporativa por ende civil es donde más litigo).</w:t>
      </w:r>
    </w:p>
    <w:p w14:paraId="11D6E9B7" w14:textId="77777777" w:rsidR="00FE353F" w:rsidRPr="00D66245" w:rsidRDefault="00FE353F" w:rsidP="006D3048">
      <w:pPr>
        <w:spacing w:before="120" w:after="200"/>
        <w:ind w:firstLine="708"/>
        <w:jc w:val="both"/>
        <w:rPr>
          <w:rFonts w:ascii="Palatino Linotype" w:hAnsi="Palatino Linotype" w:cs="Times New Roman"/>
        </w:rPr>
      </w:pPr>
      <w:r w:rsidRPr="00D66245">
        <w:rPr>
          <w:rFonts w:ascii="Palatino Linotype" w:hAnsi="Palatino Linotype" w:cs="Times New Roman"/>
        </w:rPr>
        <w:t xml:space="preserve">Esta diferencia entre el penalista y los abogados de otras áreas (laboralistas, civilistas, administrativistas, tributaristas, etc…) es muy marcada en la manera como los penalistas (no todos) presentan sus casos y conclusiones ante el tribunal, ellos son un poco más “arriesgados” a usar presentaciones, ponerse de pie, crear una historia y procurar convencer al juez, caso contrario a los otros mencionados, rara vez se les ve proyectar una presentación y el argumento se basa en citar normas y del otro lado nos encontramos jueces que no se capta la atención de ellos, por lo tanto, ¿Porqué no innovar? ¿Porqué no hacer uso de la tecnología para poder presentar el caso de una manera distinta?, estamos en la era tecnológica donde de manera sencilla desde los dispositivos móviles puede armar presentaciones (no </w:t>
      </w:r>
      <w:r w:rsidRPr="00D66245">
        <w:rPr>
          <w:rFonts w:ascii="Palatino Linotype" w:hAnsi="Palatino Linotype" w:cs="Times New Roman"/>
        </w:rPr>
        <w:lastRenderedPageBreak/>
        <w:t>recomendado para un abogado que va a una audiencia pues debería ir preparado, pero en caso de emergencias es un elemento válido).</w:t>
      </w:r>
    </w:p>
    <w:p w14:paraId="7CD0CC72" w14:textId="77777777" w:rsidR="00FE353F" w:rsidRPr="00D66245" w:rsidRDefault="00FE353F" w:rsidP="006D3048">
      <w:pPr>
        <w:spacing w:before="120" w:after="200"/>
        <w:ind w:firstLine="360"/>
        <w:jc w:val="both"/>
        <w:rPr>
          <w:rFonts w:ascii="Palatino Linotype" w:hAnsi="Palatino Linotype" w:cs="Times New Roman"/>
        </w:rPr>
      </w:pPr>
      <w:r w:rsidRPr="00D66245">
        <w:rPr>
          <w:rFonts w:ascii="Palatino Linotype" w:hAnsi="Palatino Linotype" w:cs="Times New Roman"/>
        </w:rPr>
        <w:t>De conformidad con lo antes dicho vamos con los elementos que a criterio del suscrito son esenciales para poder contar una historia:</w:t>
      </w:r>
    </w:p>
    <w:p w14:paraId="71402FBE" w14:textId="77777777" w:rsidR="00FE353F" w:rsidRPr="00D66245" w:rsidRDefault="00FE353F" w:rsidP="006D3048">
      <w:pPr>
        <w:pStyle w:val="Ttulo2"/>
        <w:numPr>
          <w:ilvl w:val="0"/>
          <w:numId w:val="25"/>
        </w:numPr>
        <w:spacing w:before="120" w:after="200" w:line="264" w:lineRule="auto"/>
        <w:ind w:left="0" w:firstLine="0"/>
        <w:jc w:val="both"/>
        <w:rPr>
          <w:rFonts w:ascii="Palatino Linotype" w:hAnsi="Palatino Linotype" w:cs="Times New Roman"/>
          <w:b/>
          <w:color w:val="auto"/>
          <w:sz w:val="22"/>
          <w:szCs w:val="22"/>
        </w:rPr>
      </w:pPr>
      <w:r w:rsidRPr="00D66245">
        <w:rPr>
          <w:rFonts w:ascii="Palatino Linotype" w:hAnsi="Palatino Linotype" w:cs="Times New Roman"/>
          <w:b/>
          <w:color w:val="auto"/>
          <w:sz w:val="22"/>
          <w:szCs w:val="22"/>
        </w:rPr>
        <w:t xml:space="preserve">Todo entra por la vista </w:t>
      </w:r>
    </w:p>
    <w:p w14:paraId="46746F74" w14:textId="77777777" w:rsidR="00FE353F" w:rsidRPr="00D66245" w:rsidRDefault="00FE353F" w:rsidP="006D3048">
      <w:pPr>
        <w:spacing w:before="120" w:after="200"/>
        <w:ind w:firstLine="360"/>
        <w:jc w:val="both"/>
        <w:rPr>
          <w:rFonts w:ascii="Palatino Linotype" w:hAnsi="Palatino Linotype" w:cs="Times New Roman"/>
        </w:rPr>
      </w:pPr>
      <w:r w:rsidRPr="00D66245">
        <w:rPr>
          <w:rFonts w:ascii="Palatino Linotype" w:hAnsi="Palatino Linotype" w:cs="Times New Roman"/>
        </w:rPr>
        <w:t xml:space="preserve">Este es un tema que casi no es mencionado por los diferentes textos de mercadotecnia, publicistas, expertos en marketing o abogados que se han referido a Storytelling, dado que se han avocado a la manera de como hacerlo en el ámbito emocional y con la estructura de como hacerlo, pero la realidad es que estos expertos conocen y saben que TODO ENTRA POR LA VISTA, y por ello es que las grandes empresas que han utilizado storytelling para sus campañas han invertido en extraordinarios productoras, directores e inversión para que visualmente su historia sea tomada de la mejor manera por los receptores y la finalidad de convencer a adquirir un producto, servicio o realizar alguna conducta. </w:t>
      </w:r>
    </w:p>
    <w:p w14:paraId="7BE4907A" w14:textId="77777777" w:rsidR="00FE353F" w:rsidRPr="00D66245" w:rsidRDefault="00FE353F" w:rsidP="006D3048">
      <w:pPr>
        <w:spacing w:before="120" w:after="200"/>
        <w:ind w:firstLine="360"/>
        <w:jc w:val="both"/>
        <w:rPr>
          <w:rFonts w:ascii="Palatino Linotype" w:hAnsi="Palatino Linotype"/>
          <w:b/>
          <w:bCs/>
          <w:lang w:val="es-CR"/>
        </w:rPr>
      </w:pPr>
      <w:r w:rsidRPr="00D66245">
        <w:rPr>
          <w:rFonts w:ascii="Palatino Linotype" w:hAnsi="Palatino Linotype" w:cs="Times New Roman"/>
        </w:rPr>
        <w:t xml:space="preserve">Reflexionemos un poco sobre las campañas de una empresa tan grande como Coca-Cola, en su publicidad lo que realiza visualmente es procurar vender es FELICIDAD, y visualmente eso es lo que le brinda a los consumidores una imagen de un estilo de vida, donde lo que pretende convencer es que la Coca-Cola es sinónimo de felicidad, no propiamente vende el producto si no que cuentan historias de un estilo de vida que el resultado es felicidad, y esto lo hace VISUALMENTE, </w:t>
      </w:r>
      <w:r w:rsidRPr="00D66245">
        <w:rPr>
          <w:rFonts w:ascii="Palatino Linotype" w:hAnsi="Palatino Linotype"/>
        </w:rPr>
        <w:t xml:space="preserve">ante esto en la entrevista realizada al experto en storytelling </w:t>
      </w:r>
      <w:r w:rsidRPr="00D66245">
        <w:rPr>
          <w:rFonts w:ascii="Palatino Linotype" w:hAnsi="Palatino Linotype"/>
          <w:b/>
          <w:bCs/>
          <w:lang w:val="es-CR"/>
        </w:rPr>
        <w:t>Philippe Nieuwbourg</w:t>
      </w:r>
      <w:r w:rsidRPr="00D66245">
        <w:rPr>
          <w:rFonts w:ascii="Palatino Linotype" w:hAnsi="Palatino Linotype"/>
        </w:rPr>
        <w:t xml:space="preserve"> se le hacen dos preguntas que para el suscrito resultan realmente valiosas que rescatar para entender la manera de esquematizar y armar su relato:</w:t>
      </w:r>
    </w:p>
    <w:p w14:paraId="0B9D64EA" w14:textId="559A1E08" w:rsidR="00FE353F" w:rsidRPr="00D66245" w:rsidRDefault="00FE353F" w:rsidP="00D66245">
      <w:pPr>
        <w:spacing w:before="120" w:after="200"/>
        <w:ind w:firstLine="360"/>
        <w:jc w:val="both"/>
        <w:rPr>
          <w:rFonts w:ascii="Palatino Linotype" w:hAnsi="Palatino Linotype"/>
          <w:i/>
        </w:rPr>
      </w:pPr>
      <w:r w:rsidRPr="00D66245">
        <w:rPr>
          <w:rFonts w:ascii="Palatino Linotype" w:hAnsi="Palatino Linotype"/>
          <w:b/>
          <w:bCs/>
          <w:i/>
        </w:rPr>
        <w:t>¿Cuáles son los elementos más importantes del Data Strorytelling para realizar excelentes presentaciones?</w:t>
      </w:r>
      <w:r w:rsidRPr="00D66245">
        <w:rPr>
          <w:rFonts w:ascii="Palatino Linotype" w:hAnsi="Palatino Linotype"/>
          <w:i/>
        </w:rPr>
        <w:t> </w:t>
      </w:r>
      <w:r w:rsidRPr="00D66245">
        <w:rPr>
          <w:rFonts w:ascii="Palatino Linotype" w:hAnsi="Palatino Linotype"/>
          <w:i/>
        </w:rPr>
        <w:br/>
        <w:t xml:space="preserve">P.N.: “Podemos clasificarlos en tres componentes: </w:t>
      </w:r>
      <w:r w:rsidRPr="00D66245">
        <w:rPr>
          <w:rFonts w:ascii="Palatino Linotype" w:hAnsi="Palatino Linotype"/>
          <w:b/>
          <w:i/>
        </w:rPr>
        <w:t>el primero es la historia misma</w:t>
      </w:r>
      <w:r w:rsidRPr="00D66245">
        <w:rPr>
          <w:rFonts w:ascii="Palatino Linotype" w:hAnsi="Palatino Linotype"/>
          <w:i/>
        </w:rPr>
        <w:t xml:space="preserve">, aquí es donde se construye un relato a partir de lo que denominamos «pitch», </w:t>
      </w:r>
      <w:r w:rsidRPr="00D66245">
        <w:rPr>
          <w:rFonts w:ascii="Palatino Linotype" w:hAnsi="Palatino Linotype"/>
          <w:b/>
          <w:i/>
        </w:rPr>
        <w:t>el esquema narrativo y el desarrollo, elementos principales de la historia</w:t>
      </w:r>
      <w:r w:rsidRPr="00D66245">
        <w:rPr>
          <w:rFonts w:ascii="Palatino Linotype" w:hAnsi="Palatino Linotype"/>
          <w:i/>
        </w:rPr>
        <w:t xml:space="preserve">. </w:t>
      </w:r>
      <w:r w:rsidRPr="00D66245">
        <w:rPr>
          <w:rFonts w:ascii="Palatino Linotype" w:hAnsi="Palatino Linotype"/>
          <w:b/>
          <w:i/>
        </w:rPr>
        <w:t>El segundo componente</w:t>
      </w:r>
      <w:r w:rsidRPr="00D66245">
        <w:rPr>
          <w:rFonts w:ascii="Palatino Linotype" w:hAnsi="Palatino Linotype"/>
          <w:i/>
        </w:rPr>
        <w:t xml:space="preserve"> es </w:t>
      </w:r>
      <w:r w:rsidRPr="00D66245">
        <w:rPr>
          <w:rFonts w:ascii="Palatino Linotype" w:hAnsi="Palatino Linotype"/>
          <w:b/>
          <w:i/>
        </w:rPr>
        <w:t xml:space="preserve">el soporte visual, que incluyen buenas gráficas, interactivas, dinámicas, con colores bien escogidos, con tamaños </w:t>
      </w:r>
      <w:r w:rsidRPr="00D66245">
        <w:rPr>
          <w:rFonts w:ascii="Palatino Linotype" w:hAnsi="Palatino Linotype"/>
          <w:b/>
          <w:i/>
        </w:rPr>
        <w:lastRenderedPageBreak/>
        <w:t>de letra adecuados, con mensajes claros</w:t>
      </w:r>
      <w:r w:rsidRPr="00D66245">
        <w:rPr>
          <w:rFonts w:ascii="Palatino Linotype" w:hAnsi="Palatino Linotype"/>
          <w:i/>
        </w:rPr>
        <w:t xml:space="preserve"> que le permitirán comprender al espectador qué es lo realmente importante. </w:t>
      </w:r>
      <w:r w:rsidRPr="00D66245">
        <w:rPr>
          <w:rFonts w:ascii="Palatino Linotype" w:hAnsi="Palatino Linotype"/>
          <w:b/>
          <w:i/>
        </w:rPr>
        <w:t>Y el tercer componente es el presentador; un buen escenario, con un excelente soporte visual</w:t>
      </w:r>
      <w:r w:rsidRPr="00D66245">
        <w:rPr>
          <w:rFonts w:ascii="Palatino Linotype" w:hAnsi="Palatino Linotype"/>
          <w:i/>
        </w:rPr>
        <w:t xml:space="preserve"> pero con un pésimo presentador arrojará una mala presentación. Entonces estos tres elementos deben ser buenos, si falla alguno falla toda la presentación”. </w:t>
      </w:r>
      <w:r w:rsidRPr="00D66245">
        <w:rPr>
          <w:rFonts w:ascii="Palatino Linotype" w:hAnsi="Palatino Linotype"/>
          <w:i/>
        </w:rPr>
        <w:br/>
      </w:r>
      <w:r w:rsidRPr="00D66245">
        <w:rPr>
          <w:rFonts w:ascii="Palatino Linotype" w:hAnsi="Palatino Linotype"/>
          <w:b/>
          <w:bCs/>
          <w:i/>
        </w:rPr>
        <w:t>En teoría todo esto se ve realmente sencillo de hacer pero entonces ¿por qué nos encontramos a diario con pésimas presentaciones?</w:t>
      </w:r>
      <w:r w:rsidRPr="00D66245">
        <w:rPr>
          <w:rFonts w:ascii="Palatino Linotype" w:hAnsi="Palatino Linotype"/>
          <w:i/>
        </w:rPr>
        <w:t> </w:t>
      </w:r>
    </w:p>
    <w:p w14:paraId="3035224D" w14:textId="77777777" w:rsidR="00FE353F" w:rsidRPr="00D66245" w:rsidRDefault="00FE353F" w:rsidP="00FE353F">
      <w:pPr>
        <w:spacing w:before="120" w:after="200"/>
        <w:jc w:val="both"/>
        <w:rPr>
          <w:rFonts w:ascii="Palatino Linotype" w:hAnsi="Palatino Linotype"/>
          <w:i/>
        </w:rPr>
      </w:pPr>
      <w:r w:rsidRPr="00D66245">
        <w:rPr>
          <w:rFonts w:ascii="Palatino Linotype" w:hAnsi="Palatino Linotype"/>
          <w:i/>
        </w:rPr>
        <w:t xml:space="preserve">P.N.: “Es justamente porque la mayoría de las personas en las organizaciones, </w:t>
      </w:r>
      <w:r w:rsidRPr="00D66245">
        <w:rPr>
          <w:rFonts w:ascii="Palatino Linotype" w:hAnsi="Palatino Linotype"/>
          <w:b/>
          <w:i/>
        </w:rPr>
        <w:t>dicen no tener el tiempo para ello, dejan la presentación para hacerla a último momento</w:t>
      </w:r>
      <w:r w:rsidRPr="00D66245">
        <w:rPr>
          <w:rFonts w:ascii="Palatino Linotype" w:hAnsi="Palatino Linotype"/>
          <w:i/>
        </w:rPr>
        <w:t xml:space="preserve"> y uno o varios de los tres elementos anteriormente citados, son olvidados. A menudo vemos que si hay una presentación a realizar lo que las personas comúnmente hacen es partir de una ya existente en donde son retomadas algunas diapositivas y realizan ciertos ajustes. En esta situación vemos que posiblemente hayan buenas diapositivas, que la persona sea un buen presentador pero en realidad no se ha construido una historia a contar, así que se obtendrá una mala presentación. Y si en la presentación participan diferentes presentadores, el conjunto de todas sus presentaciones debe ser una sola historia coherente y no varias historias por separado, para esto es necesario que los presentadores se entrenen previamente juntos dejando un espacio pequeño a la improvisación. En el caso de una presentación corporativa con múltiples personas, sin duda alguna es un poco más complejo que el Data Storytelling con un solo presentador”. </w:t>
      </w:r>
      <w:r w:rsidRPr="00D66245">
        <w:rPr>
          <w:rStyle w:val="Refdenotaalpie"/>
          <w:rFonts w:ascii="Palatino Linotype" w:hAnsi="Palatino Linotype"/>
          <w:i/>
          <w:vertAlign w:val="baseline"/>
        </w:rPr>
        <w:footnoteReference w:id="23"/>
      </w:r>
      <w:r w:rsidRPr="00D66245">
        <w:rPr>
          <w:rFonts w:ascii="Palatino Linotype" w:hAnsi="Palatino Linotype"/>
          <w:i/>
        </w:rPr>
        <w:t xml:space="preserve"> EL RESALTADO NO CORRESPONDE AL ORIGINAL</w:t>
      </w:r>
    </w:p>
    <w:p w14:paraId="0171ADC8" w14:textId="77777777" w:rsidR="00FE353F" w:rsidRPr="00D66245" w:rsidRDefault="00FE353F" w:rsidP="006D3048">
      <w:pPr>
        <w:spacing w:before="120" w:after="200"/>
        <w:ind w:firstLine="708"/>
        <w:jc w:val="both"/>
        <w:rPr>
          <w:rFonts w:ascii="Palatino Linotype" w:hAnsi="Palatino Linotype" w:cs="Times New Roman"/>
        </w:rPr>
      </w:pPr>
      <w:r w:rsidRPr="00D66245">
        <w:rPr>
          <w:rFonts w:ascii="Palatino Linotype" w:hAnsi="Palatino Linotype" w:cs="Times New Roman"/>
        </w:rPr>
        <w:t xml:space="preserve">PRESENTACIONES O PROYECCIONES: Es acá donde el abogado debe cambiar un poco su estilo serio e invertir tiempo en preparar sus casos y para los alegatos de apertura, para recepción de alguna prueba, para las conclusiones, inclusive para la preparación de la demanda o contestación hacer uso de imágenes o aspectos que capten la atención, en el caso propiamente d ellos alegatos de apertura o bien las conclusiones podría fácilmente preparar el abogado una presentación en páginas como prezi, emaze, mentimeter, canva, powtoon,googleslides, etc… o bien Powerpoint, </w:t>
      </w:r>
      <w:r w:rsidRPr="00D66245">
        <w:rPr>
          <w:rFonts w:ascii="Palatino Linotype" w:hAnsi="Palatino Linotype" w:cs="Times New Roman"/>
        </w:rPr>
        <w:lastRenderedPageBreak/>
        <w:t>y proyectar una imagen a los jueces donde pueda iniciar a contar la historia y que visualmente el juez quede con la imagen de lo que se proyecto, claro se debe elegir con cuidado imágenes y lo que se proyecta, pero de eso se trata la teoría del caso, construir los elementos necesarios para procurar convencimiento en el juez sobre el tema debatido.</w:t>
      </w:r>
    </w:p>
    <w:p w14:paraId="012481EA" w14:textId="77777777" w:rsidR="00FE353F" w:rsidRPr="00D66245" w:rsidRDefault="00FE353F" w:rsidP="006D3048">
      <w:pPr>
        <w:spacing w:before="120" w:after="200"/>
        <w:ind w:firstLine="708"/>
        <w:jc w:val="both"/>
        <w:rPr>
          <w:rFonts w:ascii="Palatino Linotype" w:hAnsi="Palatino Linotype" w:cs="Times New Roman"/>
        </w:rPr>
      </w:pPr>
      <w:r w:rsidRPr="00D66245">
        <w:rPr>
          <w:rFonts w:ascii="Palatino Linotype" w:hAnsi="Palatino Linotype" w:cs="Times New Roman"/>
        </w:rPr>
        <w:t>Pero no es solo proyectar la imagen en la presentación, los abogados deben invertir un poco en la creatividad y no colocar mucho texto, pues esto puede ser tramposo y puede que los obligue a leer (atención que sí hay algo importante que debe ser leído si debe colocarse literal), no se debe cargar la presentación pero si pueden utilizarse elementos auxiliares, como videos o aspectos probatorios que sirvan para el proceso, no aspectos que hagan perder el foco de lo que se esta debatiendo. Adicional a lo anterior los colores deben ser sobrios, salvo que quiera destacarse algo en particular, y debe medir el tiempo con el que cuenta para lo respectivo dado que si prepara una presentación y no practicó el tiempo puede ser también un gran problema.</w:t>
      </w:r>
    </w:p>
    <w:p w14:paraId="7098A095" w14:textId="77777777" w:rsidR="00FE353F" w:rsidRPr="00D66245" w:rsidRDefault="00FE353F" w:rsidP="006D3048">
      <w:pPr>
        <w:spacing w:before="120" w:after="200"/>
        <w:ind w:firstLine="708"/>
        <w:jc w:val="both"/>
        <w:rPr>
          <w:rFonts w:ascii="Palatino Linotype" w:hAnsi="Palatino Linotype" w:cs="Times New Roman"/>
          <w:lang w:val="es-CR"/>
        </w:rPr>
      </w:pPr>
      <w:r w:rsidRPr="00D66245">
        <w:rPr>
          <w:rFonts w:ascii="Palatino Linotype" w:hAnsi="Palatino Linotype" w:cs="Times New Roman"/>
          <w:lang w:val="es-CR"/>
        </w:rPr>
        <w:t>Hay otros aspectos importantes también como la manera de pararse ante el juez o tribunal dependiendo del espacio, el manejo del espacio dado que en los despachos judiciales no siempre se tiene o se cuenta con el espacio suficiente para ponerse de pie o moverse o bien inclusive proyectar (para ello debe haber averiguado esto el abogado de previo a la audiencia), e inclusive si lleva su presentación contar con las herramientas para proyectar o presentar, eso debe valorarlo de previo y revisarlo, sin dejar de lado si requiere internet por alguna razón para el desarrollo de la presentación.</w:t>
      </w:r>
    </w:p>
    <w:p w14:paraId="2A5570C5" w14:textId="77777777" w:rsidR="00FE353F" w:rsidRPr="00D66245" w:rsidRDefault="00FE353F" w:rsidP="006D3048">
      <w:pPr>
        <w:spacing w:before="120" w:after="200"/>
        <w:ind w:firstLine="360"/>
        <w:jc w:val="both"/>
        <w:rPr>
          <w:rFonts w:ascii="Palatino Linotype" w:hAnsi="Palatino Linotype" w:cs="Times New Roman"/>
        </w:rPr>
      </w:pPr>
      <w:r w:rsidRPr="00D66245">
        <w:rPr>
          <w:rFonts w:ascii="Palatino Linotype" w:hAnsi="Palatino Linotype" w:cs="Times New Roman"/>
        </w:rPr>
        <w:t>PRESENTACIÓN PERSONAL: La presentación personal del abogado es otro aspecto a tomar en cuenta, no es que haya un código de vestimenta determinado para convencer sobre un punto en el storytelling, pero hay estudios sobre los colores y su dinámica de como los identifica las personas:</w:t>
      </w:r>
    </w:p>
    <w:p w14:paraId="2AD411CE" w14:textId="77777777" w:rsidR="00FE353F" w:rsidRPr="00D66245" w:rsidRDefault="00FE353F" w:rsidP="006D3048">
      <w:pPr>
        <w:pStyle w:val="Prrafodelista"/>
        <w:numPr>
          <w:ilvl w:val="0"/>
          <w:numId w:val="26"/>
        </w:numPr>
        <w:spacing w:after="0" w:line="264" w:lineRule="auto"/>
        <w:ind w:left="714" w:hanging="357"/>
        <w:contextualSpacing w:val="0"/>
        <w:jc w:val="both"/>
        <w:rPr>
          <w:rFonts w:ascii="Palatino Linotype" w:hAnsi="Palatino Linotype" w:cs="Times New Roman"/>
        </w:rPr>
      </w:pPr>
      <w:r w:rsidRPr="00D66245">
        <w:rPr>
          <w:rFonts w:ascii="Palatino Linotype" w:hAnsi="Palatino Linotype" w:cs="Times New Roman"/>
        </w:rPr>
        <w:t>El negro: elegante y sofisticado</w:t>
      </w:r>
    </w:p>
    <w:p w14:paraId="24BBD651" w14:textId="77777777" w:rsidR="00FE353F" w:rsidRPr="00D66245" w:rsidRDefault="00FE353F" w:rsidP="006D3048">
      <w:pPr>
        <w:pStyle w:val="Prrafodelista"/>
        <w:numPr>
          <w:ilvl w:val="0"/>
          <w:numId w:val="26"/>
        </w:numPr>
        <w:spacing w:after="0" w:line="264" w:lineRule="auto"/>
        <w:ind w:left="714" w:hanging="357"/>
        <w:contextualSpacing w:val="0"/>
        <w:jc w:val="both"/>
        <w:rPr>
          <w:rFonts w:ascii="Palatino Linotype" w:hAnsi="Palatino Linotype" w:cs="Times New Roman"/>
        </w:rPr>
      </w:pPr>
      <w:r w:rsidRPr="00D66245">
        <w:rPr>
          <w:rFonts w:ascii="Palatino Linotype" w:hAnsi="Palatino Linotype" w:cs="Times New Roman"/>
        </w:rPr>
        <w:t>El blanco como símbolo de limpieza</w:t>
      </w:r>
    </w:p>
    <w:p w14:paraId="5519AA08" w14:textId="77777777" w:rsidR="00FE353F" w:rsidRPr="00D66245" w:rsidRDefault="00FE353F" w:rsidP="006D3048">
      <w:pPr>
        <w:pStyle w:val="Prrafodelista"/>
        <w:numPr>
          <w:ilvl w:val="0"/>
          <w:numId w:val="26"/>
        </w:numPr>
        <w:spacing w:after="0" w:line="264" w:lineRule="auto"/>
        <w:ind w:left="714" w:hanging="357"/>
        <w:contextualSpacing w:val="0"/>
        <w:jc w:val="both"/>
        <w:rPr>
          <w:rFonts w:ascii="Palatino Linotype" w:hAnsi="Palatino Linotype" w:cs="Times New Roman"/>
        </w:rPr>
      </w:pPr>
      <w:r w:rsidRPr="00D66245">
        <w:rPr>
          <w:rFonts w:ascii="Palatino Linotype" w:hAnsi="Palatino Linotype" w:cs="Times New Roman"/>
        </w:rPr>
        <w:t>El gris, un color neutro y seguro</w:t>
      </w:r>
    </w:p>
    <w:p w14:paraId="549CCF1E" w14:textId="77777777" w:rsidR="00FE353F" w:rsidRPr="00D66245" w:rsidRDefault="00FE353F" w:rsidP="006D3048">
      <w:pPr>
        <w:pStyle w:val="Prrafodelista"/>
        <w:numPr>
          <w:ilvl w:val="0"/>
          <w:numId w:val="26"/>
        </w:numPr>
        <w:spacing w:after="0" w:line="264" w:lineRule="auto"/>
        <w:ind w:left="714" w:hanging="357"/>
        <w:contextualSpacing w:val="0"/>
        <w:jc w:val="both"/>
        <w:rPr>
          <w:rFonts w:ascii="Palatino Linotype" w:hAnsi="Palatino Linotype" w:cs="Times New Roman"/>
        </w:rPr>
      </w:pPr>
      <w:r w:rsidRPr="00D66245">
        <w:rPr>
          <w:rFonts w:ascii="Palatino Linotype" w:hAnsi="Palatino Linotype" w:cs="Times New Roman"/>
        </w:rPr>
        <w:t>El rojo: llamativo y cálido</w:t>
      </w:r>
    </w:p>
    <w:p w14:paraId="1EC2A66A" w14:textId="77777777" w:rsidR="00FE353F" w:rsidRPr="00D66245" w:rsidRDefault="00FE353F" w:rsidP="006D3048">
      <w:pPr>
        <w:pStyle w:val="Prrafodelista"/>
        <w:numPr>
          <w:ilvl w:val="0"/>
          <w:numId w:val="26"/>
        </w:numPr>
        <w:spacing w:after="0" w:line="264" w:lineRule="auto"/>
        <w:ind w:left="714" w:hanging="357"/>
        <w:contextualSpacing w:val="0"/>
        <w:jc w:val="both"/>
        <w:rPr>
          <w:rFonts w:ascii="Palatino Linotype" w:hAnsi="Palatino Linotype" w:cs="Times New Roman"/>
        </w:rPr>
      </w:pPr>
      <w:r w:rsidRPr="00D66245">
        <w:rPr>
          <w:rFonts w:ascii="Palatino Linotype" w:hAnsi="Palatino Linotype" w:cs="Times New Roman"/>
        </w:rPr>
        <w:t>El azul transmite confianza</w:t>
      </w:r>
    </w:p>
    <w:p w14:paraId="2C76F54B" w14:textId="77777777" w:rsidR="00FE353F" w:rsidRPr="00D66245" w:rsidRDefault="00FE353F" w:rsidP="006D3048">
      <w:pPr>
        <w:spacing w:before="120" w:after="200"/>
        <w:ind w:firstLine="357"/>
        <w:jc w:val="both"/>
        <w:rPr>
          <w:rFonts w:ascii="Palatino Linotype" w:hAnsi="Palatino Linotype" w:cs="Times New Roman"/>
        </w:rPr>
      </w:pPr>
      <w:r w:rsidRPr="00D66245">
        <w:rPr>
          <w:rFonts w:ascii="Palatino Linotype" w:hAnsi="Palatino Linotype" w:cs="Times New Roman"/>
        </w:rPr>
        <w:lastRenderedPageBreak/>
        <w:t>Sobre este punto podría desarrollarse posteriormente aspectos más a fondo en otro texto que el suscrito pretende desarrollar acerca del storytelling para abogados, pero de momento les dejo estos elementos sobre los colores y su identificación, este conocimiento sobre los colores y su aplicación es todo un tema que puede ayudarle también a lograr convencer sobre un punto, pero queda pendiente esta tarea de mi para usted.</w:t>
      </w:r>
    </w:p>
    <w:p w14:paraId="6AAD0E58" w14:textId="77777777" w:rsidR="00FE353F" w:rsidRPr="00D66245" w:rsidRDefault="00FE353F" w:rsidP="006D3048">
      <w:pPr>
        <w:spacing w:before="120" w:after="200"/>
        <w:ind w:firstLine="357"/>
        <w:jc w:val="both"/>
        <w:rPr>
          <w:rFonts w:ascii="Palatino Linotype" w:hAnsi="Palatino Linotype" w:cs="Times New Roman"/>
          <w:i/>
        </w:rPr>
      </w:pPr>
      <w:r w:rsidRPr="00D66245">
        <w:rPr>
          <w:rFonts w:ascii="Palatino Linotype" w:hAnsi="Palatino Linotype" w:cs="Times New Roman"/>
        </w:rPr>
        <w:t xml:space="preserve">EL MANEJO DE LAS MANOS; GESTOS FACIALES Y MIRADA: Por último y no menos importante, visualmente usted debe lucir seguro y el manejo de sus manos </w:t>
      </w:r>
      <w:r w:rsidRPr="00D66245">
        <w:rPr>
          <w:rFonts w:ascii="Palatino Linotype" w:hAnsi="Palatino Linotype" w:cs="Times New Roman"/>
          <w:i/>
        </w:rPr>
        <w:t>“sirve para subrayar una idea que se dice. De la misma manera que en un escrito se subraya algo importante para que se fije en la memoria, el ademán subraya una idea con la misma finalidad: fijarla mejor en la memoria de los oyentes</w:t>
      </w:r>
    </w:p>
    <w:p w14:paraId="0C0C267B" w14:textId="77777777" w:rsidR="00FE353F" w:rsidRPr="00D66245" w:rsidRDefault="00FE353F" w:rsidP="006D3048">
      <w:pPr>
        <w:spacing w:before="120" w:after="200"/>
        <w:ind w:firstLine="357"/>
        <w:jc w:val="both"/>
        <w:rPr>
          <w:rFonts w:ascii="Palatino Linotype" w:hAnsi="Palatino Linotype" w:cs="Times New Roman"/>
          <w:lang w:val="es-CR"/>
        </w:rPr>
      </w:pPr>
      <w:r w:rsidRPr="00D66245">
        <w:rPr>
          <w:rFonts w:ascii="Palatino Linotype" w:hAnsi="Palatino Linotype" w:cs="Times New Roman"/>
          <w:i/>
          <w:lang w:val="es-CR"/>
        </w:rPr>
        <w:t>Se debe evitar llevar cualquier objeto (plumas, llaves, papeles, etc.) en las manos que no tengan una utilidad concreta en la exposición pues, aparte de que los objetos nos dificultan el manejo de los ademanes, todo lo que llevemos en las manos le llamará la atención al público y, en menor o mayor grado (según el objeto que se trate), lo distraerá.”</w:t>
      </w:r>
      <w:r w:rsidRPr="00D66245">
        <w:rPr>
          <w:rFonts w:ascii="Palatino Linotype" w:hAnsi="Palatino Linotype" w:cs="Times New Roman"/>
          <w:lang w:val="es-CR"/>
        </w:rPr>
        <w:t xml:space="preserve"> </w:t>
      </w:r>
      <w:r w:rsidRPr="00D66245">
        <w:rPr>
          <w:rStyle w:val="Refdenotaalpie"/>
          <w:rFonts w:ascii="Palatino Linotype" w:hAnsi="Palatino Linotype" w:cs="Times New Roman"/>
          <w:vertAlign w:val="baseline"/>
          <w:lang w:val="es-CR"/>
        </w:rPr>
        <w:footnoteReference w:id="24"/>
      </w:r>
      <w:r w:rsidRPr="00D66245">
        <w:rPr>
          <w:rFonts w:ascii="Palatino Linotype" w:hAnsi="Palatino Linotype" w:cs="Times New Roman"/>
          <w:lang w:val="es-CR"/>
        </w:rPr>
        <w:t xml:space="preserve"> Es acá donde se refuerza que las manos son elementos vitales al momento que visualmente los jueces puedan tener convencimiento sobre lo que está manifestando y resaltar un punto de importancia (de igual manera con la modulación de la voz como apoyo).</w:t>
      </w:r>
    </w:p>
    <w:p w14:paraId="492CEE5C" w14:textId="77777777" w:rsidR="00FE353F" w:rsidRPr="00D66245" w:rsidRDefault="00FE353F" w:rsidP="006D3048">
      <w:pPr>
        <w:spacing w:before="120" w:after="200"/>
        <w:ind w:firstLine="357"/>
        <w:jc w:val="both"/>
        <w:rPr>
          <w:rFonts w:ascii="Palatino Linotype" w:hAnsi="Palatino Linotype" w:cs="Times New Roman"/>
          <w:lang w:val="es-CR"/>
        </w:rPr>
      </w:pPr>
      <w:r w:rsidRPr="00D66245">
        <w:rPr>
          <w:rFonts w:ascii="Palatino Linotype" w:hAnsi="Palatino Linotype" w:cs="Times New Roman"/>
          <w:lang w:val="es-CR"/>
        </w:rPr>
        <w:t xml:space="preserve">Los gestos deben ser acorde con el mensaje que se pretende dar, un error muy frecuente en el manejo de los gestos es retirarse cabello del rostro con la mano o con un movimiento de la cabeza, tocarse la corbata, acomodarse los anteojos, ajustarse el saco, la camisa o blusa, metiendo o sacando la mano de los bolsillos, son solo ejemplos de elementos de gestos que pueden traerse abajo una elaborada presentación, </w:t>
      </w:r>
    </w:p>
    <w:p w14:paraId="5BC129AB" w14:textId="77777777" w:rsidR="00FE353F" w:rsidRPr="00D66245" w:rsidRDefault="00FE353F" w:rsidP="006D3048">
      <w:pPr>
        <w:spacing w:before="120" w:after="200"/>
        <w:ind w:firstLine="357"/>
        <w:jc w:val="both"/>
        <w:rPr>
          <w:rFonts w:ascii="Palatino Linotype" w:hAnsi="Palatino Linotype"/>
          <w:lang w:val="es-CR"/>
        </w:rPr>
      </w:pPr>
      <w:r w:rsidRPr="00D66245">
        <w:rPr>
          <w:rFonts w:ascii="Palatino Linotype" w:hAnsi="Palatino Linotype" w:cs="Times New Roman"/>
          <w:lang w:val="es-CR"/>
        </w:rPr>
        <w:t xml:space="preserve">El manejo de la mirada con respecto al </w:t>
      </w:r>
      <w:r w:rsidRPr="00D66245">
        <w:rPr>
          <w:rFonts w:ascii="Palatino Linotype" w:hAnsi="Palatino Linotype"/>
          <w:lang w:val="es-CR"/>
        </w:rPr>
        <w:t xml:space="preserve">contador de historias cuando está hablando debe procurar buscar siempre los rostros y los ojos de las personas a quien se dirige, así como observar las posturas de los jueces o el público al </w:t>
      </w:r>
      <w:r w:rsidRPr="00D66245">
        <w:rPr>
          <w:rFonts w:ascii="Palatino Linotype" w:hAnsi="Palatino Linotype"/>
          <w:lang w:val="es-CR"/>
        </w:rPr>
        <w:lastRenderedPageBreak/>
        <w:t xml:space="preserve">que se dirige, dado que ver los gestos le puede ayudar a ir dirigiendo su discurso, de igual manera no puede perder atención de expresiones o murmullos de la contraparte o del público para ir adecuando su historia bajo una línea pero ajustando los elementos que llamen la atención </w:t>
      </w:r>
      <w:r w:rsidRPr="00D66245">
        <w:rPr>
          <w:rFonts w:ascii="Palatino Linotype" w:hAnsi="Palatino Linotype" w:cs="Times New Roman"/>
          <w:i/>
          <w:lang w:val="es-CR"/>
        </w:rPr>
        <w:t>“Si no es posible observar a todos y cada uno de los miembros del público, por estar compuesto de muchas personas, deberá observar a los más que pueda. Desde luego, no debe hacer un recorrido visual sistemático: uno a uno de los miembros del público, conforme estén sentados, de izquierda a derecha, de atrás para adelante. No. También en esto el orador debe ser natural y espontáneo”</w:t>
      </w:r>
      <w:r w:rsidRPr="00D66245">
        <w:rPr>
          <w:rStyle w:val="Refdenotaalpie"/>
          <w:rFonts w:ascii="Palatino Linotype" w:hAnsi="Palatino Linotype" w:cs="Times New Roman"/>
          <w:i/>
          <w:vertAlign w:val="baseline"/>
          <w:lang w:val="es-CR"/>
        </w:rPr>
        <w:footnoteReference w:id="25"/>
      </w:r>
    </w:p>
    <w:p w14:paraId="1C6874B1" w14:textId="77777777" w:rsidR="00FE353F" w:rsidRPr="00D66245" w:rsidRDefault="00FE353F" w:rsidP="006D3048">
      <w:pPr>
        <w:pStyle w:val="Ttulo2"/>
        <w:numPr>
          <w:ilvl w:val="0"/>
          <w:numId w:val="25"/>
        </w:numPr>
        <w:spacing w:before="120" w:after="200" w:line="264" w:lineRule="auto"/>
        <w:ind w:left="0" w:firstLine="0"/>
        <w:jc w:val="both"/>
        <w:rPr>
          <w:rFonts w:ascii="Palatino Linotype" w:hAnsi="Palatino Linotype" w:cs="Times New Roman"/>
          <w:b/>
          <w:color w:val="auto"/>
          <w:sz w:val="22"/>
          <w:szCs w:val="22"/>
        </w:rPr>
      </w:pPr>
      <w:r w:rsidRPr="00D66245">
        <w:rPr>
          <w:rFonts w:ascii="Palatino Linotype" w:hAnsi="Palatino Linotype" w:cs="Times New Roman"/>
          <w:b/>
          <w:color w:val="auto"/>
          <w:sz w:val="22"/>
          <w:szCs w:val="22"/>
        </w:rPr>
        <w:t>LA DINÁMICA DEL STORYTELLER (CONTADOR DE HISTORIAS)</w:t>
      </w:r>
    </w:p>
    <w:p w14:paraId="6E516F88" w14:textId="77777777" w:rsidR="00FE353F" w:rsidRPr="00D66245" w:rsidRDefault="00FE353F" w:rsidP="006D3048">
      <w:pPr>
        <w:spacing w:before="120" w:after="200"/>
        <w:ind w:firstLine="360"/>
        <w:jc w:val="both"/>
        <w:rPr>
          <w:rFonts w:ascii="Palatino Linotype" w:hAnsi="Palatino Linotype"/>
        </w:rPr>
      </w:pPr>
      <w:r w:rsidRPr="00D66245">
        <w:rPr>
          <w:rFonts w:ascii="Palatino Linotype" w:hAnsi="Palatino Linotype"/>
        </w:rPr>
        <w:t>Teniendo claros algunos “tips” en la parte visual para el contador de historias, ahora el desarrollo del tema va versada en el COMO contar la historia, y para ello es importante que visualmente usted tenga una guía de como construyen las historias los expertos y es por ello que se adjunta una imagen de una de las películas (trilogías) más exitosas de la historia del cine, EL SEÑOR DE LOS ANILLOS, capto miles de millones de dólares, además de su última esté actualmente empatada en el primer lugar con 11 estatuillas de los premios Oscar , y ¿Cómo lograron esto?, basados en una historia y captando total atención de la audiencia:</w:t>
      </w:r>
    </w:p>
    <w:p w14:paraId="4530AE51" w14:textId="77777777" w:rsidR="00FE353F" w:rsidRPr="00D66245" w:rsidRDefault="00FE353F" w:rsidP="00FE353F">
      <w:pPr>
        <w:spacing w:before="120" w:after="200"/>
        <w:jc w:val="both"/>
        <w:rPr>
          <w:rFonts w:ascii="Palatino Linotype" w:hAnsi="Palatino Linotype"/>
        </w:rPr>
      </w:pPr>
      <w:r w:rsidRPr="00D66245">
        <w:rPr>
          <w:rFonts w:ascii="Palatino Linotype" w:hAnsi="Palatino Linotype"/>
        </w:rPr>
        <w:lastRenderedPageBreak/>
        <w:t xml:space="preserve">  </w:t>
      </w:r>
      <w:r w:rsidRPr="00D66245">
        <w:rPr>
          <w:rFonts w:ascii="Palatino Linotype" w:hAnsi="Palatino Linotype"/>
          <w:i/>
          <w:noProof/>
        </w:rPr>
        <w:drawing>
          <wp:inline distT="0" distB="0" distL="0" distR="0" wp14:anchorId="520D17D6" wp14:editId="0E5FC64E">
            <wp:extent cx="4706112" cy="25793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st.jpg"/>
                    <pic:cNvPicPr/>
                  </pic:nvPicPr>
                  <pic:blipFill>
                    <a:blip r:embed="rId24">
                      <a:extLst>
                        <a:ext uri="{28A0092B-C50C-407E-A947-70E740481C1C}">
                          <a14:useLocalDpi xmlns:a14="http://schemas.microsoft.com/office/drawing/2010/main" val="0"/>
                        </a:ext>
                      </a:extLst>
                    </a:blip>
                    <a:stretch>
                      <a:fillRect/>
                    </a:stretch>
                  </pic:blipFill>
                  <pic:spPr>
                    <a:xfrm>
                      <a:off x="0" y="0"/>
                      <a:ext cx="4717825" cy="2585790"/>
                    </a:xfrm>
                    <a:prstGeom prst="rect">
                      <a:avLst/>
                    </a:prstGeom>
                  </pic:spPr>
                </pic:pic>
              </a:graphicData>
            </a:graphic>
          </wp:inline>
        </w:drawing>
      </w:r>
      <w:r w:rsidRPr="00D66245">
        <w:rPr>
          <w:rStyle w:val="Refdenotaalpie"/>
          <w:rFonts w:ascii="Palatino Linotype" w:hAnsi="Palatino Linotype"/>
          <w:i/>
        </w:rPr>
        <w:footnoteReference w:id="26"/>
      </w:r>
    </w:p>
    <w:p w14:paraId="779C2147" w14:textId="77777777" w:rsidR="00FE353F" w:rsidRPr="00D66245" w:rsidRDefault="00FE353F" w:rsidP="006D3048">
      <w:pPr>
        <w:spacing w:before="120" w:after="200"/>
        <w:ind w:firstLine="708"/>
        <w:jc w:val="both"/>
        <w:rPr>
          <w:rFonts w:ascii="Palatino Linotype" w:hAnsi="Palatino Linotype"/>
        </w:rPr>
      </w:pPr>
      <w:r w:rsidRPr="00D66245">
        <w:rPr>
          <w:rFonts w:ascii="Palatino Linotype" w:hAnsi="Palatino Linotype"/>
        </w:rPr>
        <w:t>En el caso del señor d ellos anillos como puede visualizarse se determina que primero hay un llamado, tiene un problema y solucionando el problema la paz es restablecida, algo así puede preparar usted para una demanda según el fin de lo que pretende, por ejemplo, “Usted quería hacer negocios para mejorar su calidad de vida, firmó un contrato con la contraparte, todo iba excelente, hubieron problemas creados con la contraparte y para solucionar esto y la “paz” sea restablecida debe la contraparte “arreglar” el problema o pagar lo que le debe o dejar de hacer lo que se solicita, según sea el caso”, como puede leerse de una manera sintetizada y fácil se logra explicar un punto.</w:t>
      </w:r>
    </w:p>
    <w:p w14:paraId="3BB5A86A" w14:textId="77777777" w:rsidR="00FE353F" w:rsidRPr="00D66245" w:rsidRDefault="00FE353F" w:rsidP="006D3048">
      <w:pPr>
        <w:spacing w:before="120" w:after="200"/>
        <w:ind w:firstLine="708"/>
        <w:jc w:val="both"/>
        <w:rPr>
          <w:rFonts w:ascii="Palatino Linotype" w:hAnsi="Palatino Linotype"/>
        </w:rPr>
      </w:pPr>
      <w:r w:rsidRPr="00D66245">
        <w:rPr>
          <w:rFonts w:ascii="Palatino Linotype" w:hAnsi="Palatino Linotype"/>
        </w:rPr>
        <w:t xml:space="preserve">Ahora bien no solamente hay ese estilo hay varios estilos más, por ejemplo el caso de la historia de Aladdin, en este caso la línea de la historia es ascendente, no sin antes pasar por algún problema, vamos ahora con la imagen de Aladdin, historia que es casi identificable por todo el público y </w:t>
      </w:r>
      <w:r w:rsidRPr="00D66245">
        <w:rPr>
          <w:rFonts w:ascii="Palatino Linotype" w:hAnsi="Palatino Linotype"/>
        </w:rPr>
        <w:lastRenderedPageBreak/>
        <w:t>que inclusive la industria del cine ha llevado a la pantalla grande, por medio de Disney una de las empresas más multimillonarias de la historia:</w:t>
      </w:r>
    </w:p>
    <w:p w14:paraId="31103813" w14:textId="031B2574" w:rsidR="00D66245" w:rsidRDefault="00FE353F" w:rsidP="00D66245">
      <w:pPr>
        <w:spacing w:before="120" w:after="200"/>
        <w:jc w:val="both"/>
        <w:rPr>
          <w:rFonts w:ascii="Palatino Linotype" w:hAnsi="Palatino Linotype"/>
        </w:rPr>
      </w:pPr>
      <w:r w:rsidRPr="00D66245">
        <w:rPr>
          <w:rFonts w:ascii="Palatino Linotype" w:hAnsi="Palatino Linotype"/>
          <w:i/>
          <w:noProof/>
        </w:rPr>
        <w:drawing>
          <wp:inline distT="0" distB="0" distL="0" distR="0" wp14:anchorId="64DAB0D3" wp14:editId="771CABE2">
            <wp:extent cx="4631732" cy="2072640"/>
            <wp:effectExtent l="0" t="0" r="0" b="3810"/>
            <wp:docPr id="2" name="Imagen 2" descr="Rags to Riches story structure out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gs to Riches story structure outlin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2723" cy="2082033"/>
                    </a:xfrm>
                    <a:prstGeom prst="rect">
                      <a:avLst/>
                    </a:prstGeom>
                    <a:noFill/>
                    <a:ln>
                      <a:noFill/>
                    </a:ln>
                  </pic:spPr>
                </pic:pic>
              </a:graphicData>
            </a:graphic>
          </wp:inline>
        </w:drawing>
      </w:r>
      <w:r w:rsidRPr="00D66245">
        <w:rPr>
          <w:rStyle w:val="Refdenotaalpie"/>
          <w:rFonts w:ascii="Palatino Linotype" w:hAnsi="Palatino Linotype"/>
          <w:i/>
        </w:rPr>
        <w:footnoteReference w:id="27"/>
      </w:r>
    </w:p>
    <w:p w14:paraId="0DCDEB02" w14:textId="11E37357" w:rsidR="00FE353F" w:rsidRDefault="00FE353F" w:rsidP="00D66245">
      <w:pPr>
        <w:spacing w:before="120" w:after="200"/>
        <w:ind w:firstLine="708"/>
        <w:jc w:val="both"/>
        <w:rPr>
          <w:rFonts w:ascii="Palatino Linotype" w:hAnsi="Palatino Linotype"/>
        </w:rPr>
      </w:pPr>
      <w:r w:rsidRPr="00D66245">
        <w:rPr>
          <w:rFonts w:ascii="Palatino Linotype" w:hAnsi="Palatino Linotype"/>
        </w:rPr>
        <w:t>En el caso de Aladdin tenemos la historia de un joven pobre, que se encuentra con una oportunidad fuera de lo ordinario, utiliza esa herramienta para evitar los problemas y al final se restablece la paz junto con la princesa Jasmine, ¿Cómo hago esto en el caso de los abogados?, de igual manera un ejemplo “Usted quería lograr sus sueños y metas mas anheladas, de repente un inversor multimillonario creyó en su idea y su marca así que invirtió en su negocio pero pactando por escrito solo porcentaje de las ganancias, usted fue creciendo de manera ascendente pero este inversor multimillonario empezó a utilizar su marca y su patente sin su autorización, y por ende usted solicita que no se le permita el uso de su propiedad intelectual para que la “paz” sea restablecida a nivel del contrato”. Claro está hay varios ejemplos más afines que podrían darse pero es una manera que usted pueda entender como construir una historia de manera entendible y comprensible (engachando a la audiencia).</w:t>
      </w:r>
    </w:p>
    <w:p w14:paraId="5DCC861A" w14:textId="0A4187D0" w:rsidR="00E87246" w:rsidRDefault="00E87246" w:rsidP="00D66245">
      <w:pPr>
        <w:spacing w:before="120" w:after="200"/>
        <w:ind w:firstLine="708"/>
        <w:jc w:val="both"/>
        <w:rPr>
          <w:rFonts w:ascii="Palatino Linotype" w:hAnsi="Palatino Linotype"/>
        </w:rPr>
      </w:pPr>
    </w:p>
    <w:p w14:paraId="0F03ED6A" w14:textId="24B7AD7D" w:rsidR="00E87246" w:rsidRDefault="00E87246" w:rsidP="00D66245">
      <w:pPr>
        <w:spacing w:before="120" w:after="200"/>
        <w:ind w:firstLine="708"/>
        <w:jc w:val="both"/>
        <w:rPr>
          <w:rFonts w:ascii="Palatino Linotype" w:hAnsi="Palatino Linotype"/>
        </w:rPr>
      </w:pPr>
    </w:p>
    <w:p w14:paraId="2968E763" w14:textId="74B20914" w:rsidR="00D66245" w:rsidRDefault="008057F8" w:rsidP="00E87246">
      <w:pPr>
        <w:spacing w:before="120" w:after="200"/>
        <w:jc w:val="both"/>
        <w:rPr>
          <w:rFonts w:ascii="Palatino Linotype" w:hAnsi="Palatino Linotype"/>
          <w:i/>
        </w:rPr>
      </w:pPr>
      <w:r w:rsidRPr="00D66245">
        <w:rPr>
          <w:rFonts w:ascii="Palatino Linotype" w:hAnsi="Palatino Linotype"/>
          <w:noProof/>
        </w:rPr>
        <w:lastRenderedPageBreak/>
        <w:drawing>
          <wp:anchor distT="0" distB="0" distL="114300" distR="114300" simplePos="0" relativeHeight="251661312" behindDoc="1" locked="0" layoutInCell="1" allowOverlap="1" wp14:anchorId="32DB75C3" wp14:editId="653D870A">
            <wp:simplePos x="0" y="0"/>
            <wp:positionH relativeFrom="margin">
              <wp:align>right</wp:align>
            </wp:positionH>
            <wp:positionV relativeFrom="paragraph">
              <wp:posOffset>102489</wp:posOffset>
            </wp:positionV>
            <wp:extent cx="4681728" cy="2482068"/>
            <wp:effectExtent l="0" t="0" r="5080" b="0"/>
            <wp:wrapNone/>
            <wp:docPr id="3" name="Imagen 3" descr="Tragedy story structure out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gedy story structure outlin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1728" cy="2482068"/>
                    </a:xfrm>
                    <a:prstGeom prst="rect">
                      <a:avLst/>
                    </a:prstGeom>
                    <a:noFill/>
                    <a:ln>
                      <a:noFill/>
                    </a:ln>
                  </pic:spPr>
                </pic:pic>
              </a:graphicData>
            </a:graphic>
            <wp14:sizeRelH relativeFrom="margin">
              <wp14:pctWidth>0</wp14:pctWidth>
            </wp14:sizeRelH>
          </wp:anchor>
        </w:drawing>
      </w:r>
    </w:p>
    <w:p w14:paraId="59C46011" w14:textId="5DA64AA9" w:rsidR="00D66245" w:rsidRDefault="00D66245" w:rsidP="006D3048">
      <w:pPr>
        <w:spacing w:before="120" w:after="200"/>
        <w:ind w:firstLine="708"/>
        <w:jc w:val="both"/>
        <w:rPr>
          <w:rFonts w:ascii="Palatino Linotype" w:hAnsi="Palatino Linotype"/>
          <w:i/>
        </w:rPr>
      </w:pPr>
    </w:p>
    <w:p w14:paraId="2E894DEF" w14:textId="77777777" w:rsidR="00E87246" w:rsidRDefault="00E87246" w:rsidP="006D3048">
      <w:pPr>
        <w:spacing w:before="120" w:after="200"/>
        <w:ind w:firstLine="708"/>
        <w:jc w:val="both"/>
        <w:rPr>
          <w:rFonts w:ascii="Palatino Linotype" w:hAnsi="Palatino Linotype"/>
        </w:rPr>
      </w:pPr>
    </w:p>
    <w:p w14:paraId="0F7D0505" w14:textId="77777777" w:rsidR="00E87246" w:rsidRDefault="00E87246" w:rsidP="006D3048">
      <w:pPr>
        <w:spacing w:before="120" w:after="200"/>
        <w:ind w:firstLine="708"/>
        <w:jc w:val="both"/>
        <w:rPr>
          <w:rFonts w:ascii="Palatino Linotype" w:hAnsi="Palatino Linotype"/>
        </w:rPr>
      </w:pPr>
    </w:p>
    <w:p w14:paraId="1FAFF9DE" w14:textId="77777777" w:rsidR="00E87246" w:rsidRDefault="00E87246" w:rsidP="006D3048">
      <w:pPr>
        <w:spacing w:before="120" w:after="200"/>
        <w:ind w:firstLine="708"/>
        <w:jc w:val="both"/>
        <w:rPr>
          <w:rFonts w:ascii="Palatino Linotype" w:hAnsi="Palatino Linotype"/>
        </w:rPr>
      </w:pPr>
    </w:p>
    <w:p w14:paraId="63461742" w14:textId="77777777" w:rsidR="00E87246" w:rsidRDefault="00E87246" w:rsidP="006D3048">
      <w:pPr>
        <w:spacing w:before="120" w:after="200"/>
        <w:ind w:firstLine="708"/>
        <w:jc w:val="both"/>
        <w:rPr>
          <w:rFonts w:ascii="Palatino Linotype" w:hAnsi="Palatino Linotype"/>
        </w:rPr>
      </w:pPr>
    </w:p>
    <w:p w14:paraId="1E4F4DD2" w14:textId="77777777" w:rsidR="00E87246" w:rsidRPr="00D66245" w:rsidRDefault="00E87246" w:rsidP="00E87246">
      <w:pPr>
        <w:spacing w:before="120" w:after="200"/>
        <w:ind w:firstLine="708"/>
        <w:jc w:val="both"/>
        <w:rPr>
          <w:rFonts w:ascii="Palatino Linotype" w:hAnsi="Palatino Linotype"/>
        </w:rPr>
      </w:pPr>
      <w:r w:rsidRPr="00D66245">
        <w:rPr>
          <w:rStyle w:val="Refdenotaalpie"/>
          <w:rFonts w:ascii="Palatino Linotype" w:hAnsi="Palatino Linotype"/>
          <w:i/>
        </w:rPr>
        <w:footnoteReference w:id="28"/>
      </w:r>
    </w:p>
    <w:p w14:paraId="140EC5C2" w14:textId="77777777" w:rsidR="00E87246" w:rsidRDefault="00E87246" w:rsidP="006D3048">
      <w:pPr>
        <w:spacing w:before="120" w:after="200"/>
        <w:ind w:firstLine="708"/>
        <w:jc w:val="both"/>
        <w:rPr>
          <w:rFonts w:ascii="Palatino Linotype" w:hAnsi="Palatino Linotype"/>
        </w:rPr>
      </w:pPr>
    </w:p>
    <w:p w14:paraId="2D5437DA" w14:textId="6D132F69" w:rsidR="00FE353F" w:rsidRPr="00D66245" w:rsidRDefault="00FE353F" w:rsidP="006D3048">
      <w:pPr>
        <w:spacing w:before="120" w:after="200"/>
        <w:ind w:firstLine="708"/>
        <w:jc w:val="both"/>
        <w:rPr>
          <w:rFonts w:ascii="Palatino Linotype" w:hAnsi="Palatino Linotype"/>
        </w:rPr>
      </w:pPr>
      <w:r w:rsidRPr="00D66245">
        <w:rPr>
          <w:rFonts w:ascii="Palatino Linotype" w:hAnsi="Palatino Linotype"/>
        </w:rPr>
        <w:t>No puede obviarse que también hay una manera de contar la historia también desde el punto de vista de la tragedia, pero en el caso de la tragedia hay que tener claro que donde debe enfocarse es en el punto alto de la imagen anterior en caos que quiera buscarse demostrar que podría ocurrir si no se da la razón o bien en el punto más bajo para hacer ver las consecuencias del daño y perjuicio ocasionado, bajo el precepto de la imagen serían dos ejemplos:</w:t>
      </w:r>
    </w:p>
    <w:p w14:paraId="12EF64FD" w14:textId="77777777" w:rsidR="00FE353F" w:rsidRPr="00D66245" w:rsidRDefault="00FE353F" w:rsidP="006D3048">
      <w:pPr>
        <w:spacing w:before="120" w:after="200"/>
        <w:ind w:firstLine="708"/>
        <w:jc w:val="both"/>
        <w:rPr>
          <w:rFonts w:ascii="Palatino Linotype" w:hAnsi="Palatino Linotype"/>
        </w:rPr>
      </w:pPr>
      <w:r w:rsidRPr="00D66245">
        <w:rPr>
          <w:rFonts w:ascii="Palatino Linotype" w:hAnsi="Palatino Linotype"/>
        </w:rPr>
        <w:t>PUNTO ALTO: “Usted quería lograr sus sueños y metas mas anheladas, de repente un inversor multimillonario creyó en su idea y su marca así que invirtió en su negocio pero pactando por escrito solo porcentaje de las ganancias, usted fue creciendo de manera ascendente pero este inversor multimillonario empezó a utilizar su marca y su patente sin su autorización, dado que si eso sucede y se autoriza podría su negocio llegar a cerrar y por ende verse afectadas no solo la empresa, si no el único ingreso con el que cuenta, causando un perjuicio enorme”</w:t>
      </w:r>
    </w:p>
    <w:p w14:paraId="0501F9A2" w14:textId="77777777" w:rsidR="00FE353F" w:rsidRPr="00D66245" w:rsidRDefault="00FE353F" w:rsidP="006D3048">
      <w:pPr>
        <w:spacing w:before="120" w:after="200"/>
        <w:ind w:firstLine="708"/>
        <w:jc w:val="both"/>
        <w:rPr>
          <w:rFonts w:ascii="Palatino Linotype" w:hAnsi="Palatino Linotype"/>
        </w:rPr>
      </w:pPr>
      <w:r w:rsidRPr="00D66245">
        <w:rPr>
          <w:rFonts w:ascii="Palatino Linotype" w:hAnsi="Palatino Linotype"/>
        </w:rPr>
        <w:t xml:space="preserve">PUNTO BAJO: “Usted trajo un carro de Estados Unidos para armarlo en piezas lo armó y el valor del carro llegó a los $20,000.00 Dólares fruto de una colisión donde fue responsable la contraparte  por conducir bajo los efectos del alcohol y andar sin licencia usted tuvo daños irreparables en el </w:t>
      </w:r>
      <w:r w:rsidRPr="00D66245">
        <w:rPr>
          <w:rFonts w:ascii="Palatino Linotype" w:hAnsi="Palatino Linotype"/>
        </w:rPr>
        <w:lastRenderedPageBreak/>
        <w:t>vehículo y además de ello sufrió lesiones en una pierna y un brazo que aún continúan con terapia, el monto con el que quedaría satisfecho y se restablecería la “paz” serían $150,000.00”</w:t>
      </w:r>
    </w:p>
    <w:p w14:paraId="37D26669" w14:textId="77777777" w:rsidR="00FE353F" w:rsidRPr="00D66245" w:rsidRDefault="00FE353F" w:rsidP="006D3048">
      <w:pPr>
        <w:spacing w:before="120" w:after="200"/>
        <w:ind w:firstLine="708"/>
        <w:jc w:val="both"/>
        <w:rPr>
          <w:rFonts w:ascii="Palatino Linotype" w:hAnsi="Palatino Linotype"/>
          <w:i/>
        </w:rPr>
      </w:pPr>
      <w:r w:rsidRPr="00D66245">
        <w:rPr>
          <w:rFonts w:ascii="Palatino Linotype" w:hAnsi="Palatino Linotype"/>
        </w:rPr>
        <w:t>Un punto en el storytelling  en común en y según los grandes autores y que los abogados podemos tomar en cuenta es la manera como lo estructuran siempre en las historias más exitosas “</w:t>
      </w:r>
      <w:r w:rsidRPr="00D66245">
        <w:rPr>
          <w:rFonts w:ascii="Palatino Linotype" w:hAnsi="Palatino Linotype"/>
          <w:b/>
          <w:bCs/>
          <w:i/>
        </w:rPr>
        <w:t>narra el viaje del héroe,</w:t>
      </w:r>
      <w:r w:rsidRPr="00D66245">
        <w:rPr>
          <w:rFonts w:ascii="Palatino Linotype" w:hAnsi="Palatino Linotype"/>
          <w:i/>
        </w:rPr>
        <w:t> que es fácilmente identificable en las películas de Disney, por ejemplo. Es una teoría de Joseph Campbell que se basa fundamental en que </w:t>
      </w:r>
      <w:r w:rsidRPr="00D66245">
        <w:rPr>
          <w:rFonts w:ascii="Palatino Linotype" w:hAnsi="Palatino Linotype"/>
          <w:b/>
          <w:bCs/>
          <w:i/>
        </w:rPr>
        <w:t>todas las buenas historias tienen los mismos personajes o puntos en común: </w:t>
      </w:r>
      <w:r w:rsidRPr="00D66245">
        <w:rPr>
          <w:rFonts w:ascii="Palatino Linotype" w:hAnsi="Palatino Linotype"/>
          <w:i/>
        </w:rPr>
        <w:t>el benefactor, la meta, el beneficiario, el defensor o “hada madrina”, el héroe, y por supuesto, el villano. Recomiendo este vídeo, muy divertido que explica claramente y comparando varias películas, los personajes en común, así como, los momentos de la historia que se repiten de unas a otras.</w:t>
      </w:r>
    </w:p>
    <w:p w14:paraId="3ADA3E5E" w14:textId="77777777" w:rsidR="00D66245" w:rsidRDefault="00FE353F" w:rsidP="00D66245">
      <w:pPr>
        <w:spacing w:before="120" w:after="200"/>
        <w:ind w:firstLine="708"/>
        <w:jc w:val="both"/>
        <w:rPr>
          <w:rFonts w:ascii="Palatino Linotype" w:hAnsi="Palatino Linotype"/>
          <w:i/>
          <w:lang w:val="es-CR"/>
        </w:rPr>
      </w:pPr>
      <w:r w:rsidRPr="00D66245">
        <w:rPr>
          <w:rFonts w:ascii="Palatino Linotype" w:hAnsi="Palatino Linotype"/>
          <w:i/>
          <w:lang w:val="es-CR"/>
        </w:rPr>
        <w:t>El objetivo es </w:t>
      </w:r>
      <w:r w:rsidRPr="00D66245">
        <w:rPr>
          <w:rFonts w:ascii="Palatino Linotype" w:hAnsi="Palatino Linotype"/>
          <w:b/>
          <w:bCs/>
          <w:i/>
          <w:lang w:val="es-CR"/>
        </w:rPr>
        <w:t>conseguir </w:t>
      </w:r>
      <w:r w:rsidRPr="00D66245">
        <w:rPr>
          <w:rFonts w:ascii="Palatino Linotype" w:hAnsi="Palatino Linotype"/>
          <w:b/>
          <w:bCs/>
          <w:i/>
          <w:iCs/>
          <w:lang w:val="es-CR"/>
        </w:rPr>
        <w:t>engagement</w:t>
      </w:r>
      <w:r w:rsidRPr="00D66245">
        <w:rPr>
          <w:rFonts w:ascii="Palatino Linotype" w:hAnsi="Palatino Linotype"/>
          <w:b/>
          <w:bCs/>
          <w:i/>
          <w:lang w:val="es-CR"/>
        </w:rPr>
        <w:t> entre la audiencia y la historia</w:t>
      </w:r>
      <w:r w:rsidRPr="00D66245">
        <w:rPr>
          <w:rFonts w:ascii="Palatino Linotype" w:hAnsi="Palatino Linotype"/>
          <w:i/>
          <w:lang w:val="es-CR"/>
        </w:rPr>
        <w:t>. A la hora de aplicar esta herramienta a una marca o un producto es importante centrarla para conseguir que el público se sienta identificado con ella. Un ejemplo muy reciente de </w:t>
      </w:r>
      <w:r w:rsidRPr="00D66245">
        <w:rPr>
          <w:rFonts w:ascii="Palatino Linotype" w:hAnsi="Palatino Linotype"/>
          <w:i/>
          <w:iCs/>
          <w:lang w:val="es-CR"/>
        </w:rPr>
        <w:t>storytelling</w:t>
      </w:r>
      <w:r w:rsidRPr="00D66245">
        <w:rPr>
          <w:rFonts w:ascii="Palatino Linotype" w:hAnsi="Palatino Linotype"/>
          <w:i/>
          <w:lang w:val="es-CR"/>
        </w:rPr>
        <w:t> son los anuncios de navidad, que cada vez son más largos y cuentan historias más elaboradas que nos ponen el foco en lo que la marca considera importante, en el sentimiento de ilusión y en la importancia de compartirlo con las personas que quieres, y no tanto en el premio”</w:t>
      </w:r>
    </w:p>
    <w:p w14:paraId="772FC0D6" w14:textId="4CA6ECE0" w:rsidR="00FE353F" w:rsidRPr="00D66245" w:rsidRDefault="00FE353F" w:rsidP="00D66245">
      <w:pPr>
        <w:spacing w:before="120" w:after="200"/>
        <w:ind w:firstLine="708"/>
        <w:jc w:val="center"/>
        <w:rPr>
          <w:rFonts w:ascii="Palatino Linotype" w:hAnsi="Palatino Linotype"/>
        </w:rPr>
      </w:pPr>
      <w:r w:rsidRPr="00D66245">
        <w:rPr>
          <w:rFonts w:ascii="Palatino Linotype" w:hAnsi="Palatino Linotype"/>
          <w:noProof/>
          <w:lang w:val="es-CR"/>
        </w:rPr>
        <w:drawing>
          <wp:inline distT="0" distB="0" distL="0" distR="0" wp14:anchorId="1160BBCC" wp14:editId="51DA10EE">
            <wp:extent cx="3933190" cy="1492250"/>
            <wp:effectExtent l="0" t="0" r="0" b="0"/>
            <wp:docPr id="4" name="Imagen 4" descr="trama en storytelling y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ma en storytelling y bran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2532" cy="1526146"/>
                    </a:xfrm>
                    <a:prstGeom prst="rect">
                      <a:avLst/>
                    </a:prstGeom>
                    <a:noFill/>
                    <a:ln>
                      <a:noFill/>
                    </a:ln>
                  </pic:spPr>
                </pic:pic>
              </a:graphicData>
            </a:graphic>
          </wp:inline>
        </w:drawing>
      </w:r>
    </w:p>
    <w:p w14:paraId="13F284B9" w14:textId="77777777" w:rsidR="00E87246" w:rsidRPr="00D66245" w:rsidRDefault="00E87246" w:rsidP="00E87246">
      <w:pPr>
        <w:spacing w:before="120" w:after="200"/>
        <w:jc w:val="both"/>
        <w:rPr>
          <w:rFonts w:ascii="Palatino Linotype" w:hAnsi="Palatino Linotype" w:cs="Times New Roman"/>
          <w:vertAlign w:val="superscript"/>
        </w:rPr>
      </w:pPr>
      <w:r w:rsidRPr="00D66245">
        <w:rPr>
          <w:rStyle w:val="Refdenotaalpie"/>
          <w:rFonts w:ascii="Palatino Linotype" w:hAnsi="Palatino Linotype"/>
          <w:i/>
          <w:lang w:val="es-CR"/>
        </w:rPr>
        <w:footnoteReference w:id="29"/>
      </w:r>
    </w:p>
    <w:p w14:paraId="3DA7E171" w14:textId="77777777" w:rsidR="00FE353F" w:rsidRPr="00D66245" w:rsidRDefault="00FE353F" w:rsidP="006D3048">
      <w:pPr>
        <w:spacing w:before="120" w:after="200"/>
        <w:ind w:firstLine="708"/>
        <w:jc w:val="both"/>
        <w:rPr>
          <w:rFonts w:ascii="Palatino Linotype" w:hAnsi="Palatino Linotype" w:cs="Times New Roman"/>
        </w:rPr>
      </w:pPr>
      <w:r w:rsidRPr="00D66245">
        <w:rPr>
          <w:rFonts w:ascii="Palatino Linotype" w:hAnsi="Palatino Linotype" w:cs="Times New Roman"/>
        </w:rPr>
        <w:lastRenderedPageBreak/>
        <w:t xml:space="preserve">Este último cuadro es un patrón también en común en las historias (como ya mencioné usted puede escoger la manera según las imágenes anteriores) pero este lo que busca explicarlo un proceso que se va elevando y en su punto más alto como el momento de climax y tensión para que al final se llegue a una resolución que restablezca las cosas a su orden o a la “paz” que buscan. </w:t>
      </w:r>
    </w:p>
    <w:p w14:paraId="6C807BD9" w14:textId="77777777" w:rsidR="00FE353F" w:rsidRPr="00D66245" w:rsidRDefault="00FE353F" w:rsidP="006D3048">
      <w:pPr>
        <w:spacing w:before="120" w:after="200"/>
        <w:ind w:firstLine="708"/>
        <w:jc w:val="both"/>
        <w:rPr>
          <w:rFonts w:ascii="Palatino Linotype" w:hAnsi="Palatino Linotype"/>
          <w:i/>
          <w:lang w:val="es-CR"/>
        </w:rPr>
      </w:pPr>
      <w:r w:rsidRPr="00D66245">
        <w:rPr>
          <w:rFonts w:ascii="Palatino Linotype" w:hAnsi="Palatino Linotype" w:cs="Times New Roman"/>
        </w:rPr>
        <w:t xml:space="preserve">Y vamos con un ejemplo de una demanda real en los Estados Unidos que citan en la página Litigio de Autor en su tema desarrollado denominado “Storytelling para abogados” </w:t>
      </w:r>
      <w:r w:rsidRPr="00D66245">
        <w:rPr>
          <w:rFonts w:ascii="Palatino Linotype" w:hAnsi="Palatino Linotype" w:cs="Times New Roman"/>
          <w:i/>
        </w:rPr>
        <w:t>“</w:t>
      </w:r>
      <w:r w:rsidRPr="00D66245">
        <w:rPr>
          <w:rFonts w:ascii="Palatino Linotype" w:hAnsi="Palatino Linotype"/>
          <w:i/>
          <w:lang w:val="es-CR"/>
        </w:rPr>
        <w:t>Estos días he estado documentándome sobre el escándalo de los motores trucados de Volkswagen. Soy un afectado por ese gran fraude. Hace un tiempo compré un Passat familiar para transportar a nuestros tres alegres y ruidosos churumbeles. Mi mujer y yo optamos por la gama diésel Blue Motion, que supuestamente era la más respetuosa con el medio ambiente. A día de hoy la compañía todavía no se ha dirigido a nosotros para informarnos de que nuestro coche está manipulado y dar explicaciones. Así que hemos decidido pasar a la acción.</w:t>
      </w:r>
    </w:p>
    <w:p w14:paraId="181C1ED5" w14:textId="77777777" w:rsidR="00FE353F" w:rsidRPr="00D66245" w:rsidRDefault="00FE353F" w:rsidP="006D3048">
      <w:pPr>
        <w:spacing w:before="120" w:after="200"/>
        <w:ind w:firstLine="708"/>
        <w:jc w:val="both"/>
        <w:rPr>
          <w:rFonts w:ascii="Palatino Linotype" w:hAnsi="Palatino Linotype" w:cs="Times New Roman"/>
          <w:i/>
          <w:lang w:val="es-CR"/>
        </w:rPr>
      </w:pPr>
      <w:r w:rsidRPr="00D66245">
        <w:rPr>
          <w:rFonts w:ascii="Palatino Linotype" w:hAnsi="Palatino Linotype" w:cs="Times New Roman"/>
          <w:i/>
          <w:lang w:val="es-CR"/>
        </w:rPr>
        <w:t>Mientras preparaba el caso, he leído algunas demandas interpuestas en Estados Unidos. Me ha gustado especialmente una acción de clase que empieza con esta Introducción:</w:t>
      </w:r>
    </w:p>
    <w:p w14:paraId="09D7938B" w14:textId="77777777" w:rsidR="00FE353F" w:rsidRPr="00D66245" w:rsidRDefault="00FE353F" w:rsidP="006D3048">
      <w:pPr>
        <w:spacing w:before="120" w:after="200"/>
        <w:ind w:firstLine="708"/>
        <w:jc w:val="both"/>
        <w:rPr>
          <w:rFonts w:ascii="Palatino Linotype" w:hAnsi="Palatino Linotype" w:cs="Times New Roman"/>
          <w:lang w:val="es-CR"/>
        </w:rPr>
      </w:pPr>
      <w:r w:rsidRPr="00D66245">
        <w:rPr>
          <w:rFonts w:ascii="Palatino Linotype" w:hAnsi="Palatino Linotype" w:cs="Times New Roman"/>
          <w:i/>
          <w:iCs/>
          <w:lang w:val="es-CR"/>
        </w:rPr>
        <w:t>“Este caso deriva de uno de los delitos corporativos más descarados de la historia, </w:t>
      </w:r>
      <w:r w:rsidRPr="00D66245">
        <w:rPr>
          <w:rFonts w:ascii="Palatino Linotype" w:hAnsi="Palatino Linotype" w:cs="Times New Roman"/>
          <w:b/>
          <w:bCs/>
          <w:i/>
          <w:iCs/>
          <w:lang w:val="es-CR"/>
        </w:rPr>
        <w:t>una fábula sobre una empresa que quería ganar a cualquier precio</w:t>
      </w:r>
      <w:r w:rsidRPr="00D66245">
        <w:rPr>
          <w:rFonts w:ascii="Palatino Linotype" w:hAnsi="Palatino Linotype" w:cs="Times New Roman"/>
          <w:i/>
          <w:iCs/>
          <w:lang w:val="es-CR"/>
        </w:rPr>
        <w:t xml:space="preserve">. Volkswagen engañó para escalar hasta la cima de la industria del automóvil y dejó a su espalda un reguero de víctimas: sus clientes, los supervisores estadounidenses y extranjeros e incluso el aire que respiramos. El eje del plan fraudulento de Volkswagen fue el uso doloso de un “dispositivo de desactivación”, un algoritmo de software instalado clandestinamente, tal y como la propia Volkswagen ha admitido, que fue diseñado para engañar en los ensayos de emisiones y, por lo tanto, para engañar a la Agencia de Protección Ambiental (“EPA”), entre otros reguladores, en el proceso de autorización de venta de cientos de miles de automóviles fraudulentos (los “Vehículos”, definidos más adelante). Durante años, Volkswagen se salió con la suya, y la venta de Vehículos alcanzó cifras récord en nuestro mercado. Una vez en las carreteras, estos coches han esparcido por el aire millones de toneladas de una sustancia tan perjudicial y contaminante como el nitrógeno óxido (“NOx”) en unos niveles que superan hasta 40 veces el límite legal. Durante este tiempo, Volkswagen </w:t>
      </w:r>
      <w:r w:rsidRPr="00D66245">
        <w:rPr>
          <w:rFonts w:ascii="Palatino Linotype" w:hAnsi="Palatino Linotype" w:cs="Times New Roman"/>
          <w:i/>
          <w:iCs/>
          <w:lang w:val="es-CR"/>
        </w:rPr>
        <w:lastRenderedPageBreak/>
        <w:t>se presentaba ante el público estadounidense como la empresa innovadora más importante del mundo de tecnología diésel “limpia”, engañando a cientos de miles de consumidores con conciencia ambiental que estaban dispuestos a pagar un plus por los vehículos diésel “limpios”</w:t>
      </w:r>
      <w:r w:rsidRPr="00D66245">
        <w:rPr>
          <w:rStyle w:val="Refdenotaalpie"/>
          <w:rFonts w:ascii="Palatino Linotype" w:hAnsi="Palatino Linotype" w:cs="Times New Roman"/>
          <w:i/>
          <w:iCs/>
          <w:lang w:val="es-CR"/>
        </w:rPr>
        <w:footnoteReference w:id="30"/>
      </w:r>
      <w:r w:rsidRPr="00D66245">
        <w:rPr>
          <w:rFonts w:ascii="Palatino Linotype" w:hAnsi="Palatino Linotype" w:cs="Times New Roman"/>
          <w:i/>
          <w:iCs/>
          <w:vertAlign w:val="superscript"/>
          <w:lang w:val="es-CR"/>
        </w:rPr>
        <w:t>.</w:t>
      </w:r>
    </w:p>
    <w:p w14:paraId="2E43FDE2" w14:textId="77777777" w:rsidR="00FE353F" w:rsidRPr="00D66245" w:rsidRDefault="00FE353F" w:rsidP="006D3048">
      <w:pPr>
        <w:spacing w:before="120" w:after="200"/>
        <w:ind w:firstLine="708"/>
        <w:jc w:val="both"/>
        <w:rPr>
          <w:rFonts w:ascii="Palatino Linotype" w:hAnsi="Palatino Linotype" w:cs="Times New Roman"/>
          <w:i/>
          <w:lang w:val="es-CR"/>
        </w:rPr>
      </w:pPr>
      <w:r w:rsidRPr="00D66245">
        <w:rPr>
          <w:rFonts w:ascii="Palatino Linotype" w:hAnsi="Palatino Linotype" w:cs="Times New Roman"/>
          <w:i/>
          <w:lang w:val="es-CR"/>
        </w:rPr>
        <w:t>Esta introducción me enganchó desde el inicio y consiguió que quisiera seguir leyendo el resto de esa demanda. Disfruté mucho con esa lectura. Los abogados de los demandantes explotan todo el potencial narrativo del caso y presentan a Volkswagen como una empresa codiciosa y sin escrúpulos que es capaz de hacer cualquier cosa para ganar dinero. Además, la corporación alemana incurre en algo tan detestable como la hipocresía, ya que se las da de empresa ecológica cuando, en realidad, está vendiendo coches altísimamente nocivos. Aquí vemos cómo el </w:t>
      </w:r>
      <w:r w:rsidRPr="00D66245">
        <w:rPr>
          <w:rFonts w:ascii="Palatino Linotype" w:hAnsi="Palatino Linotype" w:cs="Times New Roman"/>
          <w:i/>
          <w:iCs/>
          <w:lang w:val="es-CR"/>
        </w:rPr>
        <w:t>storytelling</w:t>
      </w:r>
      <w:r w:rsidRPr="00D66245">
        <w:rPr>
          <w:rFonts w:ascii="Palatino Linotype" w:hAnsi="Palatino Linotype" w:cs="Times New Roman"/>
          <w:i/>
          <w:lang w:val="es-CR"/>
        </w:rPr>
        <w:t> puede reforzar unos buenos argumentos legales.</w:t>
      </w:r>
    </w:p>
    <w:p w14:paraId="016F9E66" w14:textId="77777777" w:rsidR="00FE353F" w:rsidRPr="00D66245" w:rsidRDefault="00FE353F" w:rsidP="006D3048">
      <w:pPr>
        <w:spacing w:before="120" w:after="200"/>
        <w:ind w:firstLine="708"/>
        <w:jc w:val="both"/>
        <w:rPr>
          <w:rFonts w:ascii="Palatino Linotype" w:hAnsi="Palatino Linotype" w:cs="Times New Roman"/>
          <w:i/>
          <w:lang w:val="es-CR"/>
        </w:rPr>
      </w:pPr>
      <w:r w:rsidRPr="00D66245">
        <w:rPr>
          <w:rFonts w:ascii="Palatino Linotype" w:hAnsi="Palatino Linotype" w:cs="Times New Roman"/>
          <w:b/>
          <w:bCs/>
          <w:i/>
          <w:lang w:val="es-CR"/>
        </w:rPr>
        <w:t>Los abogados del caso han sabido convertir una controversia jurídica en una fábula moderna con moraleja y un claro mensaje dirigido al juez: condene al malvado, haga justicia con las víctimas inocentes</w:t>
      </w:r>
      <w:r w:rsidRPr="00D66245">
        <w:rPr>
          <w:rFonts w:ascii="Palatino Linotype" w:hAnsi="Palatino Linotype" w:cs="Times New Roman"/>
          <w:i/>
          <w:lang w:val="es-CR"/>
        </w:rPr>
        <w:t>. Un buen relato puede dejar una marca indeleble en la memoria de quien lo escucha, incluso mucho tiempo después de que el eco de los argumentos legales haya cesado.”</w:t>
      </w:r>
      <w:r w:rsidRPr="00D66245">
        <w:rPr>
          <w:rStyle w:val="Refdenotaalpie"/>
          <w:rFonts w:ascii="Palatino Linotype" w:hAnsi="Palatino Linotype" w:cs="Times New Roman"/>
          <w:i/>
          <w:lang w:val="es-CR"/>
        </w:rPr>
        <w:footnoteReference w:id="31"/>
      </w:r>
    </w:p>
    <w:p w14:paraId="321C539F" w14:textId="77777777" w:rsidR="00FE353F" w:rsidRPr="00D66245" w:rsidRDefault="00FE353F" w:rsidP="006D3048">
      <w:pPr>
        <w:spacing w:before="120" w:after="200"/>
        <w:ind w:firstLine="360"/>
        <w:jc w:val="both"/>
        <w:rPr>
          <w:rFonts w:ascii="Palatino Linotype" w:hAnsi="Palatino Linotype" w:cs="Times New Roman"/>
          <w:lang w:val="es-CR"/>
        </w:rPr>
      </w:pPr>
      <w:r w:rsidRPr="00D66245">
        <w:rPr>
          <w:rFonts w:ascii="Palatino Linotype" w:hAnsi="Palatino Linotype" w:cs="Times New Roman"/>
          <w:lang w:val="es-CR"/>
        </w:rPr>
        <w:t xml:space="preserve">Como bien menciona el autor del artículo de Litigios de Autor, la manera como inicia la demanda y lo hace en un apartado que le denominan INTRODUCCIÓN y a partir de ahí ENGANCHA al lector y de igual manera de manera oral puede hacerse, a manera de ejemplo en la audiencia que le contaba al momento de iniciar esta memoria, donde participaba el Doctor Sergio Artavia Barrantes, la Msc. Alejandra Peña Quesada y el suscrito a la luz del Código Procesal Civil vigente a partir de Octubre del 2018, no sabíamos que esperar del Tribunal que celebraría la audiencia, y debíamos ir listos con el alegato de apertura, el caso en cuestión o en análisis </w:t>
      </w:r>
      <w:r w:rsidRPr="00D66245">
        <w:rPr>
          <w:rFonts w:ascii="Palatino Linotype" w:hAnsi="Palatino Linotype" w:cs="Times New Roman"/>
          <w:lang w:val="es-CR"/>
        </w:rPr>
        <w:lastRenderedPageBreak/>
        <w:t>corresponde a un proceso donde el cliente nuestro reclamaba pues fruto de unas remodelaciones en período de lluvias al no tomar las previsiones la desarrolladora ni el centro comercial inundo el piso donde venden servicios nuestro cliente, ante ello el Doctor Artavia le asignó una labor a Alejandra y era buscar la manera de como arrancar nuestra historia en caso que nos correspondiera hacer un alegato de apertura, y al final la fase escogida fue “</w:t>
      </w:r>
      <w:r w:rsidRPr="00D66245">
        <w:rPr>
          <w:rFonts w:ascii="Palatino Linotype" w:hAnsi="Palatino Linotype" w:cs="Times New Roman"/>
          <w:b/>
          <w:lang w:val="es-CR"/>
        </w:rPr>
        <w:t>¿acaso Dios causo la inundación?</w:t>
      </w:r>
      <w:r w:rsidRPr="00D66245">
        <w:rPr>
          <w:rFonts w:ascii="Palatino Linotype" w:hAnsi="Palatino Linotype" w:cs="Times New Roman"/>
          <w:lang w:val="es-CR"/>
        </w:rPr>
        <w:t>”, la idea de esta frase fue captar la atención del tribunal y seguido a ello narrar las razones por las que estábamos ahí, para que así en las conclusiones respondiéramos “Iniciamos con una interrogante esta audiencia y la respuesta es clara señores del tribunal DIOS NO CAUSO LA INUNDACIÓN fue la desarrolladora con su impericia… y quedó demostrado por todo lo indagado en esta audiencia”. Esta es una manera de cómo ir armando el caso, como construir la historia.</w:t>
      </w:r>
    </w:p>
    <w:p w14:paraId="15980CEB" w14:textId="77777777" w:rsidR="00FE353F" w:rsidRPr="00D66245" w:rsidRDefault="00FE353F" w:rsidP="006D3048">
      <w:pPr>
        <w:pStyle w:val="Ttulo2"/>
        <w:numPr>
          <w:ilvl w:val="0"/>
          <w:numId w:val="25"/>
        </w:numPr>
        <w:spacing w:before="120" w:after="200" w:line="264" w:lineRule="auto"/>
        <w:ind w:left="0" w:firstLine="0"/>
        <w:jc w:val="both"/>
        <w:rPr>
          <w:rFonts w:ascii="Palatino Linotype" w:hAnsi="Palatino Linotype" w:cs="Times New Roman"/>
          <w:b/>
          <w:color w:val="auto"/>
          <w:sz w:val="22"/>
          <w:szCs w:val="22"/>
        </w:rPr>
      </w:pPr>
      <w:bookmarkStart w:id="5" w:name="_Hlk7949970"/>
      <w:r w:rsidRPr="00D66245">
        <w:rPr>
          <w:rFonts w:ascii="Palatino Linotype" w:hAnsi="Palatino Linotype" w:cs="Times New Roman"/>
          <w:b/>
          <w:color w:val="auto"/>
          <w:sz w:val="22"/>
          <w:szCs w:val="22"/>
        </w:rPr>
        <w:t>LAS CLAVES DE UNA GRAN HISTORIA</w:t>
      </w:r>
    </w:p>
    <w:bookmarkEnd w:id="5"/>
    <w:p w14:paraId="05344C0F" w14:textId="77777777" w:rsidR="00FE353F" w:rsidRPr="00D66245" w:rsidRDefault="00FE353F" w:rsidP="006D3048">
      <w:pPr>
        <w:spacing w:before="120" w:after="200"/>
        <w:ind w:firstLine="360"/>
        <w:jc w:val="both"/>
        <w:rPr>
          <w:rFonts w:ascii="Palatino Linotype" w:hAnsi="Palatino Linotype"/>
          <w:lang w:val="es-CR"/>
        </w:rPr>
      </w:pPr>
      <w:r w:rsidRPr="00D66245">
        <w:rPr>
          <w:rFonts w:ascii="Palatino Linotype" w:hAnsi="Palatino Linotype" w:cs="Times New Roman"/>
        </w:rPr>
        <w:t xml:space="preserve">Las historias como se han desarrollado tienen que ser contadas por el Storyteller o contador de historias de manera tal que capte la atención, se ha venido explicando el concepto, la dinámica, pero ahora para concluir algunas claves que son esenciales para la historia, </w:t>
      </w:r>
      <w:r w:rsidRPr="00D66245">
        <w:rPr>
          <w:rFonts w:ascii="Palatino Linotype" w:hAnsi="Palatino Linotype"/>
          <w:lang w:val="es-CR"/>
        </w:rPr>
        <w:t>Según Edmundo Pérez Garza para Marketing Jurídico Digital, apelar a los sentimientos es sencillo si se sigue esta estructura:</w:t>
      </w:r>
    </w:p>
    <w:p w14:paraId="42568B84" w14:textId="77777777" w:rsidR="00FE353F" w:rsidRPr="00D66245" w:rsidRDefault="00FE353F" w:rsidP="006D3048">
      <w:pPr>
        <w:numPr>
          <w:ilvl w:val="0"/>
          <w:numId w:val="27"/>
        </w:numPr>
        <w:spacing w:after="0" w:line="264" w:lineRule="auto"/>
        <w:ind w:left="714" w:hanging="357"/>
        <w:jc w:val="both"/>
        <w:rPr>
          <w:rFonts w:ascii="Palatino Linotype" w:hAnsi="Palatino Linotype" w:cs="Times New Roman"/>
          <w:i/>
          <w:lang w:val="es-CR"/>
        </w:rPr>
      </w:pPr>
      <w:r w:rsidRPr="00D66245">
        <w:rPr>
          <w:rFonts w:ascii="Palatino Linotype" w:hAnsi="Palatino Linotype" w:cs="Times New Roman"/>
          <w:i/>
          <w:lang w:val="es-CR"/>
        </w:rPr>
        <w:t>Comienza con algo que sea </w:t>
      </w:r>
      <w:r w:rsidRPr="00D66245">
        <w:rPr>
          <w:rFonts w:ascii="Palatino Linotype" w:hAnsi="Palatino Linotype" w:cs="Times New Roman"/>
          <w:b/>
          <w:bCs/>
          <w:i/>
          <w:lang w:val="es-CR"/>
        </w:rPr>
        <w:t>fácil de identificar</w:t>
      </w:r>
      <w:r w:rsidRPr="00D66245">
        <w:rPr>
          <w:rFonts w:ascii="Palatino Linotype" w:hAnsi="Palatino Linotype" w:cs="Times New Roman"/>
          <w:i/>
          <w:lang w:val="es-CR"/>
        </w:rPr>
        <w:t> y con lo que tus clientes potenciales estén de acuerdo.</w:t>
      </w:r>
    </w:p>
    <w:p w14:paraId="0D3321A8" w14:textId="77777777" w:rsidR="00FE353F" w:rsidRPr="00D66245" w:rsidRDefault="00FE353F" w:rsidP="006D3048">
      <w:pPr>
        <w:numPr>
          <w:ilvl w:val="0"/>
          <w:numId w:val="27"/>
        </w:numPr>
        <w:spacing w:after="0" w:line="264" w:lineRule="auto"/>
        <w:ind w:left="714" w:hanging="357"/>
        <w:jc w:val="both"/>
        <w:rPr>
          <w:rFonts w:ascii="Palatino Linotype" w:hAnsi="Palatino Linotype" w:cs="Times New Roman"/>
          <w:i/>
          <w:lang w:val="es-CR"/>
        </w:rPr>
      </w:pPr>
      <w:r w:rsidRPr="00D66245">
        <w:rPr>
          <w:rFonts w:ascii="Palatino Linotype" w:hAnsi="Palatino Linotype" w:cs="Times New Roman"/>
          <w:b/>
          <w:bCs/>
          <w:i/>
          <w:lang w:val="es-CR"/>
        </w:rPr>
        <w:t>Aumenta la tensión</w:t>
      </w:r>
      <w:r w:rsidRPr="00D66245">
        <w:rPr>
          <w:rFonts w:ascii="Palatino Linotype" w:hAnsi="Palatino Linotype" w:cs="Times New Roman"/>
          <w:i/>
          <w:lang w:val="es-CR"/>
        </w:rPr>
        <w:t> citando las dificultades que debes superar, por ejemplo: un tema legal como cargos criminales, pelea de custodias, el rechazo del permiso de residencia…</w:t>
      </w:r>
    </w:p>
    <w:p w14:paraId="7D9EEBF7" w14:textId="77777777" w:rsidR="00FE353F" w:rsidRPr="00D66245" w:rsidRDefault="00FE353F" w:rsidP="006D3048">
      <w:pPr>
        <w:numPr>
          <w:ilvl w:val="0"/>
          <w:numId w:val="27"/>
        </w:numPr>
        <w:spacing w:after="0" w:line="264" w:lineRule="auto"/>
        <w:ind w:left="714" w:hanging="357"/>
        <w:jc w:val="both"/>
        <w:rPr>
          <w:rFonts w:ascii="Palatino Linotype" w:hAnsi="Palatino Linotype" w:cs="Times New Roman"/>
          <w:i/>
          <w:lang w:val="es-CR"/>
        </w:rPr>
      </w:pPr>
      <w:r w:rsidRPr="00D66245">
        <w:rPr>
          <w:rFonts w:ascii="Palatino Linotype" w:hAnsi="Palatino Linotype" w:cs="Times New Roman"/>
          <w:i/>
          <w:lang w:val="es-CR"/>
        </w:rPr>
        <w:t>Tu narrativa debe terminar con los personajes de tu historia </w:t>
      </w:r>
      <w:r w:rsidRPr="00D66245">
        <w:rPr>
          <w:rFonts w:ascii="Palatino Linotype" w:hAnsi="Palatino Linotype" w:cs="Times New Roman"/>
          <w:b/>
          <w:bCs/>
          <w:i/>
          <w:lang w:val="es-CR"/>
        </w:rPr>
        <w:t>superando el desafío o problema</w:t>
      </w:r>
      <w:r w:rsidRPr="00D66245">
        <w:rPr>
          <w:rFonts w:ascii="Palatino Linotype" w:hAnsi="Palatino Linotype" w:cs="Times New Roman"/>
          <w:i/>
          <w:lang w:val="es-CR"/>
        </w:rPr>
        <w:t>. Hay que proporcionar la solución a tu audiencia, especificando siempre que fue con tu ayuda.</w:t>
      </w:r>
    </w:p>
    <w:p w14:paraId="54CF5CF0" w14:textId="77777777" w:rsidR="00FE353F" w:rsidRPr="00D66245" w:rsidRDefault="00FE353F" w:rsidP="006D3048">
      <w:pPr>
        <w:numPr>
          <w:ilvl w:val="0"/>
          <w:numId w:val="27"/>
        </w:numPr>
        <w:spacing w:after="0" w:line="264" w:lineRule="auto"/>
        <w:ind w:left="714" w:hanging="357"/>
        <w:jc w:val="both"/>
        <w:rPr>
          <w:rFonts w:ascii="Palatino Linotype" w:hAnsi="Palatino Linotype" w:cs="Times New Roman"/>
          <w:i/>
          <w:lang w:val="es-CR"/>
        </w:rPr>
      </w:pPr>
      <w:r w:rsidRPr="00D66245">
        <w:rPr>
          <w:rFonts w:ascii="Palatino Linotype" w:hAnsi="Palatino Linotype" w:cs="Times New Roman"/>
          <w:b/>
          <w:bCs/>
          <w:i/>
          <w:lang w:val="es-CR"/>
        </w:rPr>
        <w:t>Proporciona esperanza</w:t>
      </w:r>
      <w:r w:rsidRPr="00D66245">
        <w:rPr>
          <w:rFonts w:ascii="Palatino Linotype" w:hAnsi="Palatino Linotype" w:cs="Times New Roman"/>
          <w:i/>
          <w:lang w:val="es-CR"/>
        </w:rPr>
        <w:t> y haz una llamada a la acción con el fin de empujar la emoción a una acción concreta: que te llamen pidiendo una cita, que te soliciten información…</w:t>
      </w:r>
      <w:r w:rsidRPr="00D66245">
        <w:rPr>
          <w:rStyle w:val="Refdenotaalpie"/>
          <w:rFonts w:ascii="Palatino Linotype" w:hAnsi="Palatino Linotype"/>
        </w:rPr>
        <w:footnoteReference w:id="32"/>
      </w:r>
    </w:p>
    <w:p w14:paraId="0E067626" w14:textId="2BE2EC34" w:rsidR="00FE353F" w:rsidRPr="00D66245" w:rsidRDefault="00FE353F" w:rsidP="006D3048">
      <w:pPr>
        <w:spacing w:before="120" w:after="200"/>
        <w:ind w:firstLine="360"/>
        <w:jc w:val="both"/>
        <w:rPr>
          <w:rFonts w:ascii="Palatino Linotype" w:hAnsi="Palatino Linotype" w:cs="Times New Roman"/>
        </w:rPr>
      </w:pPr>
      <w:r w:rsidRPr="00D66245">
        <w:rPr>
          <w:rFonts w:ascii="Palatino Linotype" w:hAnsi="Palatino Linotype" w:cs="Times New Roman"/>
          <w:lang w:val="es-CR"/>
        </w:rPr>
        <w:lastRenderedPageBreak/>
        <w:t>Adicional a lo descrito por Edmundo Pérez es importante también tener una guía d ellos elementos esenciales para contar esta historia dentro del mundo legal</w:t>
      </w:r>
    </w:p>
    <w:p w14:paraId="67228FCD" w14:textId="01C9B675" w:rsidR="008057F8" w:rsidRPr="00D66245" w:rsidRDefault="00D66245" w:rsidP="00FE353F">
      <w:pPr>
        <w:spacing w:before="120" w:after="200"/>
        <w:jc w:val="both"/>
        <w:rPr>
          <w:rFonts w:ascii="Palatino Linotype" w:hAnsi="Palatino Linotype" w:cs="Times New Roman"/>
        </w:rPr>
      </w:pPr>
      <w:r w:rsidRPr="00D66245">
        <w:rPr>
          <w:rFonts w:ascii="Palatino Linotype" w:hAnsi="Palatino Linotype" w:cs="Times New Roman"/>
          <w:noProof/>
        </w:rPr>
        <w:drawing>
          <wp:anchor distT="0" distB="0" distL="114300" distR="114300" simplePos="0" relativeHeight="251663360" behindDoc="1" locked="0" layoutInCell="1" allowOverlap="1" wp14:anchorId="246A3067" wp14:editId="66F70D1A">
            <wp:simplePos x="0" y="0"/>
            <wp:positionH relativeFrom="page">
              <wp:posOffset>1402081</wp:posOffset>
            </wp:positionH>
            <wp:positionV relativeFrom="paragraph">
              <wp:posOffset>-9398</wp:posOffset>
            </wp:positionV>
            <wp:extent cx="4632960" cy="425259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really-makes-a-good-story.png"/>
                    <pic:cNvPicPr/>
                  </pic:nvPicPr>
                  <pic:blipFill>
                    <a:blip r:embed="rId28">
                      <a:extLst>
                        <a:ext uri="{28A0092B-C50C-407E-A947-70E740481C1C}">
                          <a14:useLocalDpi xmlns:a14="http://schemas.microsoft.com/office/drawing/2010/main" val="0"/>
                        </a:ext>
                      </a:extLst>
                    </a:blip>
                    <a:stretch>
                      <a:fillRect/>
                    </a:stretch>
                  </pic:blipFill>
                  <pic:spPr>
                    <a:xfrm>
                      <a:off x="0" y="0"/>
                      <a:ext cx="4640320" cy="4259351"/>
                    </a:xfrm>
                    <a:prstGeom prst="rect">
                      <a:avLst/>
                    </a:prstGeom>
                  </pic:spPr>
                </pic:pic>
              </a:graphicData>
            </a:graphic>
            <wp14:sizeRelH relativeFrom="page">
              <wp14:pctWidth>0</wp14:pctWidth>
            </wp14:sizeRelH>
            <wp14:sizeRelV relativeFrom="page">
              <wp14:pctHeight>0</wp14:pctHeight>
            </wp14:sizeRelV>
          </wp:anchor>
        </w:drawing>
      </w:r>
    </w:p>
    <w:p w14:paraId="208B1836" w14:textId="40820C85" w:rsidR="00FE353F" w:rsidRPr="00D66245" w:rsidRDefault="00FE353F" w:rsidP="00FE353F">
      <w:pPr>
        <w:spacing w:before="120" w:after="200"/>
        <w:jc w:val="both"/>
        <w:rPr>
          <w:rFonts w:ascii="Palatino Linotype" w:hAnsi="Palatino Linotype" w:cs="Times New Roman"/>
        </w:rPr>
      </w:pPr>
    </w:p>
    <w:p w14:paraId="132CA232" w14:textId="0BEAAB1B" w:rsidR="00FE353F" w:rsidRPr="00D66245" w:rsidRDefault="00FE353F" w:rsidP="00FE353F">
      <w:pPr>
        <w:spacing w:before="120" w:after="200"/>
        <w:jc w:val="both"/>
        <w:rPr>
          <w:rFonts w:ascii="Palatino Linotype" w:hAnsi="Palatino Linotype" w:cs="Times New Roman"/>
        </w:rPr>
      </w:pPr>
    </w:p>
    <w:p w14:paraId="325702B9" w14:textId="77777777" w:rsidR="00FE353F" w:rsidRPr="00D66245" w:rsidRDefault="00FE353F" w:rsidP="00FE353F">
      <w:pPr>
        <w:spacing w:before="120" w:after="200"/>
        <w:jc w:val="both"/>
        <w:rPr>
          <w:rFonts w:ascii="Palatino Linotype" w:hAnsi="Palatino Linotype" w:cs="Times New Roman"/>
        </w:rPr>
      </w:pPr>
    </w:p>
    <w:p w14:paraId="4F1053A4" w14:textId="77777777" w:rsidR="00FE353F" w:rsidRPr="00D66245" w:rsidRDefault="00FE353F" w:rsidP="00FE353F">
      <w:pPr>
        <w:spacing w:before="120" w:after="200"/>
        <w:jc w:val="both"/>
        <w:rPr>
          <w:rFonts w:ascii="Palatino Linotype" w:hAnsi="Palatino Linotype" w:cs="Times New Roman"/>
        </w:rPr>
      </w:pPr>
    </w:p>
    <w:p w14:paraId="40658BA7" w14:textId="225784EB" w:rsidR="00FE353F" w:rsidRPr="00D66245" w:rsidRDefault="00FE353F" w:rsidP="00FE353F">
      <w:pPr>
        <w:spacing w:before="120" w:after="200"/>
        <w:jc w:val="both"/>
        <w:rPr>
          <w:rFonts w:ascii="Palatino Linotype" w:hAnsi="Palatino Linotype" w:cs="Times New Roman"/>
        </w:rPr>
      </w:pPr>
    </w:p>
    <w:p w14:paraId="12AB4DAD" w14:textId="781A1B55" w:rsidR="00FE353F" w:rsidRPr="00D66245" w:rsidRDefault="00FE353F" w:rsidP="00FE353F">
      <w:pPr>
        <w:spacing w:before="120" w:after="200"/>
        <w:jc w:val="both"/>
        <w:rPr>
          <w:rFonts w:ascii="Palatino Linotype" w:hAnsi="Palatino Linotype" w:cs="Times New Roman"/>
        </w:rPr>
      </w:pPr>
    </w:p>
    <w:p w14:paraId="50CFAEAD" w14:textId="4DD48EBC" w:rsidR="00FE353F" w:rsidRPr="00D66245" w:rsidRDefault="00FE353F" w:rsidP="00FE353F">
      <w:pPr>
        <w:spacing w:before="120" w:after="200"/>
        <w:jc w:val="both"/>
        <w:rPr>
          <w:rFonts w:ascii="Palatino Linotype" w:hAnsi="Palatino Linotype" w:cs="Times New Roman"/>
        </w:rPr>
      </w:pPr>
    </w:p>
    <w:p w14:paraId="40EF4557" w14:textId="77777777" w:rsidR="008057F8" w:rsidRPr="00D66245" w:rsidRDefault="008057F8" w:rsidP="006D3048">
      <w:pPr>
        <w:spacing w:before="120" w:after="200"/>
        <w:ind w:firstLine="708"/>
        <w:jc w:val="both"/>
        <w:rPr>
          <w:rFonts w:ascii="Palatino Linotype" w:hAnsi="Palatino Linotype" w:cs="Times New Roman"/>
        </w:rPr>
      </w:pPr>
    </w:p>
    <w:p w14:paraId="357B5E35" w14:textId="77777777" w:rsidR="00D66245" w:rsidRDefault="00D66245" w:rsidP="006D3048">
      <w:pPr>
        <w:spacing w:before="120" w:after="200"/>
        <w:ind w:firstLine="708"/>
        <w:jc w:val="both"/>
        <w:rPr>
          <w:rFonts w:ascii="Palatino Linotype" w:hAnsi="Palatino Linotype" w:cs="Times New Roman"/>
        </w:rPr>
      </w:pPr>
    </w:p>
    <w:p w14:paraId="3A6C39A7" w14:textId="77777777" w:rsidR="00D66245" w:rsidRDefault="00D66245" w:rsidP="006D3048">
      <w:pPr>
        <w:spacing w:before="120" w:after="200"/>
        <w:ind w:firstLine="708"/>
        <w:jc w:val="both"/>
        <w:rPr>
          <w:rFonts w:ascii="Palatino Linotype" w:hAnsi="Palatino Linotype" w:cs="Times New Roman"/>
        </w:rPr>
      </w:pPr>
    </w:p>
    <w:p w14:paraId="63C0276E" w14:textId="77777777" w:rsidR="00D66245" w:rsidRDefault="00D66245" w:rsidP="006D3048">
      <w:pPr>
        <w:spacing w:before="120" w:after="200"/>
        <w:ind w:firstLine="708"/>
        <w:jc w:val="both"/>
        <w:rPr>
          <w:rFonts w:ascii="Palatino Linotype" w:hAnsi="Palatino Linotype" w:cs="Times New Roman"/>
        </w:rPr>
      </w:pPr>
    </w:p>
    <w:p w14:paraId="1AA76148" w14:textId="77777777" w:rsidR="00D66245" w:rsidRDefault="00D66245" w:rsidP="006D3048">
      <w:pPr>
        <w:spacing w:before="120" w:after="200"/>
        <w:ind w:firstLine="708"/>
        <w:jc w:val="both"/>
        <w:rPr>
          <w:rFonts w:ascii="Palatino Linotype" w:hAnsi="Palatino Linotype" w:cs="Times New Roman"/>
        </w:rPr>
      </w:pPr>
    </w:p>
    <w:p w14:paraId="7CC9ACF7" w14:textId="77777777" w:rsidR="00D66245" w:rsidRPr="00D66245" w:rsidRDefault="00D66245" w:rsidP="00D66245">
      <w:pPr>
        <w:spacing w:before="120" w:after="200"/>
        <w:jc w:val="both"/>
        <w:rPr>
          <w:rFonts w:ascii="Palatino Linotype" w:hAnsi="Palatino Linotype" w:cs="Times New Roman"/>
          <w:vertAlign w:val="superscript"/>
        </w:rPr>
      </w:pPr>
      <w:r w:rsidRPr="00D66245">
        <w:rPr>
          <w:rStyle w:val="Refdenotaalpie"/>
          <w:rFonts w:ascii="Palatino Linotype" w:hAnsi="Palatino Linotype" w:cs="Times New Roman"/>
        </w:rPr>
        <w:footnoteReference w:id="33"/>
      </w:r>
    </w:p>
    <w:p w14:paraId="0568572F" w14:textId="19616985" w:rsidR="00FE353F" w:rsidRPr="00D66245" w:rsidRDefault="00FE353F" w:rsidP="006D3048">
      <w:pPr>
        <w:spacing w:before="120" w:after="200"/>
        <w:ind w:firstLine="708"/>
        <w:jc w:val="both"/>
        <w:rPr>
          <w:rFonts w:ascii="Palatino Linotype" w:hAnsi="Palatino Linotype" w:cs="Times New Roman"/>
        </w:rPr>
      </w:pPr>
      <w:r w:rsidRPr="00D66245">
        <w:rPr>
          <w:rFonts w:ascii="Palatino Linotype" w:hAnsi="Palatino Linotype" w:cs="Times New Roman"/>
        </w:rPr>
        <w:t xml:space="preserve">LA CONFIANZA EN EL CONTADOR DE HISTORIAS: Este punto que se refleja en la imagen, es la confianza que usted como abogado se va a ganar en la audiencia si sigue algunos de los puntos que hemos </w:t>
      </w:r>
      <w:r w:rsidRPr="00D66245">
        <w:rPr>
          <w:rFonts w:ascii="Palatino Linotype" w:hAnsi="Palatino Linotype" w:cs="Times New Roman"/>
        </w:rPr>
        <w:lastRenderedPageBreak/>
        <w:t>recomendado, además claro de haber estudiado el caso y conocerlo, la seguridad con la que usted realice esta presentación le dará credibilidad sin lugar a dudas.</w:t>
      </w:r>
    </w:p>
    <w:p w14:paraId="0EE55D60" w14:textId="77777777" w:rsidR="00FE353F" w:rsidRPr="00D66245" w:rsidRDefault="00FE353F" w:rsidP="006D3048">
      <w:pPr>
        <w:spacing w:before="120" w:after="200"/>
        <w:ind w:firstLine="708"/>
        <w:jc w:val="both"/>
        <w:rPr>
          <w:rFonts w:ascii="Palatino Linotype" w:hAnsi="Palatino Linotype" w:cs="Times New Roman"/>
        </w:rPr>
      </w:pPr>
      <w:r w:rsidRPr="00D66245">
        <w:rPr>
          <w:rFonts w:ascii="Palatino Linotype" w:hAnsi="Palatino Linotype" w:cs="Times New Roman"/>
        </w:rPr>
        <w:t>DRAMA: Como abogados tenemos que ser también excelentes actores, y EL DRAMA no debe faltar, debemos hacer ver al juez o jueces la problemática en la que está metido nuestro cliente, el daño y perjuicio ocasionado, además de las situaciones que se han desencadenado dado a lo grave de la situación que tienen nuestro representado (sin perder el norte del caso).</w:t>
      </w:r>
    </w:p>
    <w:p w14:paraId="103BE14D" w14:textId="77777777" w:rsidR="00FE353F" w:rsidRPr="00D66245" w:rsidRDefault="00FE353F" w:rsidP="006D3048">
      <w:pPr>
        <w:spacing w:before="120" w:after="200"/>
        <w:ind w:firstLine="708"/>
        <w:jc w:val="both"/>
        <w:rPr>
          <w:rFonts w:ascii="Palatino Linotype" w:hAnsi="Palatino Linotype" w:cs="Times New Roman"/>
        </w:rPr>
      </w:pPr>
      <w:r w:rsidRPr="00D66245">
        <w:rPr>
          <w:rFonts w:ascii="Palatino Linotype" w:hAnsi="Palatino Linotype" w:cs="Times New Roman"/>
        </w:rPr>
        <w:t>FACILIDAD DE IDENTIFICACIÓN Y (RELATABILITY) AMIGABILIDAD: Se debe tener un equilibrio con la manera de como “vender” mi idea, por ende debe buscar aspectos que sean identificables para todos y entre más identificable sea mayor relación va a crear con las personas y mayor identificación con el asunto van a tener los receptores, de manera tal que buscando, el mensaje tiene que ser empático, amigable,  pero sin dejar de lado cuando debe ponerse énfasis en un punto que requiera ser vehemente, la “relatability” implica que entre más personas se identifiquen con la historia, mayor cantidad de personas serán persuadidas.</w:t>
      </w:r>
    </w:p>
    <w:p w14:paraId="643F0E01" w14:textId="77777777" w:rsidR="00FE353F" w:rsidRPr="00D66245" w:rsidRDefault="00FE353F" w:rsidP="006D3048">
      <w:pPr>
        <w:spacing w:before="120" w:after="200"/>
        <w:ind w:firstLine="708"/>
        <w:jc w:val="both"/>
        <w:rPr>
          <w:rFonts w:ascii="Palatino Linotype" w:hAnsi="Palatino Linotype" w:cs="Times New Roman"/>
        </w:rPr>
      </w:pPr>
      <w:r w:rsidRPr="00D66245">
        <w:rPr>
          <w:rFonts w:ascii="Palatino Linotype" w:hAnsi="Palatino Linotype" w:cs="Times New Roman"/>
        </w:rPr>
        <w:t xml:space="preserve">SIMPLICIDAD: Para explicar este punto primero debe entenderse que los abogados a veces tendemos a ser muy técnicos y nos vamos de lleno a las normas y aspectos que son importantes, pero a veces hay que dejar ese aspecto y procurar simplificar lo que se debe decir y sintetizarlo, dado que debemos captar la atención con aspectos de fácil comprensión, sin dejar el equilibrio con lo técnico, y adecuándonos al tiempo brindado, para muestra un congreso como en el que estamos presentes tenemos máximo 25 minutos para nuestra presentación y 15 minutos en otros países, por lo tanto debemos ser simples, eficientes y eficaces, </w:t>
      </w:r>
      <w:r w:rsidRPr="00D66245">
        <w:rPr>
          <w:rFonts w:ascii="Palatino Linotype" w:hAnsi="Palatino Linotype" w:cs="Times New Roman"/>
          <w:i/>
        </w:rPr>
        <w:t xml:space="preserve">“hay ejemplos interesantes de cómo se pueden hacer cosas en períodos cortos. Las famosas charlas TED, unas conferencias de gran prestigio donde los ponentes presentan sus ideas de ámbitos que van de la literatura africana a los robots, duran un máximo de 18 minutos. Las charlas Naukas Bilbao, el principal evento de divulgación científica en español, duran diez minutos. Las presentaciones en el formato PechaKucha, iniciado en Tokio en 2003 y extendido por todo el mundo, se hacen usando una proyección automática con 20 diapositivas </w:t>
      </w:r>
      <w:r w:rsidRPr="00D66245">
        <w:rPr>
          <w:rFonts w:ascii="Palatino Linotype" w:hAnsi="Palatino Linotype" w:cs="Times New Roman"/>
          <w:i/>
        </w:rPr>
        <w:lastRenderedPageBreak/>
        <w:t>mostradas durante 20 segundos cada una, un total de 6 minutos y 40 segundos. Es la nueva economía de la información en un mundo saturado de estímulos: 140 caracteres como máximo en Twitter y 15 minutos como máximo en YouTube, con una tolerancia extra de 59 segundos de grabación. Todos estos modelos de transferencia de información se basan en un criterio común: que es tiempo suficiente para pasar una información básica útil y adecuadamente corto para mantener el interés y la atención de la audiencia.”</w:t>
      </w:r>
      <w:r w:rsidRPr="00D66245">
        <w:rPr>
          <w:rStyle w:val="Refdenotaalpie"/>
          <w:rFonts w:ascii="Palatino Linotype" w:hAnsi="Palatino Linotype" w:cs="Times New Roman"/>
          <w:i/>
        </w:rPr>
        <w:footnoteReference w:id="34"/>
      </w:r>
      <w:r w:rsidRPr="00D66245">
        <w:rPr>
          <w:rFonts w:ascii="Palatino Linotype" w:hAnsi="Palatino Linotype" w:cs="Times New Roman"/>
        </w:rPr>
        <w:t>, la simplicidad ayuda a que las personas lleguen de manera sencilla a la conclusión que usted pretende lograr.</w:t>
      </w:r>
    </w:p>
    <w:p w14:paraId="62091DB2" w14:textId="77777777" w:rsidR="00FE353F" w:rsidRPr="00D66245" w:rsidRDefault="00FE353F" w:rsidP="006D3048">
      <w:pPr>
        <w:spacing w:before="120" w:after="200"/>
        <w:ind w:firstLine="708"/>
        <w:jc w:val="both"/>
        <w:rPr>
          <w:rFonts w:ascii="Palatino Linotype" w:hAnsi="Palatino Linotype" w:cs="Times New Roman"/>
        </w:rPr>
      </w:pPr>
      <w:r w:rsidRPr="00D66245">
        <w:rPr>
          <w:rFonts w:ascii="Palatino Linotype" w:hAnsi="Palatino Linotype" w:cs="Times New Roman"/>
        </w:rPr>
        <w:t xml:space="preserve">FAMILIARIDAD: Acá mi consejo es USE LAS PLANTILLAS O GUÍAS GENERALES que han sido exitosas en los últimos tiempos (como los ejemplos de las imágenes colocadas en la presente memoria), esto le ayuda a en primer término tener una guía y en segundo término que la persona se sienta familiarizada con la manera de como esta contada la historia, </w:t>
      </w:r>
      <w:r w:rsidRPr="00D66245">
        <w:rPr>
          <w:rFonts w:ascii="Palatino Linotype" w:hAnsi="Palatino Linotype" w:cs="Times New Roman"/>
          <w:i/>
        </w:rPr>
        <w:t>“los investigadores han descubierto que cuanto más familiar se siente una historia, más poderosa es. Las historias que más nos deleitan a menudo se basan en plantillas antiguas. Si su ambición es contar una "nueva" historia, tenga en cuenta que, si es </w:t>
      </w:r>
      <w:r w:rsidRPr="00D66245">
        <w:rPr>
          <w:rFonts w:ascii="Palatino Linotype" w:hAnsi="Palatino Linotype" w:cs="Times New Roman"/>
          <w:i/>
          <w:iCs/>
        </w:rPr>
        <w:t>demasiado</w:t>
      </w:r>
      <w:r w:rsidRPr="00D66245">
        <w:rPr>
          <w:rFonts w:ascii="Palatino Linotype" w:hAnsi="Palatino Linotype" w:cs="Times New Roman"/>
          <w:i/>
        </w:rPr>
        <w:t> original, hasta el punto de lo extraño, el público puede estar confundido o rechazado en lugar de intrigado.”</w:t>
      </w:r>
      <w:r w:rsidRPr="00D66245">
        <w:rPr>
          <w:rStyle w:val="Refdenotaalpie"/>
          <w:rFonts w:ascii="Palatino Linotype" w:hAnsi="Palatino Linotype" w:cs="Times New Roman"/>
          <w:i/>
        </w:rPr>
        <w:footnoteReference w:id="35"/>
      </w:r>
    </w:p>
    <w:p w14:paraId="12C50DA2" w14:textId="77777777" w:rsidR="00FE353F" w:rsidRPr="00D66245" w:rsidRDefault="00FE353F" w:rsidP="006D3048">
      <w:pPr>
        <w:spacing w:before="120" w:after="200"/>
        <w:ind w:firstLine="708"/>
        <w:jc w:val="both"/>
        <w:rPr>
          <w:rFonts w:ascii="Palatino Linotype" w:hAnsi="Palatino Linotype"/>
          <w:lang w:val="es-CR"/>
        </w:rPr>
      </w:pPr>
      <w:r w:rsidRPr="00D66245">
        <w:rPr>
          <w:rFonts w:ascii="Palatino Linotype" w:hAnsi="Palatino Linotype" w:cs="Times New Roman"/>
        </w:rPr>
        <w:t>INMERSIÓN:</w:t>
      </w:r>
      <w:r w:rsidRPr="00D66245">
        <w:rPr>
          <w:rFonts w:ascii="Palatino Linotype" w:eastAsia="Times New Roman" w:hAnsi="Palatino Linotype" w:cs="Times New Roman"/>
          <w:lang w:val="es-CR" w:eastAsia="es-CR"/>
        </w:rPr>
        <w:t xml:space="preserve"> </w:t>
      </w:r>
      <w:r w:rsidRPr="00D66245">
        <w:rPr>
          <w:rFonts w:ascii="Palatino Linotype" w:hAnsi="Palatino Linotype"/>
          <w:lang w:val="es-CR"/>
        </w:rPr>
        <w:t xml:space="preserve">La inmersión va de la mano con el drama, la simplicidad y la familiaridad. Los expertos en storytelling indican que cuando nos sumergimos en una historia, esto se debe a qué no precisamente nos quedamos con los detalles si no que hay algo más que nos atrae, preguntas o aspectos técnicos que hacen captar la atención del ¿Cómo? ¿Cuándo? ¿Dónde? , una manera de como explican en ABC Copyright la manera que el autor Ted Hughes inicia la introducción del texto El Hombre de Hierro: </w:t>
      </w:r>
    </w:p>
    <w:p w14:paraId="2CA8BCC5" w14:textId="77777777" w:rsidR="00FE353F" w:rsidRPr="00D66245" w:rsidRDefault="00FE353F" w:rsidP="006D3048">
      <w:pPr>
        <w:spacing w:before="120" w:after="200"/>
        <w:ind w:firstLine="708"/>
        <w:jc w:val="both"/>
        <w:rPr>
          <w:rFonts w:ascii="Palatino Linotype" w:hAnsi="Palatino Linotype" w:cs="Times New Roman"/>
          <w:i/>
          <w:lang w:val="es-CR"/>
        </w:rPr>
      </w:pPr>
      <w:r w:rsidRPr="00D66245">
        <w:rPr>
          <w:rFonts w:ascii="Palatino Linotype" w:hAnsi="Palatino Linotype" w:cs="Times New Roman"/>
          <w:i/>
          <w:lang w:val="es-CR"/>
        </w:rPr>
        <w:t>Aquí está el inicio de </w:t>
      </w:r>
      <w:r w:rsidRPr="00D66245">
        <w:rPr>
          <w:rFonts w:ascii="Palatino Linotype" w:hAnsi="Palatino Linotype" w:cs="Times New Roman"/>
          <w:i/>
          <w:iCs/>
          <w:lang w:val="es-CR"/>
        </w:rPr>
        <w:t>The Iron Man</w:t>
      </w:r>
      <w:r w:rsidRPr="00D66245">
        <w:rPr>
          <w:rFonts w:ascii="Palatino Linotype" w:hAnsi="Palatino Linotype" w:cs="Times New Roman"/>
          <w:i/>
          <w:lang w:val="es-CR"/>
        </w:rPr>
        <w:t> de Ted Hughes, una de las mejores aperturas de una historia que he leído.</w:t>
      </w:r>
    </w:p>
    <w:p w14:paraId="605E9EE4" w14:textId="77777777" w:rsidR="00FE353F" w:rsidRPr="00D66245" w:rsidRDefault="00FE353F" w:rsidP="006D3048">
      <w:pPr>
        <w:spacing w:before="120" w:after="200"/>
        <w:ind w:firstLine="708"/>
        <w:jc w:val="both"/>
        <w:rPr>
          <w:rFonts w:ascii="Palatino Linotype" w:hAnsi="Palatino Linotype" w:cs="Times New Roman"/>
          <w:i/>
          <w:lang w:val="es-CR"/>
        </w:rPr>
      </w:pPr>
      <w:r w:rsidRPr="00D66245">
        <w:rPr>
          <w:rFonts w:ascii="Palatino Linotype" w:hAnsi="Palatino Linotype" w:cs="Times New Roman"/>
          <w:i/>
          <w:lang w:val="es-CR"/>
        </w:rPr>
        <w:lastRenderedPageBreak/>
        <w:t>El Hombre de Hierro llegó a la cima del acantilado.</w:t>
      </w:r>
    </w:p>
    <w:p w14:paraId="29027C0D" w14:textId="77777777" w:rsidR="00FE353F" w:rsidRPr="00D66245" w:rsidRDefault="00FE353F" w:rsidP="006D3048">
      <w:pPr>
        <w:spacing w:before="120" w:after="200"/>
        <w:ind w:firstLine="708"/>
        <w:jc w:val="both"/>
        <w:rPr>
          <w:rFonts w:ascii="Palatino Linotype" w:hAnsi="Palatino Linotype" w:cs="Times New Roman"/>
          <w:i/>
          <w:lang w:val="es-CR"/>
        </w:rPr>
      </w:pPr>
      <w:r w:rsidRPr="00D66245">
        <w:rPr>
          <w:rFonts w:ascii="Palatino Linotype" w:hAnsi="Palatino Linotype" w:cs="Times New Roman"/>
          <w:i/>
          <w:lang w:val="es-CR"/>
        </w:rPr>
        <w:t>¿Hasta dónde había caminado? Nadie lo sabe. ¿De dónde había salido? Nadie lo sabe. ¿Cómo se hizo? Nadie lo sabe.</w:t>
      </w:r>
    </w:p>
    <w:p w14:paraId="5F5DD5CA" w14:textId="77777777" w:rsidR="00FE353F" w:rsidRPr="00D66245" w:rsidRDefault="00FE353F" w:rsidP="006D3048">
      <w:pPr>
        <w:spacing w:before="120" w:after="200"/>
        <w:ind w:firstLine="708"/>
        <w:jc w:val="both"/>
        <w:rPr>
          <w:rFonts w:ascii="Palatino Linotype" w:hAnsi="Palatino Linotype" w:cs="Times New Roman"/>
          <w:i/>
          <w:lang w:val="es-CR"/>
        </w:rPr>
      </w:pPr>
      <w:r w:rsidRPr="00D66245">
        <w:rPr>
          <w:rFonts w:ascii="Palatino Linotype" w:hAnsi="Palatino Linotype" w:cs="Times New Roman"/>
          <w:i/>
          <w:lang w:val="es-CR"/>
        </w:rPr>
        <w:t>Más alto que una casa, el Hombre de Hierro estaba en la cima del acantilado, al borde, en la oscuridad.</w:t>
      </w:r>
    </w:p>
    <w:p w14:paraId="2DDF82C5" w14:textId="77777777" w:rsidR="00FE353F" w:rsidRPr="00D66245" w:rsidRDefault="00FE353F" w:rsidP="006D3048">
      <w:pPr>
        <w:spacing w:before="120" w:after="200"/>
        <w:ind w:firstLine="709"/>
        <w:jc w:val="both"/>
        <w:rPr>
          <w:rFonts w:ascii="Palatino Linotype" w:hAnsi="Palatino Linotype" w:cs="Times New Roman"/>
          <w:i/>
          <w:lang w:val="es-CR"/>
        </w:rPr>
      </w:pPr>
      <w:r w:rsidRPr="00D66245">
        <w:rPr>
          <w:rFonts w:ascii="Palatino Linotype" w:hAnsi="Palatino Linotype" w:cs="Times New Roman"/>
          <w:i/>
          <w:lang w:val="es-CR"/>
        </w:rPr>
        <w:t>Usando solo los trazos más simples y un ritmo hipnótico y cautivador, Hughes evoca de manera instantánea un profundo misterio y presentimiento, lo que nos hace querer salir del precipicio junto con el Hombre de Hierro.</w:t>
      </w:r>
      <w:r w:rsidRPr="00D66245">
        <w:rPr>
          <w:rStyle w:val="Refdenotaalpie"/>
          <w:rFonts w:ascii="Palatino Linotype" w:hAnsi="Palatino Linotype" w:cs="Times New Roman"/>
          <w:i/>
          <w:lang w:val="es-CR"/>
        </w:rPr>
        <w:footnoteReference w:id="36"/>
      </w:r>
    </w:p>
    <w:p w14:paraId="72A897FB" w14:textId="77777777" w:rsidR="00FE353F" w:rsidRPr="00D66245" w:rsidRDefault="00FE353F" w:rsidP="006D3048">
      <w:pPr>
        <w:spacing w:before="120" w:after="200"/>
        <w:ind w:firstLine="709"/>
        <w:jc w:val="both"/>
        <w:rPr>
          <w:rFonts w:ascii="Palatino Linotype" w:hAnsi="Palatino Linotype" w:cs="Times New Roman"/>
          <w:b/>
          <w:bCs/>
          <w:lang w:val="es-CR"/>
        </w:rPr>
      </w:pPr>
      <w:r w:rsidRPr="00D66245">
        <w:rPr>
          <w:rFonts w:ascii="Palatino Linotype" w:hAnsi="Palatino Linotype" w:cs="Times New Roman"/>
        </w:rPr>
        <w:t>AGENCIA:</w:t>
      </w:r>
      <w:r w:rsidRPr="00D66245">
        <w:rPr>
          <w:rFonts w:ascii="Palatino Linotype" w:eastAsia="Times New Roman" w:hAnsi="Palatino Linotype" w:cs="Times New Roman"/>
          <w:b/>
          <w:bCs/>
          <w:lang w:val="es-CR" w:eastAsia="es-CR"/>
        </w:rPr>
        <w:t xml:space="preserve"> </w:t>
      </w:r>
      <w:r w:rsidRPr="00D66245">
        <w:rPr>
          <w:rFonts w:ascii="Palatino Linotype" w:hAnsi="Palatino Linotype" w:cs="Times New Roman"/>
          <w:b/>
          <w:bCs/>
          <w:i/>
          <w:lang w:val="es-CR"/>
        </w:rPr>
        <w:t>Las historias son más persuasivas cuando los lectores descubren su significado por sí mismos.</w:t>
      </w:r>
    </w:p>
    <w:p w14:paraId="48DB5EE9" w14:textId="77777777" w:rsidR="00FE353F" w:rsidRPr="00D66245" w:rsidRDefault="00FE353F" w:rsidP="006D3048">
      <w:pPr>
        <w:spacing w:before="120" w:after="200"/>
        <w:ind w:firstLine="709"/>
        <w:jc w:val="both"/>
        <w:rPr>
          <w:rFonts w:ascii="Palatino Linotype" w:hAnsi="Palatino Linotype" w:cs="Times New Roman"/>
          <w:bCs/>
          <w:lang w:val="es-CR"/>
        </w:rPr>
      </w:pPr>
      <w:r w:rsidRPr="00D66245">
        <w:rPr>
          <w:rFonts w:ascii="Palatino Linotype" w:hAnsi="Palatino Linotype" w:cs="Times New Roman"/>
          <w:bCs/>
          <w:lang w:val="es-CR"/>
        </w:rPr>
        <w:t xml:space="preserve">“Ustedes señores del tribunal son los que tienen la última palabra…”, “Es así señor juez como usted podrá identificar que mi cliente lleva razón…”, “No dudo que este respetable tribunal cuente ya con los elementos necesarios para dar razón a lo concluido por el suscrito…” estos son solo algunos ejemplos de frases que podrían usarse para procurar convencer a un juez o al tribunal para </w:t>
      </w:r>
    </w:p>
    <w:p w14:paraId="22D4EBAF" w14:textId="77777777" w:rsidR="00FE353F" w:rsidRPr="00D66245" w:rsidRDefault="00FE353F" w:rsidP="006D3048">
      <w:pPr>
        <w:spacing w:before="120" w:after="200"/>
        <w:ind w:firstLine="709"/>
        <w:jc w:val="both"/>
        <w:rPr>
          <w:rFonts w:ascii="Palatino Linotype" w:hAnsi="Palatino Linotype" w:cs="Times New Roman"/>
          <w:i/>
          <w:lang w:val="es-CR"/>
        </w:rPr>
      </w:pPr>
      <w:r w:rsidRPr="00D66245">
        <w:rPr>
          <w:rFonts w:ascii="Palatino Linotype" w:hAnsi="Palatino Linotype" w:cs="Times New Roman"/>
          <w:i/>
          <w:lang w:val="es-CR"/>
        </w:rPr>
        <w:t>Los investigadores han descubierto que las historias no son persuasivas si la "moral" se hace demasiado explícita. En otras palabras, a pesar de que una historia puede seguir un formato totalmente familiar, todavía queremos desentrañar su significado para nosotros mismos.</w:t>
      </w:r>
    </w:p>
    <w:p w14:paraId="5D6266A6" w14:textId="77777777" w:rsidR="00FE353F" w:rsidRPr="00D66245" w:rsidRDefault="00FE353F" w:rsidP="006D3048">
      <w:pPr>
        <w:spacing w:before="120" w:after="200"/>
        <w:ind w:firstLine="709"/>
        <w:jc w:val="both"/>
        <w:rPr>
          <w:rFonts w:ascii="Palatino Linotype" w:hAnsi="Palatino Linotype" w:cs="Times New Roman"/>
          <w:lang w:val="es-CR"/>
        </w:rPr>
      </w:pPr>
      <w:r w:rsidRPr="00D66245">
        <w:rPr>
          <w:rFonts w:ascii="Palatino Linotype" w:hAnsi="Palatino Linotype" w:cs="Times New Roman"/>
          <w:i/>
          <w:lang w:val="es-CR"/>
        </w:rPr>
        <w:t>Esto es paralelo al conocido principio publicitario de ' mostrar, no digas '. Cuando usas historias para persuadir, es mejor dejar algunos huecos y dejar que la audiencia se una a los puntos. Esto los atrae, los hace sentir inteligentes y refuerza sus sentimientos positivos sobre la historia y su marca.</w:t>
      </w:r>
      <w:r w:rsidRPr="00D66245">
        <w:rPr>
          <w:rStyle w:val="Refdenotaalpie"/>
          <w:rFonts w:ascii="Palatino Linotype" w:hAnsi="Palatino Linotype" w:cs="Times New Roman"/>
          <w:i/>
          <w:lang w:val="es-CR"/>
        </w:rPr>
        <w:footnoteReference w:id="37"/>
      </w:r>
    </w:p>
    <w:p w14:paraId="2308D27C" w14:textId="77777777" w:rsidR="00FE353F" w:rsidRPr="00D66245" w:rsidRDefault="00FE353F" w:rsidP="006D3048">
      <w:pPr>
        <w:pStyle w:val="Ttulo2"/>
        <w:spacing w:before="120" w:after="200"/>
        <w:jc w:val="both"/>
        <w:rPr>
          <w:rFonts w:ascii="Palatino Linotype" w:hAnsi="Palatino Linotype" w:cs="Times New Roman"/>
          <w:b/>
          <w:color w:val="auto"/>
          <w:sz w:val="22"/>
          <w:szCs w:val="22"/>
        </w:rPr>
      </w:pPr>
      <w:r w:rsidRPr="00D66245">
        <w:rPr>
          <w:rFonts w:ascii="Palatino Linotype" w:hAnsi="Palatino Linotype" w:cs="Times New Roman"/>
          <w:b/>
          <w:color w:val="auto"/>
          <w:sz w:val="22"/>
          <w:szCs w:val="22"/>
        </w:rPr>
        <w:t>CONCLUSIÓN</w:t>
      </w:r>
    </w:p>
    <w:p w14:paraId="237D5CA1" w14:textId="77777777" w:rsidR="00C11F9F" w:rsidRDefault="00FE353F" w:rsidP="00C11F9F">
      <w:pPr>
        <w:spacing w:before="120" w:after="200"/>
        <w:ind w:firstLine="708"/>
        <w:jc w:val="both"/>
        <w:rPr>
          <w:rFonts w:ascii="Palatino Linotype" w:hAnsi="Palatino Linotype"/>
          <w:lang w:val="es-CR"/>
        </w:rPr>
        <w:sectPr w:rsidR="00C11F9F" w:rsidSect="00BA1B42">
          <w:headerReference w:type="even" r:id="rId29"/>
          <w:headerReference w:type="default" r:id="rId30"/>
          <w:footerReference w:type="even" r:id="rId31"/>
          <w:footerReference w:type="default" r:id="rId32"/>
          <w:headerReference w:type="first" r:id="rId33"/>
          <w:type w:val="nextColumn"/>
          <w:pgSz w:w="12242" w:h="15842" w:code="1"/>
          <w:pgMar w:top="1474" w:right="2098" w:bottom="1021" w:left="2778" w:header="851" w:footer="2835" w:gutter="0"/>
          <w:cols w:space="708"/>
          <w:titlePg/>
          <w:docGrid w:linePitch="360"/>
        </w:sectPr>
      </w:pPr>
      <w:r w:rsidRPr="00D66245">
        <w:rPr>
          <w:rFonts w:ascii="Palatino Linotype" w:hAnsi="Palatino Linotype"/>
        </w:rPr>
        <w:t xml:space="preserve">Ha sido un privilegio compartir esta memoria con usted, y espero le sea muy funcional la información brindada que procuré sintetizar de la </w:t>
      </w:r>
      <w:r w:rsidRPr="00D66245">
        <w:rPr>
          <w:rFonts w:ascii="Palatino Linotype" w:hAnsi="Palatino Linotype"/>
        </w:rPr>
        <w:lastRenderedPageBreak/>
        <w:t>manera más adecuada posible, así mismo espero le ayude darse cuenta que los abogados somos LOS MAS GRANDES CONTADORES DE HISTORIAS DE TODOS LOS TIEMPOS, y está en nosotros como abogados explotar este arte, para mi tesis doctoral escribí una frase que hoy hago una adaptación “</w:t>
      </w:r>
      <w:r w:rsidRPr="00D66245">
        <w:rPr>
          <w:rFonts w:ascii="Palatino Linotype" w:hAnsi="Palatino Linotype"/>
          <w:lang w:val="es-CR"/>
        </w:rPr>
        <w:t xml:space="preserve">Los abogados somos agentes de cambio, y está en nuestras manos hacer arte con ciencia y ponerla en la práctica para el bien común.”, pienso y es probable que siga pensando que tenemos una profesión que la oficina nuestra no esta en un lugar físico, está en nuestra cabeza y aún cuando físicamente no estamos en la oficina llevamos el caso para resolverlo o encontrar la manera de como encontrar la respuesta, pero herramientas como el Storytelling pueden servirle para que su caso sea más “digerible” para el tribunal y para usted, espero a futuro seguir escribiendo y desarrollando este tema dejando un granito de arena en temas que son poco explorados por los abogados en este inmenso Océano del conocimiento y del saber de lo que es el Derecho. </w:t>
      </w:r>
      <w:bookmarkStart w:id="7" w:name="_Hlk8652374"/>
    </w:p>
    <w:p w14:paraId="23CD0860" w14:textId="6DFD24E5" w:rsidR="00C4535F" w:rsidRDefault="00C4535F" w:rsidP="00C11F9F">
      <w:pPr>
        <w:spacing w:before="120" w:after="200"/>
        <w:ind w:firstLine="708"/>
        <w:jc w:val="both"/>
        <w:rPr>
          <w:rFonts w:ascii="Palatino Linotype" w:eastAsia="Times New Roman" w:hAnsi="Palatino Linotype" w:cs="Times New Roman"/>
          <w:b/>
          <w:bCs/>
          <w:lang w:val="es-CR"/>
        </w:rPr>
      </w:pPr>
    </w:p>
    <w:p w14:paraId="5E9EB681" w14:textId="27F958B6" w:rsidR="006D3048" w:rsidRPr="00D66245" w:rsidRDefault="006D3048" w:rsidP="006D3048">
      <w:pPr>
        <w:spacing w:before="120" w:after="200"/>
        <w:jc w:val="center"/>
        <w:rPr>
          <w:rFonts w:ascii="Palatino Linotype" w:eastAsia="Times New Roman" w:hAnsi="Palatino Linotype" w:cs="Times New Roman"/>
          <w:b/>
          <w:bCs/>
          <w:lang w:val="es-CR"/>
        </w:rPr>
      </w:pPr>
      <w:r w:rsidRPr="00D66245">
        <w:rPr>
          <w:rFonts w:ascii="Palatino Linotype" w:eastAsia="Times New Roman" w:hAnsi="Palatino Linotype" w:cs="Times New Roman"/>
          <w:b/>
          <w:bCs/>
          <w:lang w:val="es-CR"/>
        </w:rPr>
        <w:t>NUEVAS MEDIDAS CAUTELARES TÍPICAS EN EL NUEVO CÓDIGO PROCESAL CIVIL</w:t>
      </w:r>
    </w:p>
    <w:p w14:paraId="002E29F8" w14:textId="77777777" w:rsidR="006D3048" w:rsidRPr="00D66245" w:rsidRDefault="006D3048" w:rsidP="006D3048">
      <w:pPr>
        <w:spacing w:before="120" w:after="200"/>
        <w:jc w:val="right"/>
        <w:rPr>
          <w:rFonts w:ascii="Palatino Linotype" w:eastAsia="Times New Roman" w:hAnsi="Palatino Linotype" w:cs="Times New Roman"/>
          <w:b/>
          <w:bCs/>
          <w:lang w:val="es-CR"/>
        </w:rPr>
      </w:pPr>
      <w:r w:rsidRPr="00D66245">
        <w:rPr>
          <w:rFonts w:ascii="Palatino Linotype" w:eastAsia="Times New Roman" w:hAnsi="Palatino Linotype" w:cs="Times New Roman"/>
          <w:b/>
          <w:lang w:val="es-CR"/>
        </w:rPr>
        <w:t>Dr. Carlos Adolfo Picado Vargas</w:t>
      </w:r>
      <w:bookmarkEnd w:id="7"/>
      <w:r w:rsidRPr="00D66245">
        <w:rPr>
          <w:rFonts w:ascii="Palatino Linotype" w:eastAsia="Times New Roman" w:hAnsi="Palatino Linotype" w:cs="Times New Roman"/>
          <w:b/>
          <w:lang w:val="es-CR"/>
        </w:rPr>
        <w:footnoteReference w:customMarkFollows="1" w:id="38"/>
        <w:t>*</w:t>
      </w:r>
      <w:r w:rsidRPr="00D66245">
        <w:rPr>
          <w:rFonts w:ascii="Palatino Linotype" w:eastAsia="Times New Roman" w:hAnsi="Palatino Linotype" w:cs="Times New Roman"/>
          <w:b/>
          <w:bCs/>
          <w:lang w:val="es-CR"/>
        </w:rPr>
        <w:t xml:space="preserve"> </w:t>
      </w:r>
    </w:p>
    <w:p w14:paraId="060CBB9B" w14:textId="77777777" w:rsidR="006D3048" w:rsidRPr="00D66245" w:rsidRDefault="006D3048" w:rsidP="006D3048">
      <w:pPr>
        <w:spacing w:before="120" w:after="200"/>
        <w:jc w:val="both"/>
        <w:rPr>
          <w:rFonts w:ascii="Palatino Linotype" w:eastAsia="Times New Roman" w:hAnsi="Palatino Linotype" w:cs="Times New Roman"/>
          <w:lang w:val="es-CR"/>
        </w:rPr>
      </w:pPr>
      <w:r w:rsidRPr="00D66245">
        <w:rPr>
          <w:rFonts w:ascii="Palatino Linotype" w:eastAsia="Times New Roman" w:hAnsi="Palatino Linotype" w:cs="Times New Roman"/>
        </w:rPr>
        <w:t xml:space="preserve"> </w:t>
      </w:r>
    </w:p>
    <w:p w14:paraId="3185D8BE" w14:textId="77777777" w:rsidR="006D3048" w:rsidRPr="00D66245" w:rsidRDefault="006D3048" w:rsidP="006D3048">
      <w:pPr>
        <w:pStyle w:val="Predeterminado"/>
        <w:spacing w:before="120" w:after="200"/>
        <w:jc w:val="both"/>
        <w:rPr>
          <w:rFonts w:ascii="Palatino Linotype" w:eastAsia="Times New Roman" w:hAnsi="Palatino Linotype" w:cs="Times New Roman"/>
          <w:b/>
          <w:bCs/>
          <w:sz w:val="22"/>
          <w:szCs w:val="22"/>
          <w:lang w:val="es-CR"/>
        </w:rPr>
      </w:pPr>
      <w:r w:rsidRPr="00D66245">
        <w:rPr>
          <w:rFonts w:ascii="Palatino Linotype" w:eastAsia="Times New Roman" w:hAnsi="Palatino Linotype" w:cs="Times New Roman"/>
          <w:b/>
          <w:bCs/>
          <w:sz w:val="22"/>
          <w:szCs w:val="22"/>
          <w:lang w:val="es-CR"/>
        </w:rPr>
        <w:t>1.- Introducción</w:t>
      </w:r>
    </w:p>
    <w:p w14:paraId="76D8B20B" w14:textId="77777777" w:rsidR="006D3048" w:rsidRPr="00D66245" w:rsidRDefault="006D3048" w:rsidP="006D3048">
      <w:pPr>
        <w:pStyle w:val="Predeterminado"/>
        <w:spacing w:before="120" w:after="200"/>
        <w:ind w:firstLine="709"/>
        <w:jc w:val="both"/>
        <w:rPr>
          <w:rFonts w:ascii="Palatino Linotype" w:eastAsia="Times New Roman" w:hAnsi="Palatino Linotype"/>
          <w:sz w:val="22"/>
          <w:szCs w:val="22"/>
        </w:rPr>
      </w:pPr>
      <w:r w:rsidRPr="00D66245">
        <w:rPr>
          <w:rFonts w:ascii="Palatino Linotype" w:eastAsia="Times New Roman" w:hAnsi="Palatino Linotype" w:cs="Times New Roman"/>
          <w:sz w:val="22"/>
          <w:szCs w:val="22"/>
        </w:rPr>
        <w:t>La palabra cautelar  es un verbo transitivo, cuyo significado es “prevenir”, “precaver”. Mientras, el vocablo cautela, es un sustantivo que proviene del latín cautela, de catus, cauto, que significa “precaución y reserva con que se procede”. Pero la palabra cautelar también posee una acepción como adjetivo: se deriva de preventivo y precautorio. Según el Diccionario de la Lengua Española significa: “Dícese de las medidas o reglas para prevenir la consecución de determinado fin o precaver lo que pueda dificultarlo”.</w:t>
      </w:r>
    </w:p>
    <w:p w14:paraId="723352C8" w14:textId="77777777" w:rsidR="006D3048" w:rsidRPr="00D66245" w:rsidRDefault="006D3048" w:rsidP="006D3048">
      <w:pPr>
        <w:pStyle w:val="Predeterminado"/>
        <w:spacing w:before="120" w:after="200"/>
        <w:ind w:firstLine="709"/>
        <w:jc w:val="both"/>
        <w:rPr>
          <w:rFonts w:ascii="Palatino Linotype" w:eastAsia="Times New Roman" w:hAnsi="Palatino Linotype"/>
          <w:sz w:val="22"/>
          <w:szCs w:val="22"/>
        </w:rPr>
      </w:pPr>
      <w:r w:rsidRPr="00D66245">
        <w:rPr>
          <w:rFonts w:ascii="Palatino Linotype" w:eastAsia="Times New Roman" w:hAnsi="Palatino Linotype"/>
          <w:sz w:val="22"/>
          <w:szCs w:val="22"/>
        </w:rPr>
        <w:t>Con base en lo anterior, definimos las medidas cautelares, derivadas como un derecho subjetivo de carácter procesal ejercido por las partes, y dictadas y ejecutadas  a través de los poderes-deberes del Juzgador, son ordenanzas dictadas por éste que conllevan obligaciones provisionales de dar, hacer o no hacer a una de las partes, para regular temporalmente una situación de hecho o de derecho, para evitar la producción de un daño irreparable o de difícil reparación que haga, por un lado, nugatorio la eficacia de una futura sentencia, y por otro, que haga imposible el ejercicio futuro de un derecho del damnificado.</w:t>
      </w:r>
    </w:p>
    <w:p w14:paraId="35FBB1C7" w14:textId="77777777" w:rsidR="006D3048" w:rsidRPr="00D66245" w:rsidRDefault="006D3048" w:rsidP="006D3048">
      <w:pPr>
        <w:pStyle w:val="Predeterminado"/>
        <w:spacing w:before="120" w:after="200"/>
        <w:ind w:firstLine="709"/>
        <w:jc w:val="both"/>
        <w:rPr>
          <w:rFonts w:ascii="Palatino Linotype" w:eastAsia="Times New Roman" w:hAnsi="Palatino Linotype"/>
          <w:sz w:val="22"/>
          <w:szCs w:val="22"/>
        </w:rPr>
      </w:pPr>
      <w:r w:rsidRPr="00D66245">
        <w:rPr>
          <w:rFonts w:ascii="Palatino Linotype" w:eastAsia="Times New Roman" w:hAnsi="Palatino Linotype"/>
          <w:sz w:val="22"/>
          <w:szCs w:val="22"/>
        </w:rPr>
        <w:t xml:space="preserve">Esta definición discrimina otros institutos con algunos rasgos similares, pero con una naturaleza, objeto y finalidad distintos: las pruebas anticipadas y las medidas autosatisfactivas. Las medidas cautelares van más </w:t>
      </w:r>
      <w:r w:rsidRPr="00D66245">
        <w:rPr>
          <w:rFonts w:ascii="Palatino Linotype" w:eastAsia="Times New Roman" w:hAnsi="Palatino Linotype"/>
          <w:sz w:val="22"/>
          <w:szCs w:val="22"/>
        </w:rPr>
        <w:lastRenderedPageBreak/>
        <w:t xml:space="preserve">allá de lo que pase durante el proceso: buscan la eficacia de la ejecutoriedad de la sentencia. </w:t>
      </w:r>
    </w:p>
    <w:p w14:paraId="13DFE128"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 xml:space="preserve">Pueden ser dictadas solo a gestión de parte, sigue rigiendo para ellas el principio dispositivo. La polémica de las cautelares de oficio o del ajuste de las peticionadas de oficios, se examina supra.   Estas medidas, son producidas a través de una serie de actos procesales, que en su conjunto, conforman un procedimiento cautelar, accesorio y dependiente de un proceso principal, pues aquellas se encuentran en función de éste.  </w:t>
      </w:r>
    </w:p>
    <w:p w14:paraId="0ECD8869" w14:textId="77777777" w:rsidR="006D3048" w:rsidRPr="00D66245" w:rsidRDefault="006D3048" w:rsidP="006D3048">
      <w:pPr>
        <w:pStyle w:val="Predeterminado"/>
        <w:spacing w:before="120" w:after="200"/>
        <w:jc w:val="both"/>
        <w:rPr>
          <w:rFonts w:ascii="Palatino Linotype" w:eastAsia="Times New Roman" w:hAnsi="Palatino Linotype"/>
          <w:b/>
          <w:sz w:val="22"/>
          <w:szCs w:val="22"/>
          <w:lang w:val="es-CR"/>
        </w:rPr>
      </w:pPr>
      <w:r w:rsidRPr="00D66245">
        <w:rPr>
          <w:rFonts w:ascii="Palatino Linotype" w:eastAsia="Times New Roman" w:hAnsi="Palatino Linotype"/>
          <w:b/>
          <w:sz w:val="22"/>
          <w:szCs w:val="22"/>
          <w:lang w:val="es-CR"/>
        </w:rPr>
        <w:t>2.- Ampliación cautelar en el NCPC</w:t>
      </w:r>
    </w:p>
    <w:p w14:paraId="7DF6E58E" w14:textId="77777777" w:rsidR="006D3048" w:rsidRPr="00D66245" w:rsidRDefault="006D3048" w:rsidP="006D3048">
      <w:pPr>
        <w:spacing w:before="120" w:after="200"/>
        <w:jc w:val="both"/>
        <w:rPr>
          <w:rFonts w:ascii="Palatino Linotype" w:eastAsia="Times New Roman" w:hAnsi="Palatino Linotype"/>
          <w:lang w:val="es-CR"/>
        </w:rPr>
      </w:pPr>
      <w:r w:rsidRPr="00D66245">
        <w:rPr>
          <w:rFonts w:ascii="Palatino Linotype" w:eastAsia="Times New Roman" w:hAnsi="Palatino Linotype"/>
          <w:lang w:val="es-CR"/>
        </w:rPr>
        <w:tab/>
        <w:t xml:space="preserve">El NCPC amplía con respecto a su antecesor la gama de medidas cautelares típicas o nominadas conforme a la tendencia de la reforma procesal civil latinoamericana, incluyendo la intervención de bienes productivos, la prohibición de innovar y/o contratar, el depósito de bienes, la suspensión de acuerdos societarios y el acceso a fundos. </w:t>
      </w:r>
    </w:p>
    <w:p w14:paraId="03D16862"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b/>
          <w:sz w:val="22"/>
          <w:szCs w:val="22"/>
        </w:rPr>
        <w:t>3.- La intervención judicial en general</w:t>
      </w:r>
    </w:p>
    <w:p w14:paraId="139E2B61" w14:textId="25F5B37F" w:rsidR="006D3048" w:rsidRPr="00D66245" w:rsidRDefault="006D3048" w:rsidP="006D3048">
      <w:pPr>
        <w:pStyle w:val="Predeterminado"/>
        <w:spacing w:before="120" w:after="200"/>
        <w:ind w:firstLine="709"/>
        <w:jc w:val="both"/>
        <w:rPr>
          <w:rFonts w:ascii="Palatino Linotype" w:eastAsia="Times New Roman" w:hAnsi="Palatino Linotype"/>
          <w:sz w:val="22"/>
          <w:szCs w:val="22"/>
        </w:rPr>
      </w:pPr>
      <w:r w:rsidRPr="00D66245">
        <w:rPr>
          <w:rFonts w:ascii="Palatino Linotype" w:eastAsia="Times New Roman" w:hAnsi="Palatino Linotype"/>
          <w:sz w:val="22"/>
          <w:szCs w:val="22"/>
        </w:rPr>
        <w:t>Jurídicamente, la palabra intervención refiere a la vigilancia y control de algo por parte de la autoridad y, en general, esta actividad está regulada de diversas maneras en el derecho privado y, muy particularmente, en la ley comercial, donde siempre se le vincula con algunos tipos societarios.</w:t>
      </w:r>
    </w:p>
    <w:p w14:paraId="35F2EF6C" w14:textId="77777777" w:rsidR="006D3048" w:rsidRPr="00D66245" w:rsidRDefault="006D3048" w:rsidP="006D3048">
      <w:pPr>
        <w:pStyle w:val="Predeterminado"/>
        <w:spacing w:before="120" w:after="200"/>
        <w:ind w:firstLine="709"/>
        <w:jc w:val="both"/>
        <w:rPr>
          <w:rFonts w:ascii="Palatino Linotype" w:eastAsia="Times New Roman" w:hAnsi="Palatino Linotype"/>
          <w:sz w:val="22"/>
          <w:szCs w:val="22"/>
        </w:rPr>
      </w:pPr>
      <w:r w:rsidRPr="00D66245">
        <w:rPr>
          <w:rFonts w:ascii="Palatino Linotype" w:eastAsia="Times New Roman" w:hAnsi="Palatino Linotype"/>
          <w:sz w:val="22"/>
          <w:szCs w:val="22"/>
        </w:rPr>
        <w:t>Ya se verá luego que la intervención ordenada por los jueces –intervención judicial– puede ser recaudadora, veedora o informadora y administradora. Nuestro Código, a diferencia del argentino, donde se tomó la figura, solo regula la intervención administradora.</w:t>
      </w:r>
    </w:p>
    <w:p w14:paraId="43D7CB24"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b/>
          <w:sz w:val="22"/>
          <w:szCs w:val="22"/>
        </w:rPr>
        <w:t>a.- La intervención administradora</w:t>
      </w:r>
    </w:p>
    <w:p w14:paraId="4898F3CD" w14:textId="77777777" w:rsidR="006D3048" w:rsidRPr="00D66245" w:rsidRDefault="006D3048" w:rsidP="006D3048">
      <w:pPr>
        <w:pStyle w:val="Predeterminado"/>
        <w:spacing w:before="120" w:after="200"/>
        <w:ind w:firstLine="709"/>
        <w:jc w:val="both"/>
        <w:rPr>
          <w:rFonts w:ascii="Palatino Linotype" w:eastAsia="Times New Roman" w:hAnsi="Palatino Linotype"/>
          <w:sz w:val="22"/>
          <w:szCs w:val="22"/>
        </w:rPr>
      </w:pPr>
      <w:r w:rsidRPr="00D66245">
        <w:rPr>
          <w:rFonts w:ascii="Palatino Linotype" w:eastAsia="Times New Roman" w:hAnsi="Palatino Linotype"/>
          <w:sz w:val="22"/>
          <w:szCs w:val="22"/>
        </w:rPr>
        <w:t>Consiste en el reemplazo provisional del administrador natural de un bien productivo por un funcionario investido al efecto por el juez con el cargo de administrador judicial. Como tal, el interventor no actuará como representante natural del reemplazado sino como mandatario del juez, quien le brinda todas las directivas del caso. Es propia de pretensiones de carácter real pues el 88.1 NCPC  indica que procede cuando se pretenda la entrega de un bien sea a título de dueño o usufructuario.</w:t>
      </w:r>
    </w:p>
    <w:p w14:paraId="2ECDE381" w14:textId="77777777" w:rsidR="006D3048" w:rsidRPr="00D66245" w:rsidRDefault="006D3048" w:rsidP="006D3048">
      <w:pPr>
        <w:pStyle w:val="Predeterminado"/>
        <w:spacing w:before="120" w:after="200"/>
        <w:ind w:firstLine="709"/>
        <w:jc w:val="both"/>
        <w:rPr>
          <w:rFonts w:ascii="Palatino Linotype" w:eastAsia="Times New Roman" w:hAnsi="Palatino Linotype"/>
          <w:sz w:val="22"/>
          <w:szCs w:val="22"/>
        </w:rPr>
      </w:pPr>
      <w:r w:rsidRPr="00D66245">
        <w:rPr>
          <w:rFonts w:ascii="Palatino Linotype" w:eastAsia="Times New Roman" w:hAnsi="Palatino Linotype"/>
          <w:sz w:val="22"/>
          <w:szCs w:val="22"/>
        </w:rPr>
        <w:lastRenderedPageBreak/>
        <w:t>Dada la extrema gravedad de esta cautela, que desplaza a los normales administradores de un bien para colocar a otro en su lugar, se hace tolerable que la figura sea reemplazada por la de un coadministrador designado al efecto por el juez para actuar junto a quien ejerce la administración conforme al estatuto social.</w:t>
      </w:r>
    </w:p>
    <w:p w14:paraId="2B9D9226" w14:textId="77777777" w:rsidR="006D3048" w:rsidRPr="00D66245" w:rsidRDefault="006D3048" w:rsidP="006D3048">
      <w:pPr>
        <w:pStyle w:val="Enumeracin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Veamos ahora los presupuestos de la intervención administradora: supuestos −precedente y consecuente− y requisitos actuales.</w:t>
      </w:r>
    </w:p>
    <w:p w14:paraId="56FC7DD1" w14:textId="77777777" w:rsidR="006D3048" w:rsidRPr="00D66245" w:rsidRDefault="006D3048" w:rsidP="006D3048">
      <w:pPr>
        <w:pStyle w:val="Enumeracin3"/>
        <w:spacing w:before="120" w:after="200"/>
        <w:ind w:left="0" w:firstLine="0"/>
        <w:jc w:val="both"/>
        <w:rPr>
          <w:rFonts w:ascii="Palatino Linotype" w:eastAsia="Times New Roman" w:hAnsi="Palatino Linotype"/>
          <w:sz w:val="22"/>
          <w:szCs w:val="22"/>
        </w:rPr>
      </w:pPr>
      <w:r w:rsidRPr="00D66245">
        <w:rPr>
          <w:rFonts w:ascii="Palatino Linotype" w:eastAsia="Times New Roman" w:hAnsi="Palatino Linotype"/>
          <w:b/>
          <w:sz w:val="22"/>
          <w:szCs w:val="22"/>
        </w:rPr>
        <w:t>b.- El supuesto precedente</w:t>
      </w:r>
    </w:p>
    <w:p w14:paraId="2F7395BD" w14:textId="77777777" w:rsidR="006D3048" w:rsidRPr="00D66245" w:rsidRDefault="006D3048" w:rsidP="006D3048">
      <w:pPr>
        <w:pStyle w:val="Enumeracin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Además del supuesto general de toda cautela ya visto, es condición propia de la intervención administradora el conocimiento y la afirmación, por parte del cautelante, de la existencia de irregularidades graves en la administración de un bien productivo que afecten su productividad (NCPC 88.1), con lo cual se diferencia de la intervención controladora en tanto ella no exige la gravedad que sí requiere ésta.</w:t>
      </w:r>
    </w:p>
    <w:p w14:paraId="00445333" w14:textId="77777777" w:rsidR="006D3048" w:rsidRPr="00D66245" w:rsidRDefault="006D3048" w:rsidP="006D3048">
      <w:pPr>
        <w:pStyle w:val="Enumeracin3"/>
        <w:spacing w:before="120" w:after="200"/>
        <w:ind w:left="0" w:firstLine="0"/>
        <w:jc w:val="both"/>
        <w:rPr>
          <w:rFonts w:ascii="Palatino Linotype" w:eastAsia="Times New Roman" w:hAnsi="Palatino Linotype"/>
          <w:sz w:val="22"/>
          <w:szCs w:val="22"/>
        </w:rPr>
      </w:pPr>
      <w:r w:rsidRPr="00D66245">
        <w:rPr>
          <w:rFonts w:ascii="Palatino Linotype" w:eastAsia="Times New Roman" w:hAnsi="Palatino Linotype"/>
          <w:b/>
          <w:sz w:val="22"/>
          <w:szCs w:val="22"/>
        </w:rPr>
        <w:t>c.- El supuesto consecuente</w:t>
      </w:r>
    </w:p>
    <w:p w14:paraId="58386F58" w14:textId="77777777" w:rsidR="006D3048" w:rsidRPr="00D66245" w:rsidRDefault="006D3048" w:rsidP="006D3048">
      <w:pPr>
        <w:pStyle w:val="Enumeracin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Con esta intervención, el cautelante logra el desplazamiento del demandado y su reemplazo por administrador designado por el juez, quien determinará las funciones y facultades, el plazo por el cual se ejercerá la administración. Estas facultades no son ilimitadas, pues deben establecerse en lo estrictamente indispensable para procurar mantener la productividad del bien (NCPC 88.1).</w:t>
      </w:r>
    </w:p>
    <w:p w14:paraId="08145612" w14:textId="77777777" w:rsidR="006D3048" w:rsidRPr="00D66245" w:rsidRDefault="006D3048" w:rsidP="006D3048">
      <w:pPr>
        <w:pStyle w:val="Enumeracin3"/>
        <w:spacing w:before="120" w:after="200"/>
        <w:ind w:left="0" w:firstLine="0"/>
        <w:jc w:val="both"/>
        <w:rPr>
          <w:rFonts w:ascii="Palatino Linotype" w:eastAsia="Times New Roman" w:hAnsi="Palatino Linotype"/>
          <w:sz w:val="22"/>
          <w:szCs w:val="22"/>
        </w:rPr>
      </w:pPr>
      <w:r w:rsidRPr="00D66245">
        <w:rPr>
          <w:rFonts w:ascii="Palatino Linotype" w:eastAsia="Times New Roman" w:hAnsi="Palatino Linotype"/>
          <w:b/>
          <w:sz w:val="22"/>
          <w:szCs w:val="22"/>
        </w:rPr>
        <w:t>d.- Los requisitos generales para decretar la intervención administradora</w:t>
      </w:r>
    </w:p>
    <w:p w14:paraId="0F369CE6" w14:textId="77777777" w:rsidR="006D3048" w:rsidRPr="00D66245" w:rsidRDefault="006D3048" w:rsidP="006D3048">
      <w:pPr>
        <w:pStyle w:val="Continuarlista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En cuanto a los requisitos extrínsecos, puntual referencia al tema relativo a la efectivización de este tipo de intervención: debe ser decretada con criterio particularmente restrictivo y en caso de extrema gravedad, cuando sea claro para el juez actuante que están burlándose los derechos del cautelante por quienes administran el bien objeto de la pretensión.</w:t>
      </w:r>
    </w:p>
    <w:p w14:paraId="3D2DEB69" w14:textId="77777777" w:rsidR="006D3048" w:rsidRPr="00D66245" w:rsidRDefault="006D3048" w:rsidP="006D3048">
      <w:pPr>
        <w:pStyle w:val="Continuarlista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 xml:space="preserve">Sin perjuicio de todo ello, parece claro que obvias razones aconsejan extender esta variedad de intervención a consorcios de propiedad horizontal y a bienes que se encuentran en condominio o en indivisión –voluntaria o hereditaria-. </w:t>
      </w:r>
    </w:p>
    <w:p w14:paraId="25ACFC67" w14:textId="77777777" w:rsidR="006D3048" w:rsidRPr="00D66245" w:rsidRDefault="006D3048" w:rsidP="006D3048">
      <w:pPr>
        <w:pStyle w:val="Enumeracin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lastRenderedPageBreak/>
        <w:t>Sin perjuicio de lo anteriormente dicho, toda intervención debe:</w:t>
      </w:r>
    </w:p>
    <w:p w14:paraId="785BCC6A" w14:textId="77777777" w:rsidR="006D3048" w:rsidRPr="00D66245" w:rsidRDefault="006D3048" w:rsidP="006D3048">
      <w:pPr>
        <w:pStyle w:val="Continuarlista3"/>
        <w:numPr>
          <w:ilvl w:val="0"/>
          <w:numId w:val="29"/>
        </w:numPr>
        <w:spacing w:before="120" w:after="200"/>
        <w:ind w:left="2277" w:hanging="360"/>
        <w:jc w:val="both"/>
        <w:rPr>
          <w:rFonts w:ascii="Palatino Linotype" w:eastAsia="Times New Roman" w:hAnsi="Palatino Linotype"/>
          <w:sz w:val="22"/>
          <w:szCs w:val="22"/>
        </w:rPr>
      </w:pPr>
      <w:r w:rsidRPr="00D66245">
        <w:rPr>
          <w:rFonts w:ascii="Palatino Linotype" w:eastAsia="Times New Roman" w:hAnsi="Palatino Linotype"/>
          <w:sz w:val="22"/>
          <w:szCs w:val="22"/>
        </w:rPr>
        <w:t>Ser decretada con criterio restrictivo y en caso de extrema gravedad, cuando sea claro para el juez actuante que están burlándose los derechos del cautelante;</w:t>
      </w:r>
    </w:p>
    <w:p w14:paraId="74BDE5E8" w14:textId="77777777" w:rsidR="006D3048" w:rsidRPr="00D66245" w:rsidRDefault="006D3048" w:rsidP="006D3048">
      <w:pPr>
        <w:pStyle w:val="Continuarlista3"/>
        <w:numPr>
          <w:ilvl w:val="0"/>
          <w:numId w:val="29"/>
        </w:numPr>
        <w:spacing w:before="120" w:after="200"/>
        <w:ind w:left="2277" w:hanging="360"/>
        <w:jc w:val="both"/>
        <w:rPr>
          <w:rFonts w:ascii="Palatino Linotype" w:eastAsia="Times New Roman" w:hAnsi="Palatino Linotype"/>
          <w:sz w:val="22"/>
          <w:szCs w:val="22"/>
        </w:rPr>
      </w:pPr>
      <w:r w:rsidRPr="00D66245">
        <w:rPr>
          <w:rFonts w:ascii="Palatino Linotype" w:eastAsia="Times New Roman" w:hAnsi="Palatino Linotype"/>
          <w:sz w:val="22"/>
          <w:szCs w:val="22"/>
        </w:rPr>
        <w:t>Designar como interventor a una persona por completo ajena a la entidad intervenida e idónea al efecto, ostentando los conocimientos necesarios para cumplir eficientemente su cometido;</w:t>
      </w:r>
    </w:p>
    <w:p w14:paraId="3429E899" w14:textId="77777777" w:rsidR="006D3048" w:rsidRPr="00D66245" w:rsidRDefault="006D3048" w:rsidP="006D3048">
      <w:pPr>
        <w:pStyle w:val="Continuarlista3"/>
        <w:numPr>
          <w:ilvl w:val="0"/>
          <w:numId w:val="29"/>
        </w:numPr>
        <w:spacing w:before="120" w:after="200"/>
        <w:ind w:left="2277" w:hanging="360"/>
        <w:jc w:val="both"/>
        <w:rPr>
          <w:rFonts w:ascii="Palatino Linotype" w:eastAsia="Times New Roman" w:hAnsi="Palatino Linotype"/>
          <w:sz w:val="22"/>
          <w:szCs w:val="22"/>
        </w:rPr>
      </w:pPr>
      <w:r w:rsidRPr="00D66245">
        <w:rPr>
          <w:rFonts w:ascii="Palatino Linotype" w:eastAsia="Times New Roman" w:hAnsi="Palatino Linotype"/>
          <w:sz w:val="22"/>
          <w:szCs w:val="22"/>
        </w:rPr>
        <w:t xml:space="preserve">Definir claramente la misión encomendada, estableciendo su duración y los límites de actuación que debe respetar escrupulosamente el designado; </w:t>
      </w:r>
    </w:p>
    <w:p w14:paraId="46CCFE0A" w14:textId="77777777" w:rsidR="006D3048" w:rsidRPr="00D66245" w:rsidRDefault="006D3048" w:rsidP="006D3048">
      <w:pPr>
        <w:pStyle w:val="Continuarlista3"/>
        <w:numPr>
          <w:ilvl w:val="0"/>
          <w:numId w:val="29"/>
        </w:numPr>
        <w:spacing w:before="120" w:after="200"/>
        <w:ind w:left="2277" w:hanging="360"/>
        <w:jc w:val="both"/>
        <w:rPr>
          <w:rFonts w:ascii="Palatino Linotype" w:eastAsia="Times New Roman" w:hAnsi="Palatino Linotype"/>
          <w:sz w:val="22"/>
          <w:szCs w:val="22"/>
        </w:rPr>
      </w:pPr>
      <w:r w:rsidRPr="00D66245">
        <w:rPr>
          <w:rFonts w:ascii="Palatino Linotype" w:eastAsia="Times New Roman" w:hAnsi="Palatino Linotype"/>
          <w:sz w:val="22"/>
          <w:szCs w:val="22"/>
        </w:rPr>
        <w:t>Fijar el monto de la contracautela que el caso requiera;</w:t>
      </w:r>
    </w:p>
    <w:p w14:paraId="413A91E9" w14:textId="77777777" w:rsidR="006D3048" w:rsidRPr="00D66245" w:rsidRDefault="006D3048" w:rsidP="006D3048">
      <w:pPr>
        <w:pStyle w:val="Continuarlista3"/>
        <w:numPr>
          <w:ilvl w:val="0"/>
          <w:numId w:val="29"/>
        </w:numPr>
        <w:spacing w:before="120" w:after="200"/>
        <w:ind w:left="2277" w:hanging="360"/>
        <w:jc w:val="both"/>
        <w:rPr>
          <w:rFonts w:ascii="Palatino Linotype" w:eastAsia="Times New Roman" w:hAnsi="Palatino Linotype"/>
          <w:sz w:val="22"/>
          <w:szCs w:val="22"/>
        </w:rPr>
      </w:pPr>
      <w:r w:rsidRPr="00D66245">
        <w:rPr>
          <w:rFonts w:ascii="Palatino Linotype" w:eastAsia="Times New Roman" w:hAnsi="Palatino Linotype"/>
          <w:sz w:val="22"/>
          <w:szCs w:val="22"/>
        </w:rPr>
        <w:t>Autorizar expresa y prudentemente el monto de los gastos que puede ocasionar la intervención;</w:t>
      </w:r>
    </w:p>
    <w:p w14:paraId="7EFC6E09" w14:textId="77777777" w:rsidR="006D3048" w:rsidRPr="00D66245" w:rsidRDefault="006D3048" w:rsidP="006D3048">
      <w:pPr>
        <w:pStyle w:val="Predeterminado"/>
        <w:numPr>
          <w:ilvl w:val="0"/>
          <w:numId w:val="29"/>
        </w:numPr>
        <w:spacing w:before="120" w:after="200"/>
        <w:ind w:left="1428" w:hanging="360"/>
        <w:jc w:val="both"/>
        <w:rPr>
          <w:rFonts w:ascii="Palatino Linotype" w:eastAsia="Times New Roman" w:hAnsi="Palatino Linotype"/>
          <w:sz w:val="22"/>
          <w:szCs w:val="22"/>
        </w:rPr>
      </w:pPr>
      <w:r w:rsidRPr="00D66245">
        <w:rPr>
          <w:rFonts w:ascii="Palatino Linotype" w:eastAsia="Times New Roman" w:hAnsi="Palatino Linotype"/>
          <w:sz w:val="22"/>
          <w:szCs w:val="22"/>
        </w:rPr>
        <w:t>Establecer las fechas en las cuales el interventor deberá informar al tribunal acerca del cumplimiento de las tareas encomendadas.</w:t>
      </w:r>
    </w:p>
    <w:p w14:paraId="351639AB"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b/>
          <w:sz w:val="22"/>
          <w:szCs w:val="22"/>
        </w:rPr>
        <w:t>4.- Suspensión provisional de acuerdos sociales, condominales y similares</w:t>
      </w:r>
    </w:p>
    <w:p w14:paraId="30AF2C44"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b/>
          <w:sz w:val="22"/>
          <w:szCs w:val="22"/>
        </w:rPr>
        <w:t xml:space="preserve">a.- Contenido y naturaleza jurídica: medida conservativa </w:t>
      </w:r>
    </w:p>
    <w:p w14:paraId="4B41E9B2"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Esta medida cautelar, al igual que sucede en el caso de la prohibición de innovar o contratar, se encontraba, hasta ahora, atípica en el ordenamiento jurídico costarricense, a pesar de que lo encontramos regulado en el Derecho comparado, como el argentino.</w:t>
      </w:r>
    </w:p>
    <w:p w14:paraId="3AAF25F6"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 xml:space="preserve">La instrumentalidad de esta medida radica en el propio contenido de ella, pues se encuentra en función de la pretensión principal que es eminentemente declarativa: la nulidad del acuerdo social, condominal incluso de cualquier persona jurídica organizada –sociedad civil, fundación, asociación, cooperativa, etc-.  A fin de lograr evitar la ejecución del acuerdo se solicita al Juez que ordene la suspensión de los efectos del acuerdo, para </w:t>
      </w:r>
      <w:r w:rsidRPr="00D66245">
        <w:rPr>
          <w:rFonts w:ascii="Palatino Linotype" w:eastAsia="Times New Roman" w:hAnsi="Palatino Linotype"/>
          <w:sz w:val="22"/>
          <w:szCs w:val="22"/>
        </w:rPr>
        <w:lastRenderedPageBreak/>
        <w:t>evitar el daño irreparable o de difícil reparación al asociado mientras se discute en el proceso la validez del acuerdo (periculum in mora).  Entonces se permite, ahora por norma expresa, no solo la anotación de la demanda, en un Registro Mercantil, Condominios o similar, sino además la suspensión de los efectos de ese acuerdo asambleario tomado e impugnado.  Es decir, hasta tanto no se resuelva el conflicto, el acuerdo impugnado y suspendido no podrá surtir efectos.</w:t>
      </w:r>
    </w:p>
    <w:p w14:paraId="6C500F1A"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Este contenido o pretensión cautelar es instrumental pues permite a la vez garantizar la eficacia de la posible sentencia;  lo cual hace que sea una medida conservativa, pues mantiene el estatus quo o situación de hecho prexistente al acuerdo, lo cual hace que sea una medida cautelar conservativa.</w:t>
      </w:r>
    </w:p>
    <w:p w14:paraId="56605640"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b/>
          <w:sz w:val="22"/>
          <w:szCs w:val="22"/>
        </w:rPr>
        <w:t>b.- Legitimación activa (fumus boni iuris)</w:t>
      </w:r>
    </w:p>
    <w:p w14:paraId="48D9AE31"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Dado que la legitimación activa en la tutela cautelar está ligada con la petitium y a la instrumentalidad de la medida con la eficacia de la futura sentencia, necesariamente, tendrá legitimación activa el socio, condómino o miembro de la organización que entable el proceso respectivo, por lo cual deberá acreditar su calidad de accionista, cuotista, condómino o similar. En el NCPC 89, se tipifica esta medida y se restringe su legitimación para aquellos socios o cuotistas que representen el diez por ciento de la totalidad del capital social.  Esta regla no se aplica a los condóminos impugnantes de un acuerdo.</w:t>
      </w:r>
    </w:p>
    <w:p w14:paraId="61FC5894"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b/>
          <w:spacing w:val="-3"/>
          <w:sz w:val="22"/>
          <w:szCs w:val="22"/>
        </w:rPr>
        <w:t>c.- Oportunidad para solicitar la medida</w:t>
      </w:r>
    </w:p>
    <w:p w14:paraId="28DF0A3F"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Por disposición del 83 NCPC, consideramos que esta medida cautelar puede solicitarse perjudicialmente, o bien solo con la interposición de la demanda. En el primer caso, regiría el deber de presentar la demanda al mes de dictada la medida cautelar, bajo pena de caducidad de la misma.</w:t>
      </w:r>
    </w:p>
    <w:p w14:paraId="0F98DC9F"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 xml:space="preserve">La solicitud debe ser presentada de acuerdo a una adecuada técnica de argumentación: deben indicarse los hechos distinguiendo claramente el acuerdo societario o condominal impugnado, los alcances y el estado de necesidad que amerita el dictado de la medida cautelar (periculum in mora); de igual forma, debe acreditarse la legitimación activa y la lesión a los derechos  como socio, cuotista o condómino, bajo las causales de los artículos </w:t>
      </w:r>
      <w:r w:rsidRPr="00D66245">
        <w:rPr>
          <w:rFonts w:ascii="Palatino Linotype" w:eastAsia="Times New Roman" w:hAnsi="Palatino Linotype"/>
          <w:sz w:val="22"/>
          <w:szCs w:val="22"/>
        </w:rPr>
        <w:lastRenderedPageBreak/>
        <w:t>176 y 178 C.de C, para el examen de la apariencia de derecho, para el caso de impugnación de acuerdos de asambleas societarias.</w:t>
      </w:r>
    </w:p>
    <w:p w14:paraId="7654690B"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 xml:space="preserve">De solicitarse esta medida cautelar, al momento de interponer la demanda, conviene, si el acuerdo impugnado debe ser inscrito en el registro Mercantil, solicitar otra medida cautelar complementaria: la anotación de la demanda. </w:t>
      </w:r>
    </w:p>
    <w:p w14:paraId="1F4ECE6C"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Dado que la prueba que se aporta en este tipo  de asuntos para tutela cautelar es eminentemente documental (acciones, pacto social, acta de asamblea), no es necesario que haya práctica probatoria para el dictado de la medida; salvo que se exija la exhibición de documentos.</w:t>
      </w:r>
    </w:p>
    <w:p w14:paraId="2D51CFCA"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sz w:val="22"/>
          <w:szCs w:val="22"/>
          <w:lang w:val="es-MX"/>
        </w:rPr>
        <w:tab/>
        <w:t xml:space="preserve">La mayor reforma que presenta esta figura, es que amplía la legitimación activa de quien puede solicitar la medida cautelar, pues reduce el nivel de representación del capital social del socio al diez por ciento, como señal evidente de apertura al derecho de las minorías, con respecto a la anterior versión de dicho Proyecto Original del 2003 y 2005 –Proyecto Zeledón-Artavia-Montenegro-, que lo limitaba al veinte por ciento. </w:t>
      </w:r>
    </w:p>
    <w:p w14:paraId="369D47F5"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b/>
          <w:sz w:val="22"/>
          <w:szCs w:val="22"/>
        </w:rPr>
        <w:t>5.- Depósito de bienes</w:t>
      </w:r>
    </w:p>
    <w:p w14:paraId="4ADE5819" w14:textId="77777777" w:rsidR="006D3048" w:rsidRPr="00D66245" w:rsidRDefault="006D3048" w:rsidP="006D3048">
      <w:pPr>
        <w:pStyle w:val="p7"/>
        <w:tabs>
          <w:tab w:val="left" w:pos="720"/>
          <w:tab w:val="left" w:pos="1200"/>
          <w:tab w:val="left" w:pos="1724"/>
          <w:tab w:val="left" w:pos="6521"/>
        </w:tabs>
        <w:spacing w:before="120" w:after="200" w:line="100" w:lineRule="atLeast"/>
        <w:ind w:left="0" w:firstLine="0"/>
        <w:jc w:val="both"/>
        <w:rPr>
          <w:rFonts w:ascii="Palatino Linotype" w:eastAsia="Times New Roman" w:hAnsi="Palatino Linotype"/>
        </w:rPr>
      </w:pPr>
      <w:r w:rsidRPr="00D66245">
        <w:rPr>
          <w:rFonts w:ascii="Palatino Linotype" w:eastAsia="Times New Roman" w:hAnsi="Palatino Linotype"/>
          <w:lang w:val="es-CR"/>
        </w:rPr>
        <w:tab/>
        <w:t>El d</w:t>
      </w:r>
      <w:r w:rsidRPr="00D66245">
        <w:rPr>
          <w:rFonts w:ascii="Palatino Linotype" w:eastAsia="Times New Roman" w:hAnsi="Palatino Linotype"/>
        </w:rPr>
        <w:t xml:space="preserve">epósito judicial, denominado también secuestro, es la medida cautelar típica (en procesos en fase de conocimiento) o acto de ejecución (en procesos de ejecución pura), que tiene por finalidad el aseguramiento de una cosa específica cuya entrega puede ser el objeto de un proceso de ejecución futuro para el caso de que prospere el proceso declarativo en el que se reclama dicha entrega. El referido aseguramiento se materializa mediante el depósito ordenado por el juez a petición del acreedor demandante. Pueden ser objeto de secuestro bienes de cualquier clase, muebles o inmuebles. </w:t>
      </w:r>
    </w:p>
    <w:p w14:paraId="4EE6859B"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sz w:val="22"/>
          <w:szCs w:val="22"/>
        </w:rPr>
        <w:tab/>
        <w:t>Su origen romano lo encontramos en el aforismo “Depositum est, quod custodiendum alicui datum est, dictum ex eo quod ponitur: praepositio enim de auget depositum, ut ostendat totum fidei eius commissum, quod ad custodiam rei pertinet”, el cual significa: “Depósito es lo que se dio a alguien para que lo guardase; así llamado en razón a lo que se “pone”, ya que la preposición “de” intensifica lo “puesto” para mostrar que está encomendado a su lealtad todo lo que atañe a la custodia de la cosa”.</w:t>
      </w:r>
    </w:p>
    <w:p w14:paraId="7CA072EE"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sz w:val="22"/>
          <w:szCs w:val="22"/>
        </w:rPr>
        <w:tab/>
        <w:t xml:space="preserve">Esta medida cautelar debe guardar relación con el objeto de la </w:t>
      </w:r>
      <w:r w:rsidRPr="00D66245">
        <w:rPr>
          <w:rFonts w:ascii="Palatino Linotype" w:eastAsia="Times New Roman" w:hAnsi="Palatino Linotype"/>
          <w:sz w:val="22"/>
          <w:szCs w:val="22"/>
        </w:rPr>
        <w:lastRenderedPageBreak/>
        <w:t>demanda por que ésta debe tener como fin la declaración o restitución del bien que se pretende en depósito.  En cuanto al fondo le son aplicables supletoriamente las reglas del depósito convencional del Código Civil y Código de Comercio.</w:t>
      </w:r>
    </w:p>
    <w:p w14:paraId="32661CAF" w14:textId="77777777" w:rsidR="006D3048" w:rsidRPr="00D66245" w:rsidRDefault="006D3048" w:rsidP="006D3048">
      <w:pPr>
        <w:pStyle w:val="Enumeracin3"/>
        <w:spacing w:before="120" w:after="200"/>
        <w:ind w:left="0" w:firstLine="0"/>
        <w:jc w:val="both"/>
        <w:rPr>
          <w:rFonts w:ascii="Palatino Linotype" w:eastAsia="Times New Roman" w:hAnsi="Palatino Linotype"/>
          <w:sz w:val="22"/>
          <w:szCs w:val="22"/>
        </w:rPr>
      </w:pPr>
      <w:r w:rsidRPr="00D66245">
        <w:rPr>
          <w:rFonts w:ascii="Palatino Linotype" w:eastAsia="Times New Roman" w:hAnsi="Palatino Linotype"/>
          <w:b/>
          <w:sz w:val="22"/>
          <w:szCs w:val="22"/>
        </w:rPr>
        <w:t>6.- La prohibición de innovar</w:t>
      </w:r>
    </w:p>
    <w:p w14:paraId="126721BF" w14:textId="77777777" w:rsidR="006D3048" w:rsidRPr="00D66245" w:rsidRDefault="006D3048" w:rsidP="006D3048">
      <w:pPr>
        <w:pStyle w:val="Encabezado4"/>
        <w:numPr>
          <w:ilvl w:val="3"/>
          <w:numId w:val="28"/>
        </w:numPr>
        <w:spacing w:before="120" w:after="200"/>
        <w:ind w:firstLine="708"/>
        <w:jc w:val="both"/>
        <w:outlineLvl w:val="9"/>
        <w:rPr>
          <w:rFonts w:ascii="Palatino Linotype" w:eastAsia="Times New Roman" w:hAnsi="Palatino Linotype" w:cs="Arial"/>
          <w:i w:val="0"/>
          <w:iCs w:val="0"/>
          <w:color w:val="auto"/>
          <w:sz w:val="22"/>
          <w:szCs w:val="22"/>
        </w:rPr>
      </w:pPr>
      <w:r w:rsidRPr="00D66245">
        <w:rPr>
          <w:rFonts w:ascii="Palatino Linotype" w:eastAsia="Times New Roman" w:hAnsi="Palatino Linotype" w:cs="Arial"/>
          <w:i w:val="0"/>
          <w:iCs w:val="0"/>
          <w:color w:val="auto"/>
          <w:sz w:val="22"/>
          <w:szCs w:val="22"/>
        </w:rPr>
        <w:t>Castizamente, innovar es introducir novedades en alguna cosa, de donde resulta que el vocablo es comprensivo de sus varios sinónimos: variar, alterar, mudar, cambiar, renovar, modificar, transformar y reformar.</w:t>
      </w:r>
    </w:p>
    <w:p w14:paraId="19864A65" w14:textId="77777777" w:rsidR="006D3048" w:rsidRPr="00D66245" w:rsidRDefault="006D3048" w:rsidP="006D3048">
      <w:pPr>
        <w:pStyle w:val="Encabezado4"/>
        <w:numPr>
          <w:ilvl w:val="3"/>
          <w:numId w:val="28"/>
        </w:numPr>
        <w:spacing w:before="120" w:after="200"/>
        <w:ind w:firstLine="708"/>
        <w:jc w:val="both"/>
        <w:outlineLvl w:val="9"/>
        <w:rPr>
          <w:rFonts w:ascii="Palatino Linotype" w:eastAsia="Times New Roman" w:hAnsi="Palatino Linotype" w:cs="Arial"/>
          <w:i w:val="0"/>
          <w:iCs w:val="0"/>
          <w:color w:val="auto"/>
          <w:sz w:val="22"/>
          <w:szCs w:val="22"/>
        </w:rPr>
      </w:pPr>
      <w:r w:rsidRPr="00D66245">
        <w:rPr>
          <w:rFonts w:ascii="Palatino Linotype" w:eastAsia="Times New Roman" w:hAnsi="Palatino Linotype" w:cs="Arial"/>
          <w:i w:val="0"/>
          <w:iCs w:val="0"/>
          <w:color w:val="auto"/>
          <w:sz w:val="22"/>
          <w:szCs w:val="22"/>
        </w:rPr>
        <w:t>Este tipo de cautela tiene su fundamento en la necesidad de mantener el estado actual –status quo- de ciertas cosas o situaciones litigiosas, de hecho o de derecho, durante todo el tiempo que se discuta procesalmente sobre ellas, de donde resulta la prohibición judicial al cautelado para innovar a su respecto o, lo que es lo mismo, la prohibición de efectuar actividad que pueda cambiarlas en detrimento del eventual derecho del cautelante.  La prohibición de innovar no estaba prevista en el CPCD, por lo que se aplicaba como cautela genérica por medio del CPCD 242. Veamos ahora los presupuestos de la prohibición de innovar: supuestos −precedente y consecuente−  y requisitos actuales.</w:t>
      </w:r>
    </w:p>
    <w:p w14:paraId="4FE0CC66" w14:textId="77777777" w:rsidR="006D3048" w:rsidRPr="00D66245" w:rsidRDefault="006D3048" w:rsidP="006D3048">
      <w:pPr>
        <w:pStyle w:val="Enumeracin3"/>
        <w:spacing w:before="120" w:after="200"/>
        <w:ind w:left="0" w:firstLine="0"/>
        <w:jc w:val="both"/>
        <w:rPr>
          <w:rFonts w:ascii="Palatino Linotype" w:eastAsia="Times New Roman" w:hAnsi="Palatino Linotype"/>
          <w:sz w:val="22"/>
          <w:szCs w:val="22"/>
        </w:rPr>
      </w:pPr>
      <w:r w:rsidRPr="00D66245">
        <w:rPr>
          <w:rFonts w:ascii="Palatino Linotype" w:eastAsia="Times New Roman" w:hAnsi="Palatino Linotype"/>
          <w:b/>
          <w:sz w:val="22"/>
          <w:szCs w:val="22"/>
        </w:rPr>
        <w:t>a.- El supuesto precedente</w:t>
      </w:r>
    </w:p>
    <w:p w14:paraId="7E0E385F" w14:textId="77777777" w:rsidR="006D3048" w:rsidRPr="00D66245" w:rsidRDefault="006D3048" w:rsidP="006D3048">
      <w:pPr>
        <w:pStyle w:val="Enumeracin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Además del supuesto general de todas las cautelas de los artículos del NCPCC 77 y 93, es condición propia de la prohibición de innovar la de que una de las partes en litigio pretenda avanzar sobre la otra mediante la alteración unilateral de la situación fáctica o jurídica de la cosa acerca de la cual se discute o discutirá, mediante la utilización de vías de hecho que ocasionen a quien las sufre, un claro estado de desigualdad en el proceso ya pendiente o por ser incoado para resolver el litigio (NCPC 91) o un desmejoramiento de sus bienes o derechos reclamados.</w:t>
      </w:r>
    </w:p>
    <w:p w14:paraId="0295941E" w14:textId="77777777" w:rsidR="006D3048" w:rsidRPr="00D66245" w:rsidRDefault="006D3048" w:rsidP="006D3048">
      <w:pPr>
        <w:pStyle w:val="Enumeracin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 xml:space="preserve">Los casos son simples: si alguien, por ejemplo, intenta por vías de hecho la clausura de una servidumbre de paso para impedir al titular del fundo servido su paso por el fundo sirviente, puede llegar a colocarse en situación de ventaja para realizar cualquier tipo de negociación que conduzca, por ejemplo, a una eventual transacción, parece razonable que </w:t>
      </w:r>
      <w:r w:rsidRPr="00D66245">
        <w:rPr>
          <w:rFonts w:ascii="Palatino Linotype" w:eastAsia="Times New Roman" w:hAnsi="Palatino Linotype"/>
          <w:sz w:val="22"/>
          <w:szCs w:val="22"/>
        </w:rPr>
        <w:lastRenderedPageBreak/>
        <w:t>pueda impedirlo judicialmente hasta tanto se discuta acerca del derecho de efectuar el cerramiento. Segundo ejemplo; el actor sostiene que en un terreno propio su vecino pretende levantar una casa, a raíz de lo cual intenta impedir la obra hasta tanto se decide de quién es la propiedad del terreno en discusión; etc.</w:t>
      </w:r>
    </w:p>
    <w:p w14:paraId="3F600343" w14:textId="77777777" w:rsidR="006D3048" w:rsidRPr="00D66245" w:rsidRDefault="006D3048" w:rsidP="006D3048">
      <w:pPr>
        <w:pStyle w:val="Enumeracin3"/>
        <w:spacing w:before="120" w:after="200"/>
        <w:ind w:left="0" w:firstLine="0"/>
        <w:jc w:val="both"/>
        <w:rPr>
          <w:rFonts w:ascii="Palatino Linotype" w:eastAsia="Times New Roman" w:hAnsi="Palatino Linotype"/>
          <w:sz w:val="22"/>
          <w:szCs w:val="22"/>
        </w:rPr>
      </w:pPr>
      <w:r w:rsidRPr="00D66245">
        <w:rPr>
          <w:rFonts w:ascii="Palatino Linotype" w:eastAsia="Times New Roman" w:hAnsi="Palatino Linotype"/>
          <w:b/>
          <w:sz w:val="22"/>
          <w:szCs w:val="22"/>
        </w:rPr>
        <w:t>b.- El supuesto consecuente</w:t>
      </w:r>
    </w:p>
    <w:p w14:paraId="6169FC4E" w14:textId="77777777" w:rsidR="006D3048" w:rsidRPr="00D66245" w:rsidRDefault="006D3048" w:rsidP="006D3048">
      <w:pPr>
        <w:pStyle w:val="Enumeracin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Cumplida exitosamente la cautela, el cautelado debe abstenerse de alterar el estado de la cosa litigiosa so pena de incurrir en delito del derecho penal: desobediencia a la autoridad, gracias a lo cual el debate procesal se efectúa a partir de ella en términos de igualdad que no se hubiera conseguido sin la orden del juez emitida a tal efecto.</w:t>
      </w:r>
    </w:p>
    <w:p w14:paraId="3A011A72" w14:textId="77777777" w:rsidR="006D3048" w:rsidRPr="00D66245" w:rsidRDefault="006D3048" w:rsidP="006D3048">
      <w:pPr>
        <w:pStyle w:val="Enumeracin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 xml:space="preserve">Por supuesto, la prohibición de innovar debe mantenerse incólume durante todo el tiempo que insuma la tramitación del litigio hasta tanto haya sentencia firme y ejecutoriada respecto de la pretensión que lo originó. </w:t>
      </w:r>
    </w:p>
    <w:p w14:paraId="576066A6" w14:textId="77777777" w:rsidR="006D3048" w:rsidRPr="00D66245" w:rsidRDefault="006D3048" w:rsidP="006D3048">
      <w:pPr>
        <w:pStyle w:val="Enumeracin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Cabe sostener final y enfáticamente, que esta cautela solo puede tener como objeto la efectivización de una obligación de no hacer –no de hacer o de ejecución- y de ninguna manera una de hacer, toda vez que mediante ésta no se preserva el estado de la cosa sino que necesariamente se lo cambia.</w:t>
      </w:r>
    </w:p>
    <w:p w14:paraId="284EC2FA" w14:textId="77777777" w:rsidR="006D3048" w:rsidRPr="00D66245" w:rsidRDefault="006D3048" w:rsidP="006D3048">
      <w:pPr>
        <w:pStyle w:val="Enumeracin3"/>
        <w:spacing w:before="120" w:after="200"/>
        <w:ind w:left="0" w:firstLine="0"/>
        <w:jc w:val="both"/>
        <w:rPr>
          <w:rFonts w:ascii="Palatino Linotype" w:eastAsia="Times New Roman" w:hAnsi="Palatino Linotype"/>
          <w:sz w:val="22"/>
          <w:szCs w:val="22"/>
        </w:rPr>
      </w:pPr>
      <w:r w:rsidRPr="00D66245">
        <w:rPr>
          <w:rFonts w:ascii="Palatino Linotype" w:eastAsia="Times New Roman" w:hAnsi="Palatino Linotype"/>
          <w:b/>
          <w:sz w:val="22"/>
          <w:szCs w:val="22"/>
        </w:rPr>
        <w:t>c.- Los requisitos generales para decretar la prohibición de innovar</w:t>
      </w:r>
    </w:p>
    <w:p w14:paraId="709AAE09" w14:textId="77777777" w:rsidR="006D3048" w:rsidRPr="00D66245" w:rsidRDefault="006D3048" w:rsidP="006D3048">
      <w:pPr>
        <w:pStyle w:val="Continuarlista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Ya se han visto en general –art. 78 NCPC-, destacamos aquí que no guardamos reservas para este caso respecto de la aplicación de los requisitos relativos al peligro en la demora y a la verosimilitud del derecho.</w:t>
      </w:r>
    </w:p>
    <w:p w14:paraId="79137877" w14:textId="77777777" w:rsidR="006D3048" w:rsidRPr="00D66245" w:rsidRDefault="006D3048" w:rsidP="006D3048">
      <w:pPr>
        <w:pStyle w:val="Continuarlista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Y es que este tipo de cautela perturba grandemente la esfera de libertad de las personas y le prohíbe hacer ciertas cosas por la sola petición de alguien que afirma unilateralmente tener un derecho que aún es incierto.</w:t>
      </w:r>
    </w:p>
    <w:p w14:paraId="7B016E54" w14:textId="77777777" w:rsidR="006D3048" w:rsidRPr="00D66245" w:rsidRDefault="006D3048" w:rsidP="006D3048">
      <w:pPr>
        <w:pStyle w:val="Continuarlista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Por eso es que algunos códigos exigen, como requisito actual de ineludible cumplimiento por el juez actuante, que haya proceso actual ya pendiente (y no eventual) sobre la cosa respecto de la cual se dictará la orden de no innovar, pues las exposición de los hechos efectuada en la demanda (con mayor razón si ya existe contestación a ella) muestra mejor la verosimilitud del derecho en litigio y hace más tolerable la actuación cautelar de naturaleza unilateral.</w:t>
      </w:r>
    </w:p>
    <w:p w14:paraId="00F28B86" w14:textId="77777777" w:rsidR="006D3048" w:rsidRPr="00D66245" w:rsidRDefault="006D3048" w:rsidP="006D3048">
      <w:pPr>
        <w:pStyle w:val="Continuarlista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lastRenderedPageBreak/>
        <w:t>Ello es plenamente exigible cuando se trata de atacar una actuación administrativa que, como tal, goza de presunción legal de legitimidad. De ahí que el juez deba extremar su cuidado para verificar la manifiesta arbitrariedad o ilegalidad del acto atacado a fin de impedir sus efectos por la vía de esta cautelar.</w:t>
      </w:r>
    </w:p>
    <w:p w14:paraId="73DF42A8" w14:textId="77777777" w:rsidR="006D3048" w:rsidRPr="00D66245" w:rsidRDefault="006D3048" w:rsidP="006D3048">
      <w:pPr>
        <w:pStyle w:val="Continuarlista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Pero hay un requisito más que es propio de esta cautela: aquí se exige además que, al momento de ser notificada al cautelado la correspondiente orden de no innovar, éste no haya procedido a efectuar con antelación a tal momento la innovación temida por el cautelante. Parece obvio que, en tales circunstancias, la orden no puede ser cumplida por ser ya de imposible acatamiento.</w:t>
      </w:r>
    </w:p>
    <w:p w14:paraId="570D22F6" w14:textId="77777777" w:rsidR="006D3048" w:rsidRPr="00D66245" w:rsidRDefault="006D3048" w:rsidP="006D3048">
      <w:pPr>
        <w:pStyle w:val="Continuarlista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 xml:space="preserve">Sin embargo, si se comprueba que la alteración de la situación litigiosa ha sido hecha después de ordenada la cautela pero antes de su notificación al cautelado (con conocimiento de éste de las actuaciones judiciales), procede una nueva orden: la de poner las cosas en el estado en el cual se encontraban con anterioridad, por obvio resguardo del derecho oportunamente deducido por el peticionante y de la seriedad con la cual debe ser acatada la actuación judicial para resultar eficaz. </w:t>
      </w:r>
    </w:p>
    <w:p w14:paraId="2E032D61" w14:textId="77777777" w:rsidR="006D3048" w:rsidRPr="00D66245" w:rsidRDefault="006D3048" w:rsidP="006D3048">
      <w:pPr>
        <w:pStyle w:val="Continuarlista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Para terminar: esta verdadera innovación que ordenará el juez para destruir lo hecho a fin de volver al estado anterior de la cosa no es la llamada doctrinalmente medida innovativa que trataremos luego –art. 92 NCPC-.</w:t>
      </w:r>
    </w:p>
    <w:p w14:paraId="4AF0BF4D" w14:textId="77777777" w:rsidR="006D3048" w:rsidRPr="00D66245" w:rsidRDefault="006D3048" w:rsidP="006D3048">
      <w:pPr>
        <w:pStyle w:val="Continuarlista3"/>
        <w:spacing w:before="120" w:after="200"/>
        <w:ind w:left="0"/>
        <w:jc w:val="both"/>
        <w:rPr>
          <w:rFonts w:ascii="Palatino Linotype" w:eastAsia="Times New Roman" w:hAnsi="Palatino Linotype"/>
          <w:sz w:val="22"/>
          <w:szCs w:val="22"/>
        </w:rPr>
      </w:pPr>
      <w:r w:rsidRPr="00D66245">
        <w:rPr>
          <w:rFonts w:ascii="Palatino Linotype" w:eastAsia="Times New Roman" w:hAnsi="Palatino Linotype"/>
          <w:b/>
          <w:sz w:val="22"/>
          <w:szCs w:val="22"/>
        </w:rPr>
        <w:t>7.- La prohibición de contratar</w:t>
      </w:r>
    </w:p>
    <w:p w14:paraId="10E7B761" w14:textId="77777777" w:rsidR="006D3048" w:rsidRPr="00D66245" w:rsidRDefault="006D3048" w:rsidP="09F87D9C">
      <w:pPr>
        <w:pStyle w:val="Ttulo"/>
        <w:tabs>
          <w:tab w:val="left" w:pos="3540"/>
        </w:tabs>
        <w:spacing w:before="120" w:after="200"/>
        <w:ind w:firstLine="540"/>
        <w:jc w:val="both"/>
        <w:rPr>
          <w:rFonts w:ascii="Palatino Linotype" w:hAnsi="Palatino Linotype" w:cs="Arial"/>
          <w:b w:val="0"/>
          <w:sz w:val="22"/>
          <w:szCs w:val="22"/>
          <w:u w:val="none"/>
          <w:lang w:val="es-ES"/>
        </w:rPr>
      </w:pPr>
      <w:r w:rsidRPr="09F87D9C">
        <w:rPr>
          <w:rFonts w:ascii="Palatino Linotype" w:hAnsi="Palatino Linotype" w:cs="Arial"/>
          <w:b w:val="0"/>
          <w:sz w:val="22"/>
          <w:szCs w:val="22"/>
          <w:u w:val="none"/>
          <w:lang w:val="es-ES"/>
        </w:rPr>
        <w:t xml:space="preserve">Al igual que la medida cautelar “prima hermana”, de innovar, la prohibición de contratar implica el cese de una actividad realizada previamente, por lo que es una medida cautelar de contenido innovativa, pues establece un nuevo estado de hecho al anterior (y es lo que la diferencia de la prohibición de innovar) de orden negativo pues impone obligaciones de no hacer. </w:t>
      </w:r>
    </w:p>
    <w:p w14:paraId="2472C5E1" w14:textId="77777777" w:rsidR="006D3048" w:rsidRPr="00D66245" w:rsidRDefault="006D3048" w:rsidP="006D3048">
      <w:pPr>
        <w:pStyle w:val="Enumeracin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Es ésta una de las formas que puede exhibir la prohibición de innovar. Se trataba de una medida atípica; -no prevista tampoco en el CPCD, por lo que sería genérica, aunque sí en la LPCDEC- que desde siempre refiere a alteraciones fácticas de cosas existentes en la realidad de la vida, que ahora sí se encuentra regulada.</w:t>
      </w:r>
    </w:p>
    <w:p w14:paraId="621E00B5" w14:textId="77777777" w:rsidR="006D3048" w:rsidRPr="00D66245" w:rsidRDefault="006D3048" w:rsidP="006D3048">
      <w:pPr>
        <w:pStyle w:val="Enumeracin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lastRenderedPageBreak/>
        <w:t>Pero cabe recordar ahora que recién explicamos que el alcance de tal prohibición puede referir también a lo jurídico y allí es donde, precisamente, encuadra esta particular prohibición: la de hacer determinados contratos respecto de ciertas cosas. Por ejemplo, no vender, no gravar, etc., lo que muestra el carácter verdaderamente excepcional de la cautela en trato.</w:t>
      </w:r>
    </w:p>
    <w:p w14:paraId="340E13E5" w14:textId="77777777" w:rsidR="006D3048" w:rsidRPr="00D66245" w:rsidRDefault="006D3048" w:rsidP="006D3048">
      <w:pPr>
        <w:pStyle w:val="Enumeracin3"/>
        <w:spacing w:before="120" w:after="200"/>
        <w:ind w:left="0"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En tales circunstancias, parece obvio señalar que se aplican al caso todas las consideraciones vistas en la prohibición de innovar precedente.</w:t>
      </w:r>
    </w:p>
    <w:p w14:paraId="1B1E0080"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Finalmente: para hacer efectiva la cautela cuando refiere a contratos relativos a bienes inmuebles, debe ser anotada en la correspondiente repartición registral, por lo que se ve complementada con la anotación de demanda.</w:t>
      </w:r>
    </w:p>
    <w:p w14:paraId="6905ECD7"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b/>
          <w:sz w:val="22"/>
          <w:szCs w:val="22"/>
        </w:rPr>
        <w:t>8.- Medidas cautelares atípicas o innominadas</w:t>
      </w:r>
    </w:p>
    <w:p w14:paraId="235BD2BE"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b/>
          <w:sz w:val="22"/>
          <w:szCs w:val="22"/>
        </w:rPr>
        <w:t>a. Concepto y límites</w:t>
      </w:r>
    </w:p>
    <w:p w14:paraId="14B08650"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 xml:space="preserve">Son aquellas cuyos presupuestos, específicos, procedimiento, contenido y efectos no están expresamente regulados en la ley procesal y que tienen como objeto asegurar la efectividad de la futura sentencia. En virtud de ellas, el juez puede decretar una o varias medidas cautelares que la ley no contempla expresa y específicamente dentro de su normativa, ya sea antes o después de la interposición de la demanda.  </w:t>
      </w:r>
      <w:r w:rsidRPr="00D66245">
        <w:rPr>
          <w:rFonts w:ascii="Palatino Linotype" w:eastAsia="Times New Roman" w:hAnsi="Palatino Linotype"/>
          <w:sz w:val="22"/>
          <w:szCs w:val="22"/>
        </w:rPr>
        <w:tab/>
      </w:r>
    </w:p>
    <w:p w14:paraId="531D62E2"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Es por ello que las medidas interpuestas mediante este poder atípico son llamadas medidas cautelares atípicas o innominadas, las cuales están reguladas en el artículo 92 NCPC. Esta norma le permite al Juzgador dictar, e incluso crear, determinada medida cautelar que solucione una situación de peligro inminente y fundado que pueda dar al traste con el principio de eficacia procesal.  El poder cautelar atípico es subsidiario al típico, es decir, que si las medidas contempladas por el ordenamiento no son adecuadas, ni apropiadas para el objeto o derecho a proteger, se debe tomar una medida no prevista por la ley.</w:t>
      </w:r>
      <w:r w:rsidRPr="00D66245">
        <w:rPr>
          <w:rFonts w:ascii="Palatino Linotype" w:eastAsia="Times New Roman" w:hAnsi="Palatino Linotype"/>
          <w:sz w:val="22"/>
          <w:szCs w:val="22"/>
        </w:rPr>
        <w:tab/>
        <w:t xml:space="preserve">  </w:t>
      </w:r>
    </w:p>
    <w:p w14:paraId="29675E4E"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Es por ello que vemos que la finalidad de las medidas típicas y atípicas es la misma, únicamente que las primeras están previstas en la ley y las otras no, al menos de manera detallada.   Estas medidas atípicas requieren de una labor activa y creativa del juez.</w:t>
      </w:r>
    </w:p>
    <w:p w14:paraId="7D99A6E1"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sz w:val="22"/>
          <w:szCs w:val="22"/>
        </w:rPr>
        <w:lastRenderedPageBreak/>
        <w:tab/>
        <w:t xml:space="preserve">Esta confianza depositada a los jueces no es ilimitada, ya que los limitaciones impuestas a este poder-deber se deducen del texto del mismo artículo 78 NCPC, como lo son los mismísimos presupuestos estudiados, para las cautelares en general, y, como vimos, con la proporcionalidad y razonabilidad.  </w:t>
      </w:r>
    </w:p>
    <w:p w14:paraId="0AA4100F"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sz w:val="22"/>
          <w:szCs w:val="22"/>
        </w:rPr>
        <w:tab/>
        <w:t>Es difícil clasificar o deducir los diferentes tipos de medidas cautelares atípicas que el juez puede aplicar,  por regirse estas por un sistema de numerus apertus y por la amplia gama de posibilidades y situaciones que inciden en el contenido de cada una. Sin embargo, de modo muy general, podemos afirmar que según su función, existen medidas innominadas conservativas, que se encargan de conservar inalterado el objeto litigioso y las llamadas anticipatorias o innovativas, las cuales buscan asegurar el resultado del proceso mediante la creación de un estado de hecho.</w:t>
      </w:r>
    </w:p>
    <w:p w14:paraId="5308CEEA"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b/>
          <w:sz w:val="22"/>
          <w:szCs w:val="22"/>
        </w:rPr>
        <w:t>b.- Medidas conservativas atípicas</w:t>
      </w:r>
    </w:p>
    <w:p w14:paraId="13F6BB15"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Son aquellas cuya pretensión cautelar o contenido procurar mantener una situación de hecho, la cual, de ser variada en el transcurso del proceso, perjudicaría el derecho subjetivo o interés legítimo  del solicitante ocasionando un daño irreparable o de difícil reparación. El ejemplo más común de este tipo de medidas es la prohibición de innovar, vista en el NCPC 91.</w:t>
      </w:r>
    </w:p>
    <w:p w14:paraId="7B73C075" w14:textId="4520929F" w:rsidR="006D3048"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El presupuesto de peligro en la demora de este tipo de medidas cautelares son:   1.- Que la innovación que se pretende evitar se dirija contra la cosa litigiosa o contra el derecho subjetivo sustancial o material objeto de la litis.  2.- Que dicha innovación se haga en perjuicio del actor.  3.- Que infrinja el principio de igualdad de las partes en el proceso.</w:t>
      </w:r>
    </w:p>
    <w:p w14:paraId="22AB52AC"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b/>
          <w:sz w:val="22"/>
          <w:szCs w:val="22"/>
        </w:rPr>
        <w:t>c.- Medidas autosatisfactivas o anticipativas</w:t>
      </w:r>
    </w:p>
    <w:p w14:paraId="218F683A"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 xml:space="preserve">En este tipo de medidas se pretende satisfacer, anticipadamente, total o parcialmente, la pretensión de fondo del actor.  La doctrina italiana –art. 700 CPC italiano- y argentina no contempla este tipo de medidas dentro de las medidas cautelares, sino dentro de lo que han denominado “procesos urgentes”. </w:t>
      </w:r>
    </w:p>
    <w:p w14:paraId="159E4773"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 xml:space="preserve">Es por ello que en estas medidas el peligro de demora tiene un factor determinante, a tal punto que el legislador ha previsto este tipo de medidas, </w:t>
      </w:r>
      <w:r w:rsidRPr="00D66245">
        <w:rPr>
          <w:rFonts w:ascii="Palatino Linotype" w:eastAsia="Times New Roman" w:hAnsi="Palatino Linotype"/>
          <w:sz w:val="22"/>
          <w:szCs w:val="22"/>
        </w:rPr>
        <w:lastRenderedPageBreak/>
        <w:t>como excepción a la correlatividad entre la pretensión cautelar y principal.</w:t>
      </w:r>
    </w:p>
    <w:p w14:paraId="7427BA1A"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Se ha cuestionado la constitucionalidad de estas medidas pues significa una ejecución anticipada de la sentencia a través de su decreto. Sin embargo, la doctrina se muestra uniforme  que este tipo de medidas se dan en forma típica, como autorización del legislador para casos urgentes, por lo que requieren que el fumus boni iuris sea demostrado plenamente, por eso, en opinión de los autores, requieren de autorización legal para su admisión.  Muchas de estas medidas las encontramos en la Ley de Protección al consumidor, los de competencia desleal o de violación a la propiedad intelectual, como lo es el depósito temporal de ejemplares y el decomiso de bienes.</w:t>
      </w:r>
    </w:p>
    <w:p w14:paraId="331B618B"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b/>
          <w:sz w:val="22"/>
          <w:szCs w:val="22"/>
        </w:rPr>
        <w:t>9.- Decomiso de bienes (secuestro preventorio o cautelar)</w:t>
      </w:r>
    </w:p>
    <w:p w14:paraId="3C79F321"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b/>
          <w:sz w:val="22"/>
          <w:szCs w:val="22"/>
        </w:rPr>
        <w:t>a.- Concepto e implicaciones</w:t>
      </w:r>
    </w:p>
    <w:p w14:paraId="2D710677"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sz w:val="22"/>
          <w:szCs w:val="22"/>
        </w:rPr>
        <w:tab/>
        <w:t xml:space="preserve">El vocablo “comiso”, proviene del latín “comisium, confiscación, forma de decomiso, que significa la pérdida de la cosa, como pena por la violación del derecho del legítimo titular”. </w:t>
      </w:r>
    </w:p>
    <w:p w14:paraId="6411D606"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sz w:val="22"/>
          <w:szCs w:val="22"/>
        </w:rPr>
        <w:tab/>
        <w:t xml:space="preserve">El decomiso de bienes  puede ser una medida de ejecución cuando el derecho ya está declarado en una sentencia, o perfectamente puede, en una figura distinta, ser una medida cautelar. Por ello, preferimos hablar de decomiso preventivo, en el sentido de que es aquella medida cautelar que tiene  por objeto la aprehensión  material y jurídica de bienes del demandada/deudor para su ulterior depósito judicial para asegurar la ejecución de sentencia.  Encontramos un antecedente en nuestro ordenamiento, en materia de consumidor, en el numeral 61 de la Ley 7472, implica el comiso de los artículos fabricados o vendidos al consumo masivo y la prohibición de hacerles propaganda y en la Ley de Observancia, para los casos de infracción a los derechos de propiedad intelectual. </w:t>
      </w:r>
    </w:p>
    <w:p w14:paraId="1B4C995F"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b/>
          <w:sz w:val="22"/>
          <w:szCs w:val="22"/>
        </w:rPr>
        <w:t>b.- Doble finalidad de esta medida cautelar especial</w:t>
      </w:r>
    </w:p>
    <w:p w14:paraId="64A48848"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 xml:space="preserve">El decomiso de los bienes tiene, como medida cautelar, una doble finalidad; por un lado, una principal de naturaleza esencialmente cautelar: primero, procura evitar un daño cuando los bienes decomisados representen un peligro para la salud o cualquier derecho o interés de los consumidores (función preventiva)  y segundo; el decomiso de bienes tiene como propósito </w:t>
      </w:r>
      <w:r w:rsidRPr="00D66245">
        <w:rPr>
          <w:rFonts w:ascii="Palatino Linotype" w:eastAsia="Times New Roman" w:hAnsi="Palatino Linotype"/>
          <w:sz w:val="22"/>
          <w:szCs w:val="22"/>
        </w:rPr>
        <w:lastRenderedPageBreak/>
        <w:t xml:space="preserve">secundario el secuestro de los bienes a fin de que sean objeto del estudio técnico en sede administrativa o de un dictamen pericial en sede judicial a fin de constatar los fundamentos en que se han basado las alegaciones cautelares del actor o del denunciante, según sea el caso –para el caso de consumidores y para el caso de propiedad intelectual, que no se sigan infringiendo tales derechos, en perjuicio de su titular- </w:t>
      </w:r>
    </w:p>
    <w:p w14:paraId="170D29E5"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Esta finalidad secundaria sería de naturaleza eminentemente conservativa para preconstituir prueba, pero al ser secundaria, resulta evidente que su finalidad cautelar, por estar la salud, intereses de los consumidores o la infracción a la propiedad intelectual de por medio, subordina su calidad de prueba anticipada a la de medida cautelar.</w:t>
      </w:r>
    </w:p>
    <w:p w14:paraId="6F0CF3B4"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b/>
          <w:sz w:val="22"/>
          <w:szCs w:val="22"/>
        </w:rPr>
        <w:t>c.- No es necesario imponer una caución como contracautela salvo peligro de daño o desmejora al bien decomisado</w:t>
      </w:r>
    </w:p>
    <w:p w14:paraId="5EEE4576" w14:textId="6D85459E" w:rsidR="006D3048"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La jurisprudencia civil, con buen tino, ha estimado que el depósito de una garantía como caución es, en tesis de principio,  innecesario para esta medida cautelar porque no se trata de un embargo preventivo, salvo que el decomiso de los bienes implique una desmejora de los mismos al momento de ser devueltos al demandado o porque puedan sufrir un daño  al ser analizados posteriormente por un perito, por lo que la caución correspondería al costo de los bienes únicamente en este supuesto. La doctrina argentina también ha analizado que el embargo preventivo es innecesario, pues resulta ser una medida menos drástica, pero sobre todo carente de efectividad.</w:t>
      </w:r>
    </w:p>
    <w:p w14:paraId="2CCCBAA2" w14:textId="77777777" w:rsidR="00C4535F" w:rsidRPr="00C4535F" w:rsidRDefault="00C4535F" w:rsidP="00C4535F">
      <w:pPr>
        <w:rPr>
          <w:lang w:eastAsia="es-CR"/>
        </w:rPr>
      </w:pPr>
    </w:p>
    <w:p w14:paraId="75EBB07B"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b/>
          <w:sz w:val="22"/>
          <w:szCs w:val="22"/>
        </w:rPr>
        <w:t xml:space="preserve">d.-   Requiere de ser complementada con otra medida cautelar para su ejecución: el allanamiento </w:t>
      </w:r>
    </w:p>
    <w:p w14:paraId="6DDE5F1C"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 xml:space="preserve">El decomiso debe ser ejecutado necesariamente por el Juzgador, por el principio de inmediación procesal.  No consideramos, en virtud de este principio, conveniente la delegación de la práctica de esta medida cautelar. Pero si el decomiso preventivo se tramita inaudita altera pars, o, por el contrario, si ha mediado negativa del demandado en caso de habérsele dado audiencia previa,  es necesario que la medida cautelar del decomiso, para que pueda practicarse, deba venir complementada con el dictado de otro tipo </w:t>
      </w:r>
      <w:r w:rsidRPr="00D66245">
        <w:rPr>
          <w:rFonts w:ascii="Palatino Linotype" w:eastAsia="Times New Roman" w:hAnsi="Palatino Linotype"/>
          <w:sz w:val="22"/>
          <w:szCs w:val="22"/>
        </w:rPr>
        <w:lastRenderedPageBreak/>
        <w:t>de medida cautelar, propio de la legislación penal: el allanamiento, que ahora ha quedado tímidamente prevista en la prueba de reconocimiento y en un acto de la fase de ejecución de sentencia.</w:t>
      </w:r>
    </w:p>
    <w:p w14:paraId="06F39BE7"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Materialmente, en estos supuestos, resultaría imposible para el Juez, si desea aplicar el decomiso válidamente, si no ordena el allanamiento de local comercial, lo que ha implicado que la jurisprudencia civil estime que este allanamiento, aplicando supletoriamente la legislación procesal penal –e incluso tildando el allanamiento civil como medida cautelar atípica- sea estrictamente necesario.</w:t>
      </w:r>
    </w:p>
    <w:p w14:paraId="4AB0A198"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b/>
          <w:sz w:val="22"/>
          <w:szCs w:val="22"/>
        </w:rPr>
        <w:t>10.- Acceso a fundos enclavados</w:t>
      </w:r>
    </w:p>
    <w:p w14:paraId="7534124B" w14:textId="77777777" w:rsidR="006D3048" w:rsidRPr="00D66245" w:rsidRDefault="006D3048" w:rsidP="006D3048">
      <w:pPr>
        <w:pStyle w:val="Predeterminado"/>
        <w:spacing w:before="120" w:after="200"/>
        <w:ind w:firstLine="708"/>
        <w:jc w:val="both"/>
        <w:rPr>
          <w:rFonts w:ascii="Palatino Linotype" w:eastAsia="Times New Roman" w:hAnsi="Palatino Linotype"/>
          <w:sz w:val="22"/>
          <w:szCs w:val="22"/>
        </w:rPr>
      </w:pPr>
      <w:r w:rsidRPr="00D66245">
        <w:rPr>
          <w:rFonts w:ascii="Palatino Linotype" w:eastAsia="Times New Roman" w:hAnsi="Palatino Linotype"/>
          <w:sz w:val="22"/>
          <w:szCs w:val="22"/>
        </w:rPr>
        <w:t>Sobre esta medida cautelar atípica, cabe señalar que esta medida cautelar innovativa es propia de procesos ordinarios también, como lo son aquellas demandas con pretensiones propias de constitución forzosa de servidumbre y acción confesoria.</w:t>
      </w:r>
    </w:p>
    <w:p w14:paraId="69AEAB6C"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sz w:val="22"/>
          <w:szCs w:val="22"/>
        </w:rPr>
        <w:tab/>
        <w:t>Esta medida es innovativa por imponer un nuevo estado de las cosas: hay un fundo sin salida a calle pública, cuyo único acceso se encuentra cerrado. Es a la vez anticipativa, pues implica una ejecución anticipada de la sentencia estimatoria, lo cual le otorga estructura monitoria al proceso.</w:t>
      </w:r>
    </w:p>
    <w:p w14:paraId="6CF348E4" w14:textId="77777777" w:rsidR="006D3048" w:rsidRPr="00D66245" w:rsidRDefault="006D3048" w:rsidP="006D3048">
      <w:pPr>
        <w:pStyle w:val="Predeterminado"/>
        <w:spacing w:before="120" w:after="200"/>
        <w:jc w:val="both"/>
        <w:rPr>
          <w:rFonts w:ascii="Palatino Linotype" w:eastAsia="Times New Roman" w:hAnsi="Palatino Linotype"/>
          <w:sz w:val="22"/>
          <w:szCs w:val="22"/>
        </w:rPr>
      </w:pPr>
      <w:r w:rsidRPr="00D66245">
        <w:rPr>
          <w:rFonts w:ascii="Palatino Linotype" w:eastAsia="Times New Roman" w:hAnsi="Palatino Linotype"/>
          <w:sz w:val="22"/>
          <w:szCs w:val="22"/>
        </w:rPr>
        <w:tab/>
        <w:t xml:space="preserve">Resulta indispensable que se realice un reconocimiento cautelar, en el cual se verifique el  enclave y el cierre del camino. </w:t>
      </w:r>
      <w:r w:rsidRPr="00D66245">
        <w:rPr>
          <w:rFonts w:ascii="Palatino Linotype" w:eastAsia="Times New Roman" w:hAnsi="Palatino Linotype"/>
          <w:sz w:val="22"/>
          <w:szCs w:val="22"/>
        </w:rPr>
        <w:tab/>
        <w:t>El enclave puede ser material, aunque formalmente el fundo tenga registrado como colindante una calle pública.  Lo importante en esta medida es que materialmente sea imposible acceder al bien objeto del litigio.</w:t>
      </w:r>
    </w:p>
    <w:p w14:paraId="6C2133FA" w14:textId="77777777" w:rsidR="008057F8" w:rsidRDefault="006D3048" w:rsidP="006D3048">
      <w:pPr>
        <w:spacing w:before="120" w:after="200"/>
        <w:jc w:val="both"/>
        <w:rPr>
          <w:rFonts w:ascii="Palatino Linotype" w:eastAsia="Times New Roman" w:hAnsi="Palatino Linotype"/>
        </w:rPr>
      </w:pPr>
      <w:r w:rsidRPr="00D66245">
        <w:rPr>
          <w:rFonts w:ascii="Palatino Linotype" w:eastAsia="Times New Roman" w:hAnsi="Palatino Linotype"/>
        </w:rPr>
        <w:t>Esta medida cautelar admite contracautela. En muchos casos, se ha ordenado que la vía de acceso se mantenga cerrada, en aras de resguardar el fundo del cautelado de posibles daños por parte de terceros, pero se dé copia de la llave del candado a la contraparte de modo que solo las partes puedan hacer uso del camino.</w:t>
      </w:r>
    </w:p>
    <w:p w14:paraId="4EF0FF3D" w14:textId="77777777" w:rsidR="00C4535F" w:rsidRDefault="00C4535F" w:rsidP="006D3048">
      <w:pPr>
        <w:spacing w:before="120" w:after="200"/>
        <w:jc w:val="both"/>
        <w:rPr>
          <w:rFonts w:ascii="Palatino Linotype" w:eastAsia="Times New Roman" w:hAnsi="Palatino Linotype"/>
        </w:rPr>
      </w:pPr>
    </w:p>
    <w:p w14:paraId="260DDE92" w14:textId="77777777" w:rsidR="00C4535F" w:rsidRDefault="00C4535F" w:rsidP="008057F8">
      <w:pPr>
        <w:spacing w:after="0" w:line="240" w:lineRule="auto"/>
        <w:jc w:val="center"/>
        <w:rPr>
          <w:rFonts w:ascii="Palatino Linotype" w:hAnsi="Palatino Linotype"/>
          <w:b/>
        </w:rPr>
        <w:sectPr w:rsidR="00C4535F" w:rsidSect="00C11F9F">
          <w:headerReference w:type="even" r:id="rId34"/>
          <w:type w:val="oddPage"/>
          <w:pgSz w:w="12242" w:h="15842" w:code="1"/>
          <w:pgMar w:top="1474" w:right="2098" w:bottom="1021" w:left="2778" w:header="851" w:footer="2835" w:gutter="0"/>
          <w:cols w:space="708"/>
          <w:titlePg/>
          <w:docGrid w:linePitch="360"/>
        </w:sectPr>
      </w:pPr>
      <w:bookmarkStart w:id="8" w:name="_Hlk8652572"/>
    </w:p>
    <w:p w14:paraId="58D0875B" w14:textId="77777777" w:rsidR="00C4535F" w:rsidRDefault="00C4535F" w:rsidP="008057F8">
      <w:pPr>
        <w:spacing w:after="0" w:line="240" w:lineRule="auto"/>
        <w:jc w:val="center"/>
        <w:rPr>
          <w:rFonts w:ascii="Palatino Linotype" w:hAnsi="Palatino Linotype"/>
          <w:b/>
        </w:rPr>
      </w:pPr>
    </w:p>
    <w:p w14:paraId="1925735E" w14:textId="7D203CFC" w:rsidR="008057F8" w:rsidRPr="00D66245" w:rsidRDefault="008057F8" w:rsidP="008057F8">
      <w:pPr>
        <w:spacing w:after="0" w:line="240" w:lineRule="auto"/>
        <w:jc w:val="center"/>
        <w:rPr>
          <w:rFonts w:ascii="Palatino Linotype" w:hAnsi="Palatino Linotype"/>
          <w:b/>
        </w:rPr>
      </w:pPr>
      <w:r w:rsidRPr="00D66245">
        <w:rPr>
          <w:rFonts w:ascii="Palatino Linotype" w:hAnsi="Palatino Linotype"/>
          <w:b/>
        </w:rPr>
        <w:t>IMPACTO DEL NUEVO CODIGO PROCESAL CIVIL EN MATERIA DE DERECHO COMERCIAL</w:t>
      </w:r>
    </w:p>
    <w:p w14:paraId="4CC7AD2C" w14:textId="77777777" w:rsidR="008057F8" w:rsidRPr="00D66245" w:rsidRDefault="008057F8" w:rsidP="008057F8">
      <w:pPr>
        <w:spacing w:before="120" w:after="200" w:line="360" w:lineRule="auto"/>
        <w:ind w:left="2832" w:firstLine="708"/>
        <w:jc w:val="both"/>
        <w:rPr>
          <w:rFonts w:ascii="Palatino Linotype" w:hAnsi="Palatino Linotype"/>
        </w:rPr>
      </w:pPr>
      <w:r w:rsidRPr="00D66245">
        <w:rPr>
          <w:rFonts w:ascii="Palatino Linotype" w:hAnsi="Palatino Linotype" w:cs="Times New Roman"/>
          <w:b/>
          <w:bCs/>
        </w:rPr>
        <w:t xml:space="preserve">                     Carlos J. Carrera Castillo</w:t>
      </w:r>
      <w:bookmarkEnd w:id="8"/>
    </w:p>
    <w:p w14:paraId="234B4A87" w14:textId="77777777" w:rsidR="008057F8" w:rsidRPr="00D66245" w:rsidRDefault="008057F8" w:rsidP="008057F8">
      <w:pPr>
        <w:spacing w:before="120" w:after="200" w:line="240" w:lineRule="auto"/>
        <w:ind w:firstLine="708"/>
        <w:jc w:val="both"/>
        <w:rPr>
          <w:rFonts w:ascii="Palatino Linotype" w:hAnsi="Palatino Linotype"/>
        </w:rPr>
      </w:pPr>
      <w:r w:rsidRPr="00D66245">
        <w:rPr>
          <w:rFonts w:ascii="Palatino Linotype" w:hAnsi="Palatino Linotype"/>
        </w:rPr>
        <w:t>En esta ponencia y por las razones de limitación temporal que el Congreso tiene, limitaré la exposición a dos asuntos que impactan la legislación mercantil sustantiva, sin que ello signifique que han sido solamente esos los aspectos los afectados por la nueva legislación procesal civil.</w:t>
      </w:r>
    </w:p>
    <w:p w14:paraId="1A76D2D8" w14:textId="77777777" w:rsidR="008057F8" w:rsidRPr="00D66245" w:rsidRDefault="008057F8" w:rsidP="008057F8">
      <w:pPr>
        <w:spacing w:before="120" w:after="200" w:line="240" w:lineRule="auto"/>
        <w:jc w:val="both"/>
        <w:rPr>
          <w:rFonts w:ascii="Palatino Linotype" w:hAnsi="Palatino Linotype"/>
          <w:b/>
          <w:i/>
          <w:u w:val="single"/>
        </w:rPr>
      </w:pPr>
      <w:r w:rsidRPr="00D66245">
        <w:rPr>
          <w:rFonts w:ascii="Palatino Linotype" w:hAnsi="Palatino Linotype"/>
          <w:i/>
          <w:u w:val="single"/>
        </w:rPr>
        <w:t>A.</w:t>
      </w:r>
      <w:r w:rsidRPr="00D66245">
        <w:rPr>
          <w:rFonts w:ascii="Palatino Linotype" w:hAnsi="Palatino Linotype"/>
          <w:b/>
          <w:i/>
          <w:u w:val="single"/>
        </w:rPr>
        <w:t xml:space="preserve"> SOBRE LA SUSPENSION PROVISIONAL DE LA EJECUCION DE ACUERDOS DE ASAMBLEA DE ACCIONISTAS DE SOCIEDADES MERCANTILES.</w:t>
      </w:r>
    </w:p>
    <w:p w14:paraId="5B836BFA"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 xml:space="preserve">Con la entrada en vigencia a partir del día 8 de octubre de 2018 del NCPC, en el capítulo de medidas cautelares, artículo 89 de La Ley No. 9342, se regula en materia procesal la suspensión provisional de acuerdos de asamblea de accionistas y condóminos.  Nos limitaremos al tratamiento de los primeros. </w:t>
      </w:r>
    </w:p>
    <w:p w14:paraId="5BD248E9" w14:textId="451DF108" w:rsidR="008057F8" w:rsidRPr="00D66245" w:rsidRDefault="008057F8" w:rsidP="008057F8">
      <w:pPr>
        <w:spacing w:before="120" w:after="200" w:line="240" w:lineRule="auto"/>
        <w:ind w:firstLine="708"/>
        <w:jc w:val="both"/>
        <w:rPr>
          <w:rFonts w:ascii="Palatino Linotype" w:hAnsi="Palatino Linotype"/>
        </w:rPr>
      </w:pPr>
      <w:r w:rsidRPr="00D66245">
        <w:rPr>
          <w:rFonts w:ascii="Palatino Linotype" w:hAnsi="Palatino Linotype"/>
        </w:rPr>
        <w:t xml:space="preserve"> De entrada consideramos que la regulación de este instituto en el ámbito procesal es acertada, en tanto la suspensión provisional del acuerdo de asamblea de socios es un asunto eminentemente procesal o adjetivo y no corresponde a un asunto de fondo o sustantivo</w:t>
      </w:r>
      <w:r w:rsidRPr="00D66245">
        <w:rPr>
          <w:rStyle w:val="Refdenotaalpie"/>
          <w:rFonts w:ascii="Palatino Linotype" w:hAnsi="Palatino Linotype"/>
        </w:rPr>
        <w:footnoteReference w:id="39"/>
      </w:r>
      <w:r w:rsidRPr="00D66245">
        <w:rPr>
          <w:rFonts w:ascii="Palatino Linotype" w:hAnsi="Palatino Linotype"/>
        </w:rPr>
        <w:t>.</w:t>
      </w:r>
    </w:p>
    <w:p w14:paraId="2D43EC7C" w14:textId="3746A0EC"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
        </w:rPr>
        <w:t>SITUACION PREVIA</w:t>
      </w:r>
      <w:r w:rsidRPr="00D66245">
        <w:rPr>
          <w:rFonts w:ascii="Palatino Linotype" w:hAnsi="Palatino Linotype"/>
        </w:rPr>
        <w:t xml:space="preserve"> </w:t>
      </w:r>
      <w:r w:rsidRPr="00D66245">
        <w:rPr>
          <w:rFonts w:ascii="Palatino Linotype" w:hAnsi="Palatino Linotype"/>
          <w:b/>
          <w:u w:val="single"/>
        </w:rPr>
        <w:t>A LA ENTRADA EN VIGENCIA DEL NCPC</w:t>
      </w:r>
      <w:r w:rsidRPr="00D66245">
        <w:rPr>
          <w:rFonts w:ascii="Palatino Linotype" w:hAnsi="Palatino Linotype"/>
        </w:rPr>
        <w:t>.</w:t>
      </w:r>
      <w:r w:rsidRPr="00D66245">
        <w:rPr>
          <w:rFonts w:ascii="Palatino Linotype" w:hAnsi="Palatino Linotype"/>
        </w:rPr>
        <w:tab/>
      </w:r>
    </w:p>
    <w:p w14:paraId="21D422B9"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 xml:space="preserve">En el otoño u ocaso de vigencia del sistema procesal civil instaurado en 1989, durante estos casi 30 años de existencia,  la suspensión provisional de acuerdos de asamblea de accionistas no se encontraba regulada como una medida cautelar típica en nuestra legislación adjetiva.  </w:t>
      </w:r>
    </w:p>
    <w:p w14:paraId="6244C63B"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 xml:space="preserve">Fue creación de la doctrina, litigantes y apertura de tribunales, las que en su conjunto, permitieron acceder al instituto de la suspensión </w:t>
      </w:r>
      <w:r w:rsidRPr="00D66245">
        <w:rPr>
          <w:rFonts w:ascii="Palatino Linotype" w:hAnsi="Palatino Linotype"/>
        </w:rPr>
        <w:lastRenderedPageBreak/>
        <w:t>provisional de acuerdos de asamblea de socios a través del numeral 242 del Código Procesal Civil que regulaba las medidas cautelares atípicas.  Así la suspensión de acuerdos de Asamblea de Accionistas y de Junta Directiva u órgano gestor se admitía como medidas cautelares atípicas, con mucha discrecionalidad para el juzgador, en tanto, si bien doctrinaria y legalmente se ejercía el derecho de suspensión provisional, se carecía de una legislación que regulara sistemáticamente la figura de la suspensión provisional relacionada, por lo que ha sido creación de nuestros jueces, los requisitos que se exigieron una vez sí y otras no, para otorgar la medida cautelar atípica.</w:t>
      </w:r>
    </w:p>
    <w:p w14:paraId="0375BA07" w14:textId="77777777" w:rsidR="008057F8" w:rsidRPr="00D66245" w:rsidRDefault="008057F8" w:rsidP="008057F8">
      <w:pPr>
        <w:spacing w:before="120" w:after="200" w:line="240" w:lineRule="auto"/>
        <w:ind w:firstLine="708"/>
        <w:jc w:val="both"/>
        <w:rPr>
          <w:rFonts w:ascii="Palatino Linotype" w:hAnsi="Palatino Linotype"/>
        </w:rPr>
      </w:pPr>
      <w:r w:rsidRPr="00D66245">
        <w:rPr>
          <w:rFonts w:ascii="Palatino Linotype" w:hAnsi="Palatino Linotype"/>
        </w:rPr>
        <w:t xml:space="preserve">  Por supuesto, que siempre los juzgadores analizaron para el otorgamiento de la suspensión provisional, los criterios o presupuestos  generales de la medida cautelar atípica (</w:t>
      </w:r>
      <w:r w:rsidRPr="00D66245">
        <w:rPr>
          <w:rFonts w:ascii="Palatino Linotype" w:hAnsi="Palatino Linotype"/>
          <w:i/>
        </w:rPr>
        <w:t>fumus boni iuris, periculum in mora, residualidad, proporcionalidad, razonabilidad, ponderación de intereses,</w:t>
      </w:r>
      <w:r w:rsidRPr="00D66245">
        <w:rPr>
          <w:rFonts w:ascii="Palatino Linotype" w:hAnsi="Palatino Linotype"/>
        </w:rPr>
        <w:t xml:space="preserve"> etc), pero ante la ausencia de regulación expresa, no se requerían porcentajes accionarios o de cuotas sociales que tuviera el socio promotor que demostrar para solicitar la medida atípica –como a partir de la entrada en vigencia del NCPC, como se dirá-, la legitimación del no socio (cualquier interesado que solicite la ineficacia o nulidad absoluta de los acuerdos societarios al tenor del artículo 176 inciso 3 del Código Mercantil), la contra cautela o suma dineraria o en valores que lo represente para condenar los eventuales daños y perjuicios ocasionados a la sociedad por la suspensión de la eficacia del acuerdo (aunque en este caso el juez puede acudir a normas generales de las medidas cautelares atípicas) cuando el proceso principal se declare sin lugar, ni plazo de vigencia o duración de la medida.</w:t>
      </w:r>
    </w:p>
    <w:p w14:paraId="566E43EE"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 xml:space="preserve">La medida cautelar atípica al tenor de los numerales 241 y siguientes del CPC (derogado) se podía solicitar ante causam (prima facie) o durante el proceso.  </w:t>
      </w:r>
    </w:p>
    <w:p w14:paraId="5F30F3CD"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 xml:space="preserve">El sistema o régimen de impugnación desaparecido el 8 de octubre de 2018, para cuestionar los acuerdos de asamblea estaba previsto desde el punto de vista procesal en el artículo 420 inciso 11 del CPC, se trataba de un </w:t>
      </w:r>
      <w:r w:rsidRPr="00D66245">
        <w:rPr>
          <w:rFonts w:ascii="Palatino Linotype" w:hAnsi="Palatino Linotype"/>
          <w:b/>
          <w:i/>
          <w:u w:val="single"/>
        </w:rPr>
        <w:t>PROCESO ABREVIADO</w:t>
      </w:r>
      <w:r w:rsidRPr="00D66245">
        <w:rPr>
          <w:rFonts w:ascii="Palatino Linotype" w:hAnsi="Palatino Linotype"/>
        </w:rPr>
        <w:t>, que con el NCPC se suprime y se convertirá dependiendo de la cuantía en un proceso ordinario de mayor o menor cuantía (101 del NCPC).</w:t>
      </w:r>
    </w:p>
    <w:p w14:paraId="7405E05A"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 xml:space="preserve">En el antiguo sistema para solicitar la suspensión provisional de acuerdos de asamblea  o junta de socios,  se tenía que demostrar en la </w:t>
      </w:r>
      <w:r w:rsidRPr="00D66245">
        <w:rPr>
          <w:rFonts w:ascii="Palatino Linotype" w:hAnsi="Palatino Linotype"/>
        </w:rPr>
        <w:lastRenderedPageBreak/>
        <w:t xml:space="preserve">situación usual o normal, la condición de socio del gestionante o impugnante o el </w:t>
      </w:r>
      <w:r w:rsidRPr="00D66245">
        <w:rPr>
          <w:rFonts w:ascii="Palatino Linotype" w:hAnsi="Palatino Linotype"/>
          <w:i/>
        </w:rPr>
        <w:t>interés subjetivo tutelable</w:t>
      </w:r>
      <w:r w:rsidRPr="00D66245">
        <w:rPr>
          <w:rFonts w:ascii="Palatino Linotype" w:hAnsi="Palatino Linotype"/>
        </w:rPr>
        <w:t xml:space="preserve">, en caso de no socios, usufructuarios, embargantes, acreedores pignoraticios, fiduciarios, etc, la existencia de la asamblea de socios o sesión del órgano de administración, con su correspondiente prueba ( copia certificada del acta de asamblea de socios o copia de la sesión del Consejo de Administración) o en su defecto en la misma gestión y de manera acumulada cuando se carecía de la prueba, sea del acta o sesión, normalmente por el injustificado estorbo de la Junta Directiva, de una solicitud de exhibición de libros y documentos con fundamento en los artículos 26 y 265 del Código de Comercio y 241 del CPC) para obtener el acta o pidiendo que la sociedad presentara el acta al proceso cautelar. Adicionalmente, para acreditar el onus alegandi resultaba necesario plantear una plataforma fáctica y la concreta alegación o invocación jurídica  del por qué el acuerdo de asamblea de socios o de junta directiva era ineficaz, nulo o anulable, y establecer de acuerdo a las reglas de la medida cautelar atípica que existía apariencia de buen derecho, peligro en la demora y eventualmente que los daños serían de imposible  o difícil reparación, colocando al juez ante la disyuntiva de tutelar el interés particular del socio o el general de la sociedad.  Por supuesto, que requisito indispensable y oportunidad procesal para solicitar la suspensión provisional consistía en demostrar y acreditar que el acuerdo o los acuerdos sociales no hubieran sido ejecutados o materializados por la sociedad, dado que en tal caso la gestión no tendría interés jurídicamente tutelable. </w:t>
      </w:r>
      <w:r w:rsidRPr="00D66245">
        <w:rPr>
          <w:rStyle w:val="Refdenotaalpie"/>
          <w:rFonts w:ascii="Palatino Linotype" w:hAnsi="Palatino Linotype"/>
        </w:rPr>
        <w:footnoteReference w:id="40"/>
      </w:r>
      <w:r w:rsidRPr="00D66245">
        <w:rPr>
          <w:rFonts w:ascii="Palatino Linotype" w:hAnsi="Palatino Linotype"/>
        </w:rPr>
        <w:t xml:space="preserve"> </w:t>
      </w:r>
    </w:p>
    <w:p w14:paraId="207CD794" w14:textId="77777777" w:rsidR="008057F8" w:rsidRPr="00D66245" w:rsidRDefault="008057F8" w:rsidP="008057F8">
      <w:pPr>
        <w:spacing w:before="120" w:after="200" w:line="240" w:lineRule="auto"/>
        <w:ind w:firstLine="708"/>
        <w:jc w:val="both"/>
        <w:rPr>
          <w:rFonts w:ascii="Palatino Linotype" w:hAnsi="Palatino Linotype"/>
        </w:rPr>
      </w:pPr>
      <w:r w:rsidRPr="00D66245">
        <w:rPr>
          <w:rFonts w:ascii="Palatino Linotype" w:hAnsi="Palatino Linotype"/>
        </w:rPr>
        <w:t xml:space="preserve">Posteriormente el Juzgador, inaudita parte la mayoría de las veces o cursando audiencia a la sociedad por el plazo de 3 días, otorgaba o no la medida cautelar, con la correspondiente actividad recursiva o impugnaticia de tal decisión.  </w:t>
      </w:r>
    </w:p>
    <w:p w14:paraId="70671E68" w14:textId="77777777" w:rsidR="008057F8" w:rsidRPr="00D66245" w:rsidRDefault="008057F8" w:rsidP="008057F8">
      <w:pPr>
        <w:spacing w:before="120" w:after="200" w:line="240" w:lineRule="auto"/>
        <w:ind w:firstLine="708"/>
        <w:jc w:val="both"/>
        <w:rPr>
          <w:rFonts w:ascii="Palatino Linotype" w:hAnsi="Palatino Linotype"/>
        </w:rPr>
      </w:pPr>
      <w:r w:rsidRPr="00D66245">
        <w:rPr>
          <w:rFonts w:ascii="Palatino Linotype" w:hAnsi="Palatino Linotype"/>
        </w:rPr>
        <w:t xml:space="preserve">Los  plazos u oportunidad procesal para solicitar la medida cautelar deben ser expeditos, antes de la ejecución del acuerdo conforme vimos supra, y antes que haya cursado la prescripción y caducidad del régimen de impugnación, en tanto los acuerdos que se atacan por nulidad absoluta tienen un plazo de 1 año a partir de su aprobación o un año a partir de su inscripción (177 y 984 del Código de Comercio) si el acuerdo necesitaba su inscripción en el registro mercantil (artículo 235 del Código de Comercio) o </w:t>
      </w:r>
      <w:r w:rsidRPr="00D66245">
        <w:rPr>
          <w:rFonts w:ascii="Palatino Linotype" w:hAnsi="Palatino Linotype"/>
        </w:rPr>
        <w:lastRenderedPageBreak/>
        <w:t>de 1 mes en caso de anulabilidad o nulidad relativa (178 del Código de Comercio).  El numeral 179 del Código de Comercio trae una regla de naturaleza procesal y por razón de su especialidad se le concede la competencia territorial al juez del domicilio de la sociedad (artículo 18 inciso 10 del mismo cuerpo legal).</w:t>
      </w:r>
    </w:p>
    <w:p w14:paraId="3F066D39"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La suspensión provisional acogida se dicta normalmente hasta que haya pronunciamiento firme por el fondo del asunto debatido, es decir, cesa la eficacia del acuerdo social adoptado y permanece suspendido por todo ese tiempo, que puede ser varios años.</w:t>
      </w:r>
    </w:p>
    <w:p w14:paraId="7498FDD8"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En términos generales así funcionaba el proceso de otorgamiento de la medida cautelar atípica de la suspensión provisional de los acuerdos de asamblea.</w:t>
      </w:r>
    </w:p>
    <w:p w14:paraId="2C4F3504"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 xml:space="preserve">En la práctica forense conocimos en algunos casos, acerca de la suspensión de un acuerdo provisional de suspensión de acuerdos de asamblea de socios, de una sociedad abierta y cotizante en la Bolsa Nacional de Valores, de impedir (impeditiva) que la sociedad se retirará de emitir y negociar acciones en el mercado bursátil, mientras el proceso judicial de impugnación no se resolviera por el fondo. Curiosamente en dicho caso el Juzgado no exigió contra cautela y la parte demandada tampoco reclamó la ausencia de la misma.  </w:t>
      </w:r>
    </w:p>
    <w:p w14:paraId="75B1A381"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En otro caso, una asamblea de accionistas de una sociedad mercantil decidió modificar en su totalidad el pacto social, estableciendo cláusulas o disposiciones contrarias a la naturaleza mercantil de la sociedad, se solicita la suspensión provisional de la misma y el Juzgado la acoge sin contra cautela nuevamente.</w:t>
      </w:r>
    </w:p>
    <w:p w14:paraId="3ADA8FE3"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Sin embargo, aquí es oportuno cuestionarnos en relación con la eficacia de la suspensión de la medida cautelar.  Qué sucede cuándo la sociedad que se le suspende provisoriamente el o los acuerdos societarios, de manera indirecta, refleja o directamente como en los dos casos citados,  pone en ejecución los acuerdos suspendidos. Qué remedio procesal existe para hacer eficaz y efectiva la medida cautelar concedida.?</w:t>
      </w:r>
    </w:p>
    <w:p w14:paraId="6DCED366"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En otros casos se concedió con contra cautela dineraria.</w:t>
      </w:r>
    </w:p>
    <w:p w14:paraId="3290EB63"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lastRenderedPageBreak/>
        <w:tab/>
        <w:t>Concedida la medida cautelar atípica la vía procesal para modificar o revocar la misma en nuestro medio se realizaba a través del incidente de cancelación de medida cautelar.</w:t>
      </w:r>
    </w:p>
    <w:p w14:paraId="7CA30E33"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La norma sustantiva que contiene el fundamento legal de carácter sustantivo para intentar o incoar la suspensión provisional de acuerdos de asamblea lo encontramos en el artículo 175 del Código de Comercio, interpretado a contrario sensu, precepto legal que regula también el derecho de impugnación de acuerdos de asamblea.</w:t>
      </w:r>
    </w:p>
    <w:p w14:paraId="1664C78C" w14:textId="77777777" w:rsidR="008057F8" w:rsidRPr="00D66245" w:rsidRDefault="008057F8" w:rsidP="008057F8">
      <w:pPr>
        <w:spacing w:before="120" w:after="200" w:line="240" w:lineRule="auto"/>
        <w:jc w:val="both"/>
        <w:rPr>
          <w:rFonts w:ascii="Palatino Linotype" w:hAnsi="Palatino Linotype"/>
          <w:i/>
        </w:rPr>
      </w:pPr>
      <w:r w:rsidRPr="00D66245">
        <w:rPr>
          <w:rFonts w:ascii="Palatino Linotype" w:hAnsi="Palatino Linotype"/>
        </w:rPr>
        <w:tab/>
        <w:t xml:space="preserve">El canon 175 del Código Mercantil dispone que:  </w:t>
      </w:r>
      <w:r w:rsidRPr="00D66245">
        <w:rPr>
          <w:rFonts w:ascii="Palatino Linotype" w:hAnsi="Palatino Linotype"/>
          <w:i/>
        </w:rPr>
        <w:t xml:space="preserve">Las resoluciones legalmente adoptadas por las asambleas de accionistas serán obligatorias aun para los ausentes y disidentes, salvo los derechos de oposición que señala este Código. </w:t>
      </w:r>
    </w:p>
    <w:p w14:paraId="3347F3A4"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De dicha disposición normativa se deriva lo siguiente: 1) nuestro ordenamiento jurídico mercantil regula la impugnación de los acuerdos de asamblea, o sea, no se puede invocar la nulidad de la asamblea de socios como un todo.  Se impugnan las decisiones o acuerdos. 2) Los acuerdos o resoluciones judiciales son eficaces y efectivos inmediatamente si se tomaren o adoptaren apegados a la ley societaria mercantil.  A contrario sensu, si las mismas fueron adoptadas con infracción, violación, conculcación o inobservancia de ley pueden ser censuradas mediante los derechos de oposición que regula el Código Mercantil. Por consiguiente, la solicitud de suspensión provisional de los acuerdos de asamblea ataca la eficacia del acuerdo al intentar la suspensión inmediata de la ejecución del acuerdo alegando o invocando alguna de las causales que regula de manera abierta y genérica los artículos 176 y 178 del Código de Comercio.</w:t>
      </w:r>
    </w:p>
    <w:p w14:paraId="6A5AB3BE"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Si se acoge la medida cautelar atípica el acuerdo cesa su eficacia temporalmente hasta la decisión final del proceso judicial o antes en caso de ser revocada o modificada.</w:t>
      </w:r>
    </w:p>
    <w:p w14:paraId="34AE5FB5"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Recomendable es solicitar la anotación de la medida cautelar concedida en el Registro Mercantil y comunicar a cualquier órgano de la administración pública que tenga que conceder alguna autorización, llámese SUGESE, SUGEVAL, SUPEN etc.</w:t>
      </w:r>
    </w:p>
    <w:p w14:paraId="209A7ADF"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lastRenderedPageBreak/>
        <w:tab/>
        <w:t>Así funcionaba el sistema en aplicación del Código Procesal Civil de 1989 y los ejemplos y casos citados son derecho vivo ocurrido en la práctica forense en los últimos 29 de años.</w:t>
      </w:r>
    </w:p>
    <w:p w14:paraId="023114BD"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 xml:space="preserve">II. </w:t>
      </w:r>
      <w:r w:rsidRPr="00D66245">
        <w:rPr>
          <w:rFonts w:ascii="Palatino Linotype" w:hAnsi="Palatino Linotype"/>
          <w:b/>
        </w:rPr>
        <w:t>REGIMEN JURIDICO APLICABLE CON LA ENTRADA EN VIGENCIA DEL CODIGO PROCESAL CIVIL</w:t>
      </w:r>
      <w:r w:rsidRPr="00D66245">
        <w:rPr>
          <w:rFonts w:ascii="Palatino Linotype" w:hAnsi="Palatino Linotype"/>
        </w:rPr>
        <w:t xml:space="preserve"> a partir del 8 de octubre de 2018.</w:t>
      </w:r>
    </w:p>
    <w:p w14:paraId="2FF535E8"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El numeral 89 del Código Procesal Vigente introduce la regulación particular de la suspensión provisional de los acuerdos sociales de sociedades mercantiles y otras agrupaciones sociales y condominales.  La limitación de este artículo se reduce al ámbito societario.</w:t>
      </w:r>
    </w:p>
    <w:p w14:paraId="6D21D54E"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El título III del Código Procesal Civil, artículos 77 a 97 regula en forma amplia las medidas cautelares típicas, donde sobresale el numeral 89 de dicho cuerpo de leyes, objeto de nuestro análisis.  Dicho Título en sus dos capítulos (el primero de disposiciones generales y el segundo de las medidas cautelares en específico) viene a suplir la ausencia de solución normativa del anterior código procesal civil en materia de medidas cautelares típicas y atípicas.</w:t>
      </w:r>
    </w:p>
    <w:p w14:paraId="460101E1"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Sin embargo, a propósito de las medidas cautelares en materia de suspensión de acuerdos sociales en sociedades mercantiles (todos los tipos del artículo 17 del Código Comercial), no se encuentra exento de dudas y preocupaciones.</w:t>
      </w:r>
    </w:p>
    <w:p w14:paraId="2FB1E7FC" w14:textId="77777777" w:rsidR="008057F8" w:rsidRPr="00D66245" w:rsidRDefault="008057F8" w:rsidP="008057F8">
      <w:pPr>
        <w:spacing w:before="120" w:after="200" w:line="240" w:lineRule="auto"/>
        <w:ind w:firstLine="700"/>
        <w:jc w:val="both"/>
        <w:rPr>
          <w:rFonts w:ascii="Palatino Linotype" w:hAnsi="Palatino Linotype"/>
        </w:rPr>
      </w:pPr>
      <w:r w:rsidRPr="00D66245">
        <w:rPr>
          <w:rFonts w:ascii="Palatino Linotype" w:hAnsi="Palatino Linotype"/>
        </w:rPr>
        <w:t>A continuación citaremos algunas dudas que queremos compartir con el amable lector.</w:t>
      </w:r>
    </w:p>
    <w:p w14:paraId="571D80D1" w14:textId="77777777" w:rsidR="008057F8" w:rsidRPr="00D66245" w:rsidRDefault="008057F8" w:rsidP="008057F8">
      <w:pPr>
        <w:pStyle w:val="Prrafodelista"/>
        <w:numPr>
          <w:ilvl w:val="0"/>
          <w:numId w:val="38"/>
        </w:numPr>
        <w:spacing w:before="120" w:after="200" w:line="240" w:lineRule="auto"/>
        <w:contextualSpacing w:val="0"/>
        <w:jc w:val="both"/>
        <w:rPr>
          <w:rFonts w:ascii="Palatino Linotype" w:hAnsi="Palatino Linotype"/>
          <w:b/>
          <w:i/>
          <w:lang w:val="es-ES"/>
        </w:rPr>
      </w:pPr>
      <w:r w:rsidRPr="00D66245">
        <w:rPr>
          <w:rFonts w:ascii="Palatino Linotype" w:hAnsi="Palatino Linotype"/>
          <w:b/>
          <w:i/>
          <w:lang w:val="es-ES"/>
        </w:rPr>
        <w:t>Porcentaje del capital social necesario para solicitar la medida cautelar de suspensión provisional de acuerdos sociales de sociedades mercantiles.</w:t>
      </w:r>
    </w:p>
    <w:p w14:paraId="21E3BCB3" w14:textId="77777777" w:rsidR="008057F8" w:rsidRPr="00D66245" w:rsidRDefault="008057F8" w:rsidP="008057F8">
      <w:pPr>
        <w:spacing w:before="120" w:after="200" w:line="240" w:lineRule="auto"/>
        <w:ind w:firstLine="700"/>
        <w:jc w:val="both"/>
        <w:rPr>
          <w:rFonts w:ascii="Palatino Linotype" w:hAnsi="Palatino Linotype"/>
        </w:rPr>
      </w:pPr>
      <w:r w:rsidRPr="00D66245">
        <w:rPr>
          <w:rFonts w:ascii="Palatino Linotype" w:hAnsi="Palatino Linotype"/>
        </w:rPr>
        <w:t xml:space="preserve">En el anterior Código Procesal Civil ni en la legislación sustantiva se establecía un porcentaje mínimo para acceder a recibir la tutela judicial efectiva de suspensión del acuerdo de asamblea de socios de sociedades mercantiles y de juntas directivas.  Bastaba demostrar la condición de socio, aunque el promotor fuera titular de una sola acción o cuota del capital social para peticionar en sede judicial la suspensión del acuerdo.  </w:t>
      </w:r>
    </w:p>
    <w:p w14:paraId="38CAF2A6" w14:textId="77777777" w:rsidR="008057F8" w:rsidRPr="00D66245" w:rsidRDefault="008057F8" w:rsidP="008057F8">
      <w:pPr>
        <w:spacing w:before="120" w:after="200" w:line="240" w:lineRule="auto"/>
        <w:ind w:firstLine="700"/>
        <w:jc w:val="both"/>
        <w:rPr>
          <w:rFonts w:ascii="Palatino Linotype" w:hAnsi="Palatino Linotype"/>
        </w:rPr>
      </w:pPr>
      <w:r w:rsidRPr="00D66245">
        <w:rPr>
          <w:rFonts w:ascii="Palatino Linotype" w:hAnsi="Palatino Linotype"/>
        </w:rPr>
        <w:lastRenderedPageBreak/>
        <w:t xml:space="preserve">La situación </w:t>
      </w:r>
      <w:r w:rsidRPr="00D66245">
        <w:rPr>
          <w:rFonts w:ascii="Palatino Linotype" w:hAnsi="Palatino Linotype"/>
          <w:b/>
          <w:i/>
          <w:u w:val="single"/>
        </w:rPr>
        <w:t>varía sustancialmente</w:t>
      </w:r>
      <w:r w:rsidRPr="00D66245">
        <w:rPr>
          <w:rFonts w:ascii="Palatino Linotype" w:hAnsi="Palatino Linotype"/>
        </w:rPr>
        <w:t xml:space="preserve"> a partir del 8 de octubre de 2018, en tanto, el precepto 89 del Código Procesal Civil exige que la solicitud de la medida cautelar provenga </w:t>
      </w:r>
      <w:r w:rsidRPr="00D66245">
        <w:rPr>
          <w:rFonts w:ascii="Palatino Linotype" w:hAnsi="Palatino Linotype"/>
          <w:b/>
          <w:i/>
          <w:u w:val="single"/>
        </w:rPr>
        <w:t>del 10% del capital social</w:t>
      </w:r>
      <w:r w:rsidRPr="00D66245">
        <w:rPr>
          <w:rFonts w:ascii="Palatino Linotype" w:hAnsi="Palatino Linotype"/>
        </w:rPr>
        <w:t xml:space="preserve">.  Desde ya señalamos que el porcentaje exigido por el legislador es desproporcionado e injusto y además contrario a la tendencia actual de buscar la protección del socio o inversionista minoritario en las sociedades mercantiles ( Ley No. 9392 o Ley de Protección al Inversionista Minoritario).  </w:t>
      </w:r>
    </w:p>
    <w:p w14:paraId="5CCB990E" w14:textId="77777777" w:rsidR="008057F8" w:rsidRPr="00D66245" w:rsidRDefault="008057F8" w:rsidP="008057F8">
      <w:pPr>
        <w:spacing w:before="120" w:after="200" w:line="240" w:lineRule="auto"/>
        <w:ind w:firstLine="700"/>
        <w:jc w:val="both"/>
        <w:rPr>
          <w:rFonts w:ascii="Palatino Linotype" w:hAnsi="Palatino Linotype"/>
        </w:rPr>
      </w:pPr>
      <w:r w:rsidRPr="00D66245">
        <w:rPr>
          <w:rFonts w:ascii="Palatino Linotype" w:hAnsi="Palatino Linotype"/>
        </w:rPr>
        <w:t>En el Derecho comparado, entendemos que en España y en Italia ese porcentaje se fija en el 5% del capital social, con sociedades mercantiles de mayores dimensiones.</w:t>
      </w:r>
    </w:p>
    <w:p w14:paraId="09BB8442" w14:textId="77777777" w:rsidR="008057F8" w:rsidRPr="00D66245" w:rsidRDefault="008057F8" w:rsidP="008057F8">
      <w:pPr>
        <w:spacing w:before="120" w:after="200" w:line="240" w:lineRule="auto"/>
        <w:ind w:firstLine="700"/>
        <w:jc w:val="both"/>
        <w:rPr>
          <w:rFonts w:ascii="Palatino Linotype" w:hAnsi="Palatino Linotype"/>
        </w:rPr>
      </w:pPr>
      <w:r w:rsidRPr="00D66245">
        <w:rPr>
          <w:rFonts w:ascii="Palatino Linotype" w:hAnsi="Palatino Linotype"/>
        </w:rPr>
        <w:t>La situación se puede observar desde dos perspectivas contrapuestas.  Para aquellos grupos de control (mayorías) que normalmente manejan las sociedades mercantiles mediante el órgano de gestión, la falta de exigencia de un porcentaje o un porcentaje muy reducido constituye una situación irrazonable que prolonga injustificadamente  la ejecución de los acuerdos sociales, si cualquier socio disidente o ausente independiente de su porcentaje social pueda en la vía judicial impedir la ejecución del acuerdo.  Para ellos, el establecimiento de porcentajes y cautelas elevadas son indispensables.</w:t>
      </w:r>
    </w:p>
    <w:p w14:paraId="79CD871A" w14:textId="77777777" w:rsidR="008057F8" w:rsidRPr="00D66245" w:rsidRDefault="008057F8" w:rsidP="008057F8">
      <w:pPr>
        <w:spacing w:before="120" w:after="200" w:line="240" w:lineRule="auto"/>
        <w:ind w:firstLine="700"/>
        <w:jc w:val="both"/>
        <w:rPr>
          <w:rFonts w:ascii="Palatino Linotype" w:hAnsi="Palatino Linotype"/>
        </w:rPr>
      </w:pPr>
      <w:r w:rsidRPr="00D66245">
        <w:rPr>
          <w:rFonts w:ascii="Palatino Linotype" w:hAnsi="Palatino Linotype"/>
        </w:rPr>
        <w:tab/>
        <w:t>No obstante, otra visión o posición mantienen  los socios minoritarios o tenedores de porcentajes exiguos o limitados, que inclusive paradójicamente si se sumaran todos pueden ser la mayoría, sobre todo entendiendo el nuevo esquema de la propiedad societaria, de control sin propiedad y propiedad sin control, la imposición de porcentajes elevados –como en el caso de Costa Rica- puede resultar nugatorio e imposible de ejercer el derecho a una tutela judicial efectiva mediante la suspensión provisional de la eficacia del acuerdo social.</w:t>
      </w:r>
    </w:p>
    <w:p w14:paraId="5CC4FA50" w14:textId="77777777" w:rsidR="008057F8" w:rsidRPr="00D66245" w:rsidRDefault="008057F8" w:rsidP="008057F8">
      <w:pPr>
        <w:spacing w:before="120" w:after="200" w:line="240" w:lineRule="auto"/>
        <w:ind w:firstLine="700"/>
        <w:jc w:val="both"/>
        <w:rPr>
          <w:rFonts w:ascii="Palatino Linotype" w:hAnsi="Palatino Linotype"/>
        </w:rPr>
      </w:pPr>
      <w:r w:rsidRPr="00D66245">
        <w:rPr>
          <w:rFonts w:ascii="Palatino Linotype" w:hAnsi="Palatino Linotype"/>
        </w:rPr>
        <w:t xml:space="preserve">En los casos de sociedades de estructura cerrada o familiar ese aspecto podría no tener gran relevancia, dadas las particularidades de esas sociedades. </w:t>
      </w:r>
    </w:p>
    <w:p w14:paraId="0BC3B14C" w14:textId="77777777" w:rsidR="008057F8" w:rsidRPr="00D66245" w:rsidRDefault="008057F8" w:rsidP="008057F8">
      <w:pPr>
        <w:spacing w:before="120" w:after="200" w:line="240" w:lineRule="auto"/>
        <w:ind w:firstLine="700"/>
        <w:jc w:val="both"/>
        <w:rPr>
          <w:rFonts w:ascii="Palatino Linotype" w:hAnsi="Palatino Linotype"/>
        </w:rPr>
      </w:pPr>
      <w:r w:rsidRPr="00D66245">
        <w:rPr>
          <w:rFonts w:ascii="Palatino Linotype" w:hAnsi="Palatino Linotype"/>
        </w:rPr>
        <w:t xml:space="preserve">Pero en los casos de sociedades ¨abiertas¨ o que cotizan sus acciones en bolsa, ese porcentaje del 10% del capital social es muy elevado, inalcanzable y desproporcionado.  En el caso arriba apuntado de la suspensión provisional de acuerdos  sociales de una sociedad que cotiza en </w:t>
      </w:r>
      <w:r w:rsidRPr="00D66245">
        <w:rPr>
          <w:rFonts w:ascii="Palatino Linotype" w:hAnsi="Palatino Linotype"/>
        </w:rPr>
        <w:lastRenderedPageBreak/>
        <w:t xml:space="preserve">bolsa, el socio o grupo de sociedades que impugnaron los acuerdos sociales representaban menos de un 2% del capital social y no obstante tienen un capital social cercano a los 2 millones de dólares U.S.D en la sociedad impugnada, dado que la sociedad referida tiene un capital social de más de 100 millones de dólares USD.  Entonces, en ese caso exigir el 10% del capital social significa poner al socio minoritario en una situación de no poder ejercer ese derecho.  La solución inmediata que proponemos será disminuir ese porcentaje a un porcentaje razonable (2%) y en caso de sociedades que coticen en Bolsa suprimirlo totalmente, si lo que se pretende es proteger el interés de las minorías y los socios inversionistas.  </w:t>
      </w:r>
    </w:p>
    <w:p w14:paraId="6D75691A" w14:textId="77777777" w:rsidR="008057F8" w:rsidRPr="00D66245" w:rsidRDefault="008057F8" w:rsidP="008057F8">
      <w:pPr>
        <w:pStyle w:val="Prrafodelista"/>
        <w:numPr>
          <w:ilvl w:val="0"/>
          <w:numId w:val="38"/>
        </w:numPr>
        <w:spacing w:before="120" w:after="200" w:line="240" w:lineRule="auto"/>
        <w:contextualSpacing w:val="0"/>
        <w:jc w:val="both"/>
        <w:rPr>
          <w:rFonts w:ascii="Palatino Linotype" w:hAnsi="Palatino Linotype"/>
          <w:b/>
          <w:i/>
          <w:lang w:val="es-ES"/>
        </w:rPr>
      </w:pPr>
      <w:r w:rsidRPr="00D66245">
        <w:rPr>
          <w:rFonts w:ascii="Palatino Linotype" w:hAnsi="Palatino Linotype"/>
          <w:b/>
          <w:i/>
          <w:lang w:val="es-ES"/>
        </w:rPr>
        <w:t>Legitimación activa del sujeto procesal que puede pedir la medida cautelar de suspensión provisional de los acuerdos de asamblea.</w:t>
      </w:r>
    </w:p>
    <w:p w14:paraId="4C4E0900" w14:textId="77777777" w:rsidR="008057F8" w:rsidRPr="00D66245" w:rsidRDefault="008057F8" w:rsidP="008057F8">
      <w:pPr>
        <w:spacing w:before="120" w:after="200" w:line="240" w:lineRule="auto"/>
        <w:ind w:firstLine="700"/>
        <w:jc w:val="both"/>
        <w:rPr>
          <w:rFonts w:ascii="Palatino Linotype" w:hAnsi="Palatino Linotype"/>
        </w:rPr>
      </w:pPr>
      <w:r w:rsidRPr="00D66245">
        <w:rPr>
          <w:rFonts w:ascii="Palatino Linotype" w:hAnsi="Palatino Linotype"/>
        </w:rPr>
        <w:t xml:space="preserve">Desde una óptica muy estricta o restringida se podría pensar que el único sujeto con legitimación activa para solicitar la suspensión provisional de acuerdos de asambleas </w:t>
      </w:r>
      <w:r w:rsidRPr="00D66245">
        <w:rPr>
          <w:rFonts w:ascii="Palatino Linotype" w:hAnsi="Palatino Linotype"/>
          <w:i/>
          <w:u w:val="single"/>
        </w:rPr>
        <w:t>sería el socio</w:t>
      </w:r>
      <w:r w:rsidRPr="00D66245">
        <w:rPr>
          <w:rFonts w:ascii="Palatino Linotype" w:hAnsi="Palatino Linotype"/>
        </w:rPr>
        <w:t xml:space="preserve"> (artículos 120, 140, 687 y 688 del Código de Comercio), lo que resulta corroborado con el requisito contemplado en el artículo 89 del Código Procesal Civil que el solicitante deberá demostrar ser tenedor o tomador del 10% del capital social, es decir, socio de la sociedad comercial.  Entonces, en principio solamente el socio puede pedir la medida cautelar típica de suspensión provisional de acuerdos de asamblea de socios o cuotistas.</w:t>
      </w:r>
    </w:p>
    <w:p w14:paraId="68BC16E5"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 xml:space="preserve">Qué sucede con los demás sujetos que la legislación sustantiva (código de comercio y civil) autoriza o legítima activamente para impugnar los acuerdos sociales de las sociedades mercantiles, nos referimos al caso de cualquier tercero o interesado que reclame la nulidad absoluta (artículos 835 y siguientes del Código Civil), el usufructuario y acreedor pignoraticio (139 bis del Código de Comercio), el embargante (674 del Código de Comerio), </w:t>
      </w:r>
      <w:commentRangeStart w:id="9"/>
      <w:r w:rsidRPr="00D66245">
        <w:rPr>
          <w:rFonts w:ascii="Palatino Linotype" w:hAnsi="Palatino Linotype"/>
        </w:rPr>
        <w:t>el fiduciario</w:t>
      </w:r>
      <w:commentRangeEnd w:id="9"/>
      <w:r w:rsidRPr="00D66245">
        <w:rPr>
          <w:rStyle w:val="Refdecomentario"/>
          <w:rFonts w:ascii="Palatino Linotype" w:hAnsi="Palatino Linotype"/>
          <w:sz w:val="22"/>
          <w:szCs w:val="22"/>
        </w:rPr>
        <w:commentReference w:id="9"/>
      </w:r>
      <w:r w:rsidRPr="00D66245">
        <w:rPr>
          <w:rFonts w:ascii="Palatino Linotype" w:hAnsi="Palatino Linotype"/>
        </w:rPr>
        <w:t xml:space="preserve"> –art......  Estos sujetos pueden impugnar los acuerdos sociales, empero, no tienen acciones  o cuotas de capital social, las tiene el nudo propietario, el deudor pignoraticio, el fideicomitente, el embargado.  Podrán pedir la suspensión provisional de los acuerdos sociales de sociedades mercantiles.  El Código no resuelve explícitamente el problema, salvo que interpretemos el concepto de parte del artículo 77 del CPC en forma muy amplia y abierta.</w:t>
      </w:r>
    </w:p>
    <w:p w14:paraId="12C73D7D"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lastRenderedPageBreak/>
        <w:tab/>
        <w:t xml:space="preserve">Otra duda, si el Código Procesal Civil exigió que la solicitud debe provenir del 10% del capital social, es decir, se debe demostrar la condición de socio, será que el Código reguló únicamente el caso de la </w:t>
      </w:r>
      <w:r w:rsidRPr="00D66245">
        <w:rPr>
          <w:rFonts w:ascii="Palatino Linotype" w:hAnsi="Palatino Linotype"/>
          <w:i/>
          <w:u w:val="single"/>
        </w:rPr>
        <w:t>nulidad relativa o anulabilidad</w:t>
      </w:r>
      <w:r w:rsidRPr="00D66245">
        <w:rPr>
          <w:rFonts w:ascii="Palatino Linotype" w:hAnsi="Palatino Linotype"/>
        </w:rPr>
        <w:t>, al tenor del artículo 178 del Código de Comercio, que le otorga la legitimación solamente al socio para impugnar los acuerdos viciados de nulidad o ineficacia relativa, siendo que omitió las causales de nulidad absoluta del artículo 176 ibídem.</w:t>
      </w:r>
    </w:p>
    <w:p w14:paraId="008EA647" w14:textId="77777777" w:rsidR="008057F8" w:rsidRPr="00D66245" w:rsidRDefault="008057F8" w:rsidP="008057F8">
      <w:pPr>
        <w:spacing w:before="120" w:after="200" w:line="240" w:lineRule="auto"/>
        <w:ind w:firstLine="708"/>
        <w:jc w:val="both"/>
        <w:rPr>
          <w:rFonts w:ascii="Palatino Linotype" w:hAnsi="Palatino Linotype"/>
        </w:rPr>
      </w:pPr>
      <w:r w:rsidRPr="00D66245">
        <w:rPr>
          <w:rFonts w:ascii="Palatino Linotype" w:hAnsi="Palatino Linotype"/>
        </w:rPr>
        <w:t>Será acaso, que cuando los sujetos legitimados para impugnar los acuerdos sociales no sean socios, ese porcentaje del 10% del capital social no rige o se exige, en cuyo caso el socio que carece del 10% del capital social puede intentar la acción de nulidad como un tercero y no como socio.</w:t>
      </w:r>
    </w:p>
    <w:p w14:paraId="7B8D984E" w14:textId="77777777" w:rsidR="008057F8" w:rsidRPr="00D66245" w:rsidRDefault="008057F8" w:rsidP="008057F8">
      <w:pPr>
        <w:spacing w:before="120" w:after="200" w:line="240" w:lineRule="auto"/>
        <w:ind w:firstLine="708"/>
        <w:jc w:val="both"/>
        <w:rPr>
          <w:rFonts w:ascii="Palatino Linotype" w:hAnsi="Palatino Linotype"/>
        </w:rPr>
      </w:pPr>
      <w:r w:rsidRPr="00D66245">
        <w:rPr>
          <w:rFonts w:ascii="Palatino Linotype" w:hAnsi="Palatino Linotype"/>
        </w:rPr>
        <w:t>Sobre esos temas debe versar a la mayor brevedad pronunciamiento de nuestros Tribunales y la doctrina especializada.</w:t>
      </w:r>
    </w:p>
    <w:p w14:paraId="0218D01E"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rPr>
        <w:t xml:space="preserve"> B. </w:t>
      </w:r>
      <w:r w:rsidRPr="00D66245">
        <w:rPr>
          <w:rFonts w:ascii="Palatino Linotype" w:hAnsi="Palatino Linotype"/>
          <w:b/>
        </w:rPr>
        <w:t>DE LA OPOSICION DE LOS ADMINISTRADORES ANTE LA SOLICITUD DE CONVOCATORIA JUDICIAL.</w:t>
      </w:r>
    </w:p>
    <w:p w14:paraId="0CF4BD95"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t>El precepto 161 del Código de Comercio regula el procedimiento para la convocatoria judicial.</w:t>
      </w:r>
    </w:p>
    <w:p w14:paraId="2419B6D4" w14:textId="77777777" w:rsidR="008057F8" w:rsidRPr="00D66245" w:rsidRDefault="008057F8" w:rsidP="008057F8">
      <w:pPr>
        <w:spacing w:before="120" w:after="200" w:line="240" w:lineRule="auto"/>
        <w:ind w:firstLine="708"/>
        <w:jc w:val="both"/>
        <w:rPr>
          <w:rFonts w:ascii="Palatino Linotype" w:hAnsi="Palatino Linotype"/>
        </w:rPr>
      </w:pPr>
      <w:r w:rsidRPr="00D66245">
        <w:rPr>
          <w:rFonts w:ascii="Palatino Linotype" w:hAnsi="Palatino Linotype"/>
        </w:rPr>
        <w:t>Cuando los administradores (indistintamente del sujeto u órgano previsto en el pacto social como competente) rehúsen u omitan convocar a una asamblea de accionistas y la solicitud cumple todos los requisitos legales (artículos 159, 160 y 197 inciso e) del Código Mercantil), los interesados pueden acudir con apoyo en el artículo 265 del cuerpo de leyes citado a gestionar en la vía judicial mediante el trámite de la actividad judicial no contenciosa (actos de jurisdicción voluntaria se lee en nuestro texto legal comercial) la convocatoria por el Tribunal o Despacho Judicial competente.</w:t>
      </w:r>
    </w:p>
    <w:p w14:paraId="0987A83E" w14:textId="77777777" w:rsidR="008057F8" w:rsidRPr="00D66245" w:rsidRDefault="008057F8" w:rsidP="008057F8">
      <w:pPr>
        <w:spacing w:before="120" w:after="200" w:line="240" w:lineRule="auto"/>
        <w:ind w:firstLine="708"/>
        <w:jc w:val="both"/>
        <w:rPr>
          <w:rFonts w:ascii="Palatino Linotype" w:hAnsi="Palatino Linotype"/>
        </w:rPr>
      </w:pPr>
      <w:r w:rsidRPr="00D66245">
        <w:rPr>
          <w:rFonts w:ascii="Palatino Linotype" w:hAnsi="Palatino Linotype"/>
        </w:rPr>
        <w:t>No entraremos a analizar los requisitos y presupuestos que estila nuestro Código Comercial para formular la convocatoria judicial, solamente nos detendremos en el aspecto que viene a regular el nuevo Código Procesal Civil en esta materia.  Concretamente, qué sucede en el caso de oposición de los administradores ante la solicitud de convocatoria judicial. De manera novedosa en la vía legislativa nos referiremos (aunque los precedentes de nuestros tribunales ya lo habían admitido, aceptado y aplicado), a lo que estipula actualmente la norma 178.3 del NCPC.</w:t>
      </w:r>
    </w:p>
    <w:p w14:paraId="5041B6A7" w14:textId="77777777" w:rsidR="00887E97" w:rsidRDefault="008057F8" w:rsidP="00887E97">
      <w:pPr>
        <w:spacing w:before="120" w:after="200" w:line="240" w:lineRule="auto"/>
        <w:ind w:firstLine="708"/>
        <w:jc w:val="both"/>
        <w:rPr>
          <w:rFonts w:ascii="Palatino Linotype" w:hAnsi="Palatino Linotype"/>
        </w:rPr>
      </w:pPr>
      <w:r w:rsidRPr="00D66245">
        <w:rPr>
          <w:rFonts w:ascii="Palatino Linotype" w:hAnsi="Palatino Linotype"/>
        </w:rPr>
        <w:lastRenderedPageBreak/>
        <w:t xml:space="preserve">Desde la resolución dictada por el </w:t>
      </w:r>
      <w:r w:rsidRPr="00D66245">
        <w:rPr>
          <w:rFonts w:ascii="Palatino Linotype" w:hAnsi="Palatino Linotype"/>
          <w:b/>
        </w:rPr>
        <w:t>TRIBUNAL PRIMERO CIVIL, SAN JOSE, NO. 443-P</w:t>
      </w:r>
      <w:r w:rsidRPr="00D66245">
        <w:rPr>
          <w:rFonts w:ascii="Palatino Linotype" w:hAnsi="Palatino Linotype"/>
        </w:rPr>
        <w:t>, de las 8:25 horas del 26 de mayo de 2010, se erigió el criterio que en caso de oposición de los administradores a la petición de convocatoria judicial, el Juzgador debe continuar con la tramitación del asunto y no remitir a las partes a la vía ordinaria como lo consagraba el artículo 821 del derogado C.P.C.  Ese criterio se aplicó mayoritariamente por nuestros Juzgados Civiles aunque en tesis de principio se trataba de una interpretación judicial y podría rozar o contradecir el texto legal mercantil (161 Código de Comercio). Hoy esa posible discusión se supera con la redacción expresa del 178.3 del C.P.C. que reza:  ¨</w:t>
      </w:r>
      <w:r w:rsidRPr="00D66245">
        <w:rPr>
          <w:rFonts w:ascii="Palatino Linotype" w:hAnsi="Palatino Linotype"/>
          <w:b/>
          <w:i/>
        </w:rPr>
        <w:t>Las reglas de la disposición anterior, en cuanto se prevé la remisión inmediata al proceso contencioso, no se aplicarán a la declaración de ausencia, la presunción de muerte, ni a los procesos respecto de los cuales la ley establezca un trámite especial</w:t>
      </w:r>
      <w:r w:rsidRPr="00D66245">
        <w:rPr>
          <w:rFonts w:ascii="Palatino Linotype" w:hAnsi="Palatino Linotype"/>
          <w:i/>
        </w:rPr>
        <w:t>.</w:t>
      </w:r>
      <w:r w:rsidRPr="00D66245">
        <w:rPr>
          <w:rFonts w:ascii="Palatino Linotype" w:hAnsi="Palatino Linotype"/>
        </w:rPr>
        <w:t>¨.   La parte in fine de esa norma encuadra dentro del supuesto de la convocatoria judicial, es decir, por expresa disposición ex lege¨, no hay remisión a la vía contenciosa sino que el juzgador se encuentra en la obligación de dictar resolución de fondo valorando el cumplimiento de los demás requisitos enumerados en la legislación sustantiva.</w:t>
      </w:r>
      <w:bookmarkStart w:id="10" w:name="_Hlk8652666"/>
    </w:p>
    <w:p w14:paraId="6BEFA6AB" w14:textId="77777777" w:rsidR="00BE4897" w:rsidRDefault="00BE4897" w:rsidP="00887E97">
      <w:pPr>
        <w:spacing w:before="120" w:after="200" w:line="240" w:lineRule="auto"/>
        <w:ind w:firstLine="708"/>
        <w:jc w:val="both"/>
        <w:rPr>
          <w:rFonts w:ascii="Palatino Linotype" w:hAnsi="Palatino Linotype"/>
        </w:rPr>
      </w:pPr>
    </w:p>
    <w:p w14:paraId="3648E990" w14:textId="77777777" w:rsidR="00BE4897" w:rsidRDefault="00BE4897" w:rsidP="00887E97">
      <w:pPr>
        <w:spacing w:before="120" w:after="200" w:line="240" w:lineRule="auto"/>
        <w:ind w:firstLine="708"/>
        <w:jc w:val="both"/>
        <w:rPr>
          <w:rFonts w:ascii="Palatino Linotype" w:hAnsi="Palatino Linotype"/>
        </w:rPr>
      </w:pPr>
    </w:p>
    <w:p w14:paraId="62C596B9" w14:textId="77777777" w:rsidR="00BE4897" w:rsidRDefault="00BE4897" w:rsidP="00887E97">
      <w:pPr>
        <w:spacing w:before="120" w:after="200" w:line="240" w:lineRule="auto"/>
        <w:ind w:firstLine="708"/>
        <w:jc w:val="center"/>
        <w:rPr>
          <w:rFonts w:ascii="Palatino Linotype" w:hAnsi="Palatino Linotype"/>
          <w:b/>
        </w:rPr>
        <w:sectPr w:rsidR="00BE4897" w:rsidSect="00BA1B42">
          <w:headerReference w:type="even" r:id="rId38"/>
          <w:type w:val="oddPage"/>
          <w:pgSz w:w="12242" w:h="15842" w:code="1"/>
          <w:pgMar w:top="1474" w:right="2098" w:bottom="1021" w:left="2778" w:header="851" w:footer="2835" w:gutter="0"/>
          <w:cols w:space="708"/>
          <w:titlePg/>
          <w:docGrid w:linePitch="360"/>
        </w:sectPr>
      </w:pPr>
    </w:p>
    <w:p w14:paraId="554DED3B" w14:textId="77777777" w:rsidR="00BE4897" w:rsidRDefault="00BE4897" w:rsidP="00887E97">
      <w:pPr>
        <w:spacing w:before="120" w:after="200" w:line="240" w:lineRule="auto"/>
        <w:ind w:firstLine="708"/>
        <w:jc w:val="center"/>
        <w:rPr>
          <w:rFonts w:ascii="Palatino Linotype" w:hAnsi="Palatino Linotype"/>
          <w:b/>
        </w:rPr>
      </w:pPr>
    </w:p>
    <w:p w14:paraId="51A32120" w14:textId="51340FC6" w:rsidR="008057F8" w:rsidRPr="00D66245" w:rsidRDefault="008057F8" w:rsidP="00887E97">
      <w:pPr>
        <w:spacing w:before="120" w:after="200" w:line="240" w:lineRule="auto"/>
        <w:ind w:firstLine="708"/>
        <w:jc w:val="center"/>
        <w:rPr>
          <w:rFonts w:ascii="Palatino Linotype" w:hAnsi="Palatino Linotype"/>
          <w:b/>
        </w:rPr>
      </w:pPr>
      <w:r w:rsidRPr="00D66245">
        <w:rPr>
          <w:rFonts w:ascii="Palatino Linotype" w:hAnsi="Palatino Linotype"/>
          <w:b/>
        </w:rPr>
        <w:t>ESTRUCTURA Y TÉCNICA DE</w:t>
      </w:r>
    </w:p>
    <w:p w14:paraId="7A3A9C2B" w14:textId="77777777" w:rsidR="008057F8" w:rsidRPr="00D66245" w:rsidRDefault="008057F8" w:rsidP="008057F8">
      <w:pPr>
        <w:spacing w:after="0" w:line="240" w:lineRule="auto"/>
        <w:jc w:val="center"/>
        <w:rPr>
          <w:rFonts w:ascii="Palatino Linotype" w:hAnsi="Palatino Linotype"/>
          <w:b/>
        </w:rPr>
      </w:pPr>
      <w:r w:rsidRPr="00D66245">
        <w:rPr>
          <w:rFonts w:ascii="Palatino Linotype" w:hAnsi="Palatino Linotype"/>
          <w:b/>
        </w:rPr>
        <w:t>LOS INTERROGATORIOS CIVILES</w:t>
      </w:r>
    </w:p>
    <w:p w14:paraId="35860BC4" w14:textId="77777777" w:rsidR="008057F8" w:rsidRPr="00D66245" w:rsidRDefault="008057F8" w:rsidP="008057F8">
      <w:pPr>
        <w:spacing w:before="120" w:after="200" w:line="240" w:lineRule="auto"/>
        <w:jc w:val="right"/>
        <w:rPr>
          <w:rFonts w:ascii="Palatino Linotype" w:hAnsi="Palatino Linotype"/>
        </w:rPr>
      </w:pPr>
      <w:r w:rsidRPr="00D66245">
        <w:rPr>
          <w:rFonts w:ascii="Palatino Linotype" w:hAnsi="Palatino Linotype"/>
          <w:b/>
          <w:lang w:val="pt-BR"/>
        </w:rPr>
        <w:t>Sergio Artavia B</w:t>
      </w:r>
      <w:bookmarkEnd w:id="10"/>
      <w:r w:rsidRPr="00D66245">
        <w:rPr>
          <w:rFonts w:ascii="Palatino Linotype" w:hAnsi="Palatino Linotype"/>
          <w:lang w:val="pt-BR"/>
        </w:rPr>
        <w:t>.</w:t>
      </w:r>
      <w:r w:rsidRPr="00D66245">
        <w:rPr>
          <w:rStyle w:val="Refdenotaalpie"/>
          <w:rFonts w:ascii="Palatino Linotype" w:hAnsi="Palatino Linotype"/>
          <w:lang w:val="pt-BR"/>
        </w:rPr>
        <w:footnoteReference w:id="41"/>
      </w:r>
    </w:p>
    <w:p w14:paraId="727E38A4" w14:textId="77777777" w:rsidR="008057F8" w:rsidRPr="00D66245" w:rsidRDefault="008057F8" w:rsidP="008057F8">
      <w:pPr>
        <w:spacing w:before="120" w:after="200" w:line="240" w:lineRule="auto"/>
        <w:jc w:val="both"/>
        <w:rPr>
          <w:rFonts w:ascii="Palatino Linotype" w:hAnsi="Palatino Linotype"/>
        </w:rPr>
      </w:pPr>
    </w:p>
    <w:p w14:paraId="6F4FCEA1" w14:textId="77777777" w:rsidR="008057F8" w:rsidRPr="00D66245" w:rsidRDefault="008057F8" w:rsidP="008057F8">
      <w:pPr>
        <w:spacing w:before="120" w:after="200" w:line="240" w:lineRule="auto"/>
        <w:jc w:val="both"/>
        <w:rPr>
          <w:rFonts w:ascii="Palatino Linotype" w:hAnsi="Palatino Linotype"/>
          <w:b/>
        </w:rPr>
      </w:pPr>
      <w:bookmarkStart w:id="11" w:name="_Hlk3928441"/>
      <w:r w:rsidRPr="00D66245">
        <w:rPr>
          <w:rFonts w:ascii="Palatino Linotype" w:hAnsi="Palatino Linotype"/>
          <w:b/>
        </w:rPr>
        <w:t>1.- MÁS DE 100 MÁXIMAS DE LOS INTERROGATORIOS EN MATERIA CIVIL</w:t>
      </w:r>
      <w:r w:rsidRPr="00D66245">
        <w:rPr>
          <w:rFonts w:ascii="Palatino Linotype" w:hAnsi="Palatino Linotype"/>
          <w:b/>
          <w:lang w:val="pt-BR"/>
        </w:rPr>
        <w:t xml:space="preserve">                  </w:t>
      </w:r>
    </w:p>
    <w:p w14:paraId="63B6FBC9"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 xml:space="preserve"> Dominar el derecho procesal y el derecho probatorio</w:t>
      </w:r>
    </w:p>
    <w:p w14:paraId="7DE62D40"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 xml:space="preserve"> Dominar las reglas sobre las preguntas admisibles e inadmisibles</w:t>
      </w:r>
    </w:p>
    <w:p w14:paraId="0262EB49"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 xml:space="preserve">No realice preguntas capciosas, confusas, complejas o impertinentes, </w:t>
      </w:r>
    </w:p>
    <w:p w14:paraId="27E90CE3"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 xml:space="preserve">No realice preguntas: sugestivas, capciosas, inútiles, compuestas, de valoración, jurídicas o de opinión </w:t>
      </w:r>
    </w:p>
    <w:p w14:paraId="32A0313E"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Dominar las reglas sobre objeciones y recursos en audiencia</w:t>
      </w:r>
    </w:p>
    <w:p w14:paraId="468DDAA9"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 xml:space="preserve">Sepa como refutar las objeciones </w:t>
      </w:r>
    </w:p>
    <w:p w14:paraId="4B0A55A4"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Conocer al litigante contrario</w:t>
      </w:r>
    </w:p>
    <w:p w14:paraId="66846305"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No tergiverse la prueba. No ponga en boca del declarante lo que no ha dicho</w:t>
      </w:r>
    </w:p>
    <w:p w14:paraId="7FD7ACFA"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Use el lenguaje común</w:t>
      </w:r>
    </w:p>
    <w:p w14:paraId="1013DDD2"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Evite los rodeos</w:t>
      </w:r>
    </w:p>
    <w:p w14:paraId="65318373"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Las objeciones realizarlas rápidamente</w:t>
      </w:r>
    </w:p>
    <w:p w14:paraId="378CBB87"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Preparación y preparación</w:t>
      </w:r>
    </w:p>
    <w:p w14:paraId="2D030156"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Conocer y estudiar completo el caso. Claridad del caso</w:t>
      </w:r>
    </w:p>
    <w:p w14:paraId="67570B2B"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Conocer las técnicas de litigación del interrogatorio</w:t>
      </w:r>
    </w:p>
    <w:p w14:paraId="1154630A"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Identificar los temas principales</w:t>
      </w:r>
    </w:p>
    <w:p w14:paraId="6D68381E"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Disponer de una teoría del caso</w:t>
      </w:r>
    </w:p>
    <w:p w14:paraId="523DCDA9"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Conoce al juez y su posición sobre puntos controvertidos</w:t>
      </w:r>
    </w:p>
    <w:p w14:paraId="2807A27D"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Entre los imparciales hay testigos parciales</w:t>
      </w:r>
    </w:p>
    <w:p w14:paraId="47F163EF"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lastRenderedPageBreak/>
        <w:t>Entrevistas y preparar al testigo, hazlo, honestamente</w:t>
      </w:r>
    </w:p>
    <w:p w14:paraId="1293AF74"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Visita el lugar donde se produjeron los hechos</w:t>
      </w:r>
    </w:p>
    <w:p w14:paraId="46BEB0A2"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Trasmitir autoridad y respeto en Sala</w:t>
      </w:r>
    </w:p>
    <w:p w14:paraId="1C8B193C"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El uso correcto de la lingüística es esencial en el abogado</w:t>
      </w:r>
    </w:p>
    <w:p w14:paraId="1F53D93B"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Sea breve en las intervenciones</w:t>
      </w:r>
    </w:p>
    <w:p w14:paraId="6EC17C61"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Las objeciones deben ser breves, concretas y fundadas</w:t>
      </w:r>
    </w:p>
    <w:p w14:paraId="0FCD8E2D"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Los recursos en audiencia son orales, breves y fundados.</w:t>
      </w:r>
    </w:p>
    <w:p w14:paraId="5BD40E6A"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No diga a los testigos que deben decir</w:t>
      </w:r>
    </w:p>
    <w:p w14:paraId="7139EFF1"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Utilice estructuras gramaticales simples</w:t>
      </w:r>
    </w:p>
    <w:p w14:paraId="56B6DEEB"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Planifique el contrainterrogatorio</w:t>
      </w:r>
    </w:p>
    <w:p w14:paraId="4092CCA4"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No solicite explicaciones al declarante adverso</w:t>
      </w:r>
    </w:p>
    <w:p w14:paraId="5AC17F4D"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No ponga a los declarantes a mentir</w:t>
      </w:r>
    </w:p>
    <w:p w14:paraId="4C3D9100"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Créase una buena reputación ante el Tribunal</w:t>
      </w:r>
    </w:p>
    <w:p w14:paraId="70F099A5"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Disponga de un objetivo alcanzable para interrogar</w:t>
      </w:r>
    </w:p>
    <w:p w14:paraId="59433751"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 xml:space="preserve">Adaptar el interrogatorio en función del testigo </w:t>
      </w:r>
    </w:p>
    <w:p w14:paraId="02ADF951"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Nunca salga de pesca durante el contrainterrogatorio</w:t>
      </w:r>
    </w:p>
    <w:p w14:paraId="67425890"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Haga el interrogatorio directo de forma ordenada</w:t>
      </w:r>
    </w:p>
    <w:p w14:paraId="774C78BC"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A sus testigos interróguelos de forma cronológica</w:t>
      </w:r>
    </w:p>
    <w:p w14:paraId="4BC0AEC5"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Debe saber sobre qué declarará cada testigo</w:t>
      </w:r>
    </w:p>
    <w:p w14:paraId="39FD99C1"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Organice por importancia los testigos. El primero y el último</w:t>
      </w:r>
    </w:p>
    <w:p w14:paraId="510040F4"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Si va a examinar evidencia material debe saber que dice</w:t>
      </w:r>
    </w:p>
    <w:p w14:paraId="11C8A131"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Sepa como introducir la prueba material</w:t>
      </w:r>
    </w:p>
    <w:p w14:paraId="58DC9264"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Evite la contradicción entre su teoría y los interrogatorios</w:t>
      </w:r>
    </w:p>
    <w:p w14:paraId="20E8EC02"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Si un testigo se “pierde”, déjelo ir</w:t>
      </w:r>
    </w:p>
    <w:p w14:paraId="22B2CEDD"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Evita realizar preguntas impugnables o inadmisibles</w:t>
      </w:r>
    </w:p>
    <w:p w14:paraId="40B6A85C"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Dominar la técnica de las preguntas abiertas y cerradas</w:t>
      </w:r>
    </w:p>
    <w:p w14:paraId="3A65B47A"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Usar preguntas de transición</w:t>
      </w:r>
    </w:p>
    <w:p w14:paraId="6AC98B1A"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Controlar el ritmo del interrogatorio</w:t>
      </w:r>
    </w:p>
    <w:p w14:paraId="50EA5C08"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Distinguir entre el interrogatorio directo y el contrainterrogatorio</w:t>
      </w:r>
    </w:p>
    <w:p w14:paraId="49D974D9"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Usar solo cuando sea necesario la segunda ronda de preguntas</w:t>
      </w:r>
    </w:p>
    <w:p w14:paraId="36648FC9"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Conocer la credibilidad que transmite un testigo y adaptar el interrogatorio</w:t>
      </w:r>
    </w:p>
    <w:p w14:paraId="4AECDB86"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También el cuerpo habla -el lenguaje corporal-</w:t>
      </w:r>
    </w:p>
    <w:p w14:paraId="7BAE84C9"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Dominar el lenguaje no verbal durante el interrogatorio</w:t>
      </w:r>
    </w:p>
    <w:p w14:paraId="7128FC71"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lastRenderedPageBreak/>
        <w:t>No se intimide ante la llamada de atención del juez, pero respételo</w:t>
      </w:r>
    </w:p>
    <w:p w14:paraId="4C696AC5"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Controle sus nervios</w:t>
      </w:r>
    </w:p>
    <w:p w14:paraId="0331DAD1"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Controle su ira.  El proceso es adversativo</w:t>
      </w:r>
    </w:p>
    <w:p w14:paraId="2AA42FD6"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Adaptar el interrogatorio a las condiciones de tiempo y lugar</w:t>
      </w:r>
    </w:p>
    <w:p w14:paraId="77CBE927"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Cortesía y simpatía en la audiencia</w:t>
      </w:r>
    </w:p>
    <w:p w14:paraId="64BC67CA"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No hable ni interrumpa al juez mientras él está resolviendo o dando instrucciones</w:t>
      </w:r>
    </w:p>
    <w:p w14:paraId="2AE69C82"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Hable en vos baja cuando el colega de la contraparte está interviniendo</w:t>
      </w:r>
    </w:p>
    <w:p w14:paraId="6C0EDED2"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En estrados hemos de ser muy organizados. No se vea en un mar de papeles</w:t>
      </w:r>
    </w:p>
    <w:p w14:paraId="118715F4"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Emplea herramientas que faciliten el interrogatorio: la ficha del testigo</w:t>
      </w:r>
    </w:p>
    <w:p w14:paraId="0661E844"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Si puedes, acredite a su testigo</w:t>
      </w:r>
    </w:p>
    <w:p w14:paraId="75183C23"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Si puede, acredite el testimonio de tu testigo</w:t>
      </w:r>
    </w:p>
    <w:p w14:paraId="3DC7F6D6"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Si puede, desacredita al testigo adverso</w:t>
      </w:r>
    </w:p>
    <w:p w14:paraId="3B554DC7"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No emplee tecnicismos en los interrogatorios</w:t>
      </w:r>
    </w:p>
    <w:p w14:paraId="5295A38F"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Si puede, desacredita el testimonio adverso</w:t>
      </w:r>
    </w:p>
    <w:p w14:paraId="51B07DBD"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Durante el interrogatorio, mantener la máxima atención y concentración</w:t>
      </w:r>
    </w:p>
    <w:p w14:paraId="7AD49EDD"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Domine la técnica de impugnación de preguntas y acciones de la contraria</w:t>
      </w:r>
    </w:p>
    <w:p w14:paraId="49DF7101"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Impugnar las preguntas verdaderamente impugnables</w:t>
      </w:r>
    </w:p>
    <w:p w14:paraId="1BFF22C9"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No repetir las preguntas ya realizadas</w:t>
      </w:r>
    </w:p>
    <w:p w14:paraId="25E63052"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Miré al testigo mientras declara</w:t>
      </w:r>
    </w:p>
    <w:p w14:paraId="0AD86F37"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No interrumpa al testigo cuando declara</w:t>
      </w:r>
    </w:p>
    <w:p w14:paraId="2C2F5804"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No amenace al declarante</w:t>
      </w:r>
    </w:p>
    <w:p w14:paraId="2F504C6C"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No antagonizar con el testigo</w:t>
      </w:r>
    </w:p>
    <w:p w14:paraId="3690A333"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Control de la voz y su velocidad</w:t>
      </w:r>
    </w:p>
    <w:p w14:paraId="65D1BECE"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No afirme en vez de interrogar</w:t>
      </w:r>
    </w:p>
    <w:p w14:paraId="3A91D887"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Evite que el testimonio de su testigo aburra al juez</w:t>
      </w:r>
    </w:p>
    <w:p w14:paraId="082C77E8"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Anticipar las debilidades del testigo (si se dan las condiciones)</w:t>
      </w:r>
    </w:p>
    <w:p w14:paraId="2D00AFFC"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Comience y finalice de manera sólida</w:t>
      </w:r>
    </w:p>
    <w:p w14:paraId="0E6C32F0"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En el interrogatorio directo el testigo es el protagonista</w:t>
      </w:r>
    </w:p>
    <w:p w14:paraId="67EAD33D"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Atacar la motivación del testigo</w:t>
      </w:r>
    </w:p>
    <w:p w14:paraId="36B6B1E3"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lastRenderedPageBreak/>
        <w:t>Al testigo que miente, pregúntale por los detalles</w:t>
      </w:r>
    </w:p>
    <w:p w14:paraId="19D32C6E"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No llevar una lista larga de preguntas, salvo en declaración de parte.</w:t>
      </w:r>
    </w:p>
    <w:p w14:paraId="555C3F11"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No leer las preguntas durante el interrogatorio</w:t>
      </w:r>
    </w:p>
    <w:p w14:paraId="4EEC577A"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No emplear tecnicismos durante el interrogatorio</w:t>
      </w:r>
    </w:p>
    <w:p w14:paraId="5BE4B72A"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El contrainterrogatorio, si breve, dos veces bueno</w:t>
      </w:r>
    </w:p>
    <w:p w14:paraId="7053A9E9"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Durante el contrainterrogatorio, hay que controlar al testigo</w:t>
      </w:r>
    </w:p>
    <w:p w14:paraId="54AA3FD0"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Al preguntar, hay que ser precisos</w:t>
      </w:r>
    </w:p>
    <w:p w14:paraId="225EE542"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No haga señales de aprobación y desaprobación</w:t>
      </w:r>
    </w:p>
    <w:p w14:paraId="2D8DCE86"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Imaginación e improvisación ante lo inesperado</w:t>
      </w:r>
    </w:p>
    <w:p w14:paraId="3438B157"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Durante el contrainterrogatorio, ¡No se rinda!</w:t>
      </w:r>
    </w:p>
    <w:p w14:paraId="7DF81518"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Saber cuándo es mejor no interrogar</w:t>
      </w:r>
    </w:p>
    <w:p w14:paraId="314E264B"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Sepa escuchar la contestación del testigo</w:t>
      </w:r>
    </w:p>
    <w:p w14:paraId="1E1FC65E"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Prepare a su cliente</w:t>
      </w:r>
    </w:p>
    <w:p w14:paraId="4409C3B0"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Interrogue con el auxilio de un experto a los expertos</w:t>
      </w:r>
    </w:p>
    <w:p w14:paraId="45A511FA"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Sepa distinguir entre testigo ordinario, experto y perito</w:t>
      </w:r>
    </w:p>
    <w:p w14:paraId="68AF71E5"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En el interrogatorio, una vez te has anotado el tanto, ¡no sigas!</w:t>
      </w:r>
    </w:p>
    <w:p w14:paraId="2DB1425F"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Saber cuándo y cómo terminar</w:t>
      </w:r>
    </w:p>
    <w:p w14:paraId="044C0ABC"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Concluir el interrogatorio evitando una respuesta desfavorable</w:t>
      </w:r>
    </w:p>
    <w:p w14:paraId="74448810"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No pregunte al testigo si no conoces la respuesta</w:t>
      </w:r>
    </w:p>
    <w:p w14:paraId="0424CFBE"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Nunca se enfrente al testigo</w:t>
      </w:r>
    </w:p>
    <w:p w14:paraId="13425E4E"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Nunca se enfrente al juez o le falte el respeto</w:t>
      </w:r>
    </w:p>
    <w:p w14:paraId="7428853D"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Durante el contrainterrogatorio, evita preguntar ¿Por qué?</w:t>
      </w:r>
    </w:p>
    <w:p w14:paraId="518C6A1F"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Evite las muletillas</w:t>
      </w:r>
    </w:p>
    <w:p w14:paraId="12D015EF"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Emplear el silencio para magnificar tu éxito</w:t>
      </w:r>
    </w:p>
    <w:p w14:paraId="53E6302A"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Saber cuándo hay que interrumpir al testigo</w:t>
      </w:r>
    </w:p>
    <w:p w14:paraId="40D299E4"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Que su fisonomía no lo delate por una respuesta adversa</w:t>
      </w:r>
    </w:p>
    <w:p w14:paraId="6A66A97A"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Nunca transmita el impacto de una respuesta demoledora</w:t>
      </w:r>
    </w:p>
    <w:p w14:paraId="7F808B80"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No celebre el resultado del interrogatorio. El partido no termina</w:t>
      </w:r>
    </w:p>
    <w:p w14:paraId="0174BA12" w14:textId="77777777" w:rsidR="008057F8" w:rsidRPr="00D66245" w:rsidRDefault="008057F8" w:rsidP="008057F8">
      <w:pPr>
        <w:pStyle w:val="Prrafodelista"/>
        <w:numPr>
          <w:ilvl w:val="0"/>
          <w:numId w:val="81"/>
        </w:numPr>
        <w:spacing w:after="0" w:line="240" w:lineRule="auto"/>
        <w:ind w:firstLine="0"/>
        <w:contextualSpacing w:val="0"/>
        <w:rPr>
          <w:rFonts w:ascii="Palatino Linotype" w:hAnsi="Palatino Linotype"/>
        </w:rPr>
      </w:pPr>
      <w:r w:rsidRPr="00D66245">
        <w:rPr>
          <w:rFonts w:ascii="Palatino Linotype" w:hAnsi="Palatino Linotype"/>
        </w:rPr>
        <w:t>La esencia del juicio es la incertidumbre, no de un caso por perdido al inicio</w:t>
      </w:r>
    </w:p>
    <w:p w14:paraId="7612EEB9" w14:textId="45FF4800" w:rsidR="008057F8" w:rsidRDefault="008057F8" w:rsidP="008057F8">
      <w:pPr>
        <w:pStyle w:val="Prrafodelista"/>
        <w:numPr>
          <w:ilvl w:val="0"/>
          <w:numId w:val="81"/>
        </w:numPr>
        <w:spacing w:after="200" w:line="240" w:lineRule="auto"/>
        <w:ind w:firstLine="0"/>
        <w:contextualSpacing w:val="0"/>
        <w:rPr>
          <w:rFonts w:ascii="Palatino Linotype" w:hAnsi="Palatino Linotype"/>
        </w:rPr>
      </w:pPr>
      <w:r w:rsidRPr="00D66245">
        <w:rPr>
          <w:rFonts w:ascii="Palatino Linotype" w:hAnsi="Palatino Linotype"/>
        </w:rPr>
        <w:t>Sepa distinguir entre una audiencia, objeción, recurso o impugnación</w:t>
      </w:r>
    </w:p>
    <w:p w14:paraId="6D7A05CF" w14:textId="77777777" w:rsidR="00BE4897" w:rsidRPr="00D66245" w:rsidRDefault="00BE4897" w:rsidP="00BE4897">
      <w:pPr>
        <w:pStyle w:val="Prrafodelista"/>
        <w:spacing w:after="200" w:line="240" w:lineRule="auto"/>
        <w:contextualSpacing w:val="0"/>
        <w:rPr>
          <w:rFonts w:ascii="Palatino Linotype" w:hAnsi="Palatino Linotype"/>
        </w:rPr>
      </w:pPr>
    </w:p>
    <w:p w14:paraId="4F5D1329"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b/>
        </w:rPr>
        <w:lastRenderedPageBreak/>
        <w:t>2.- ENTREVISTA Y PREPARACIÓN DEL TESTIGO</w:t>
      </w:r>
      <w:bookmarkEnd w:id="11"/>
    </w:p>
    <w:p w14:paraId="40B4FD1D"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Entrevista: forma de comunicación a través de la cual se recibe información.</w:t>
      </w:r>
    </w:p>
    <w:p w14:paraId="7A5F069E"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Sirve para recolectar datos, antecedentes (del día o posteriores del hecho objeto del debate).</w:t>
      </w:r>
    </w:p>
    <w:p w14:paraId="2A8DC75F"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Su fin es recolectar datos dentro de los roles que tienen los intervinientes en el juicio oral y público.</w:t>
      </w:r>
    </w:p>
    <w:p w14:paraId="1C26579D"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Con ella se persiguen dos metas:</w:t>
      </w:r>
    </w:p>
    <w:p w14:paraId="05FBDC2F"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r>
      <w:r w:rsidRPr="00D66245">
        <w:rPr>
          <w:rFonts w:ascii="Palatino Linotype" w:hAnsi="Palatino Linotype"/>
        </w:rPr>
        <w:tab/>
        <w:t>1. Establecer comunicación y confianza</w:t>
      </w:r>
    </w:p>
    <w:p w14:paraId="2A3AA8C1"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ab/>
      </w:r>
      <w:r w:rsidRPr="00D66245">
        <w:rPr>
          <w:rFonts w:ascii="Palatino Linotype" w:hAnsi="Palatino Linotype"/>
        </w:rPr>
        <w:tab/>
        <w:t>2. Obtener información de los hechos</w:t>
      </w:r>
    </w:p>
    <w:p w14:paraId="5DA0337C" w14:textId="77777777" w:rsidR="008057F8" w:rsidRPr="00D66245" w:rsidRDefault="008057F8" w:rsidP="008057F8">
      <w:pPr>
        <w:spacing w:before="120" w:after="200" w:line="240" w:lineRule="auto"/>
        <w:jc w:val="both"/>
        <w:rPr>
          <w:rFonts w:ascii="Palatino Linotype" w:hAnsi="Palatino Linotype"/>
          <w:b/>
        </w:rPr>
      </w:pPr>
      <w:bookmarkStart w:id="12" w:name="_Hlk3928463"/>
      <w:r w:rsidRPr="00D66245">
        <w:rPr>
          <w:rFonts w:ascii="Palatino Linotype" w:hAnsi="Palatino Linotype"/>
          <w:b/>
        </w:rPr>
        <w:t>3.- EL LENGUAJE DE LA ENTREVISTA</w:t>
      </w:r>
      <w:bookmarkEnd w:id="12"/>
    </w:p>
    <w:p w14:paraId="65E415F4"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Es de suma importancia el uso de un correcto lenguaje que no se circunscribe a la precisa elaboración de las preguntas sino a la interpretación de los gestos, conocimiento, aptitudes y silencios del entrevistado.</w:t>
      </w:r>
    </w:p>
    <w:p w14:paraId="7A2B1FC8"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La comunicación se da en dos niveles:</w:t>
      </w:r>
    </w:p>
    <w:p w14:paraId="636F3C4E" w14:textId="77777777" w:rsidR="008057F8" w:rsidRPr="00D66245" w:rsidRDefault="008057F8" w:rsidP="008057F8">
      <w:pPr>
        <w:pStyle w:val="Prrafodelista"/>
        <w:numPr>
          <w:ilvl w:val="2"/>
          <w:numId w:val="67"/>
        </w:numPr>
        <w:spacing w:before="120" w:after="200" w:line="240" w:lineRule="auto"/>
        <w:contextualSpacing w:val="0"/>
        <w:jc w:val="both"/>
        <w:rPr>
          <w:rFonts w:ascii="Palatino Linotype" w:hAnsi="Palatino Linotype"/>
        </w:rPr>
      </w:pPr>
      <w:r w:rsidRPr="00D66245">
        <w:rPr>
          <w:rFonts w:ascii="Palatino Linotype" w:hAnsi="Palatino Linotype"/>
        </w:rPr>
        <w:t>Verbal</w:t>
      </w:r>
    </w:p>
    <w:p w14:paraId="3D6977E5" w14:textId="77777777" w:rsidR="008057F8" w:rsidRPr="00D66245" w:rsidRDefault="008057F8" w:rsidP="008057F8">
      <w:pPr>
        <w:pStyle w:val="Prrafodelista"/>
        <w:numPr>
          <w:ilvl w:val="2"/>
          <w:numId w:val="67"/>
        </w:numPr>
        <w:spacing w:before="120" w:after="200" w:line="240" w:lineRule="auto"/>
        <w:contextualSpacing w:val="0"/>
        <w:jc w:val="both"/>
        <w:rPr>
          <w:rFonts w:ascii="Palatino Linotype" w:hAnsi="Palatino Linotype"/>
        </w:rPr>
      </w:pPr>
      <w:r w:rsidRPr="00D66245">
        <w:rPr>
          <w:rFonts w:ascii="Palatino Linotype" w:hAnsi="Palatino Linotype"/>
        </w:rPr>
        <w:t>No verbal</w:t>
      </w:r>
    </w:p>
    <w:p w14:paraId="122953D3" w14:textId="77777777" w:rsidR="008057F8" w:rsidRPr="00D66245" w:rsidRDefault="008057F8" w:rsidP="008057F8">
      <w:pPr>
        <w:spacing w:before="120" w:after="200" w:line="240" w:lineRule="auto"/>
        <w:jc w:val="both"/>
        <w:rPr>
          <w:rFonts w:ascii="Palatino Linotype" w:hAnsi="Palatino Linotype"/>
        </w:rPr>
      </w:pPr>
      <w:bookmarkStart w:id="13" w:name="_Hlk3928478"/>
      <w:r w:rsidRPr="00D66245">
        <w:rPr>
          <w:rFonts w:ascii="Palatino Linotype" w:hAnsi="Palatino Linotype"/>
          <w:b/>
          <w:bCs/>
        </w:rPr>
        <w:t>4.- REGLAS GENERALES PARA DESARROLLAR UNA ENTREVISTA</w:t>
      </w:r>
      <w:bookmarkEnd w:id="13"/>
    </w:p>
    <w:p w14:paraId="56819201" w14:textId="77777777" w:rsidR="008057F8" w:rsidRPr="00D66245" w:rsidRDefault="008057F8" w:rsidP="008057F8">
      <w:pPr>
        <w:pStyle w:val="Prrafodelista"/>
        <w:numPr>
          <w:ilvl w:val="0"/>
          <w:numId w:val="66"/>
        </w:numPr>
        <w:spacing w:before="120" w:after="200" w:line="240" w:lineRule="auto"/>
        <w:ind w:left="924" w:hanging="357"/>
        <w:contextualSpacing w:val="0"/>
        <w:jc w:val="both"/>
        <w:rPr>
          <w:rFonts w:ascii="Palatino Linotype" w:hAnsi="Palatino Linotype"/>
        </w:rPr>
      </w:pPr>
      <w:r w:rsidRPr="00D66245">
        <w:rPr>
          <w:rFonts w:ascii="Palatino Linotype" w:hAnsi="Palatino Linotype"/>
        </w:rPr>
        <w:t>Prepararla con anticipación</w:t>
      </w:r>
    </w:p>
    <w:p w14:paraId="43CB0DB9" w14:textId="77777777" w:rsidR="008057F8" w:rsidRPr="00D66245" w:rsidRDefault="008057F8" w:rsidP="008057F8">
      <w:pPr>
        <w:pStyle w:val="Prrafodelista"/>
        <w:numPr>
          <w:ilvl w:val="0"/>
          <w:numId w:val="66"/>
        </w:numPr>
        <w:spacing w:before="120" w:after="200" w:line="240" w:lineRule="auto"/>
        <w:ind w:left="924" w:hanging="357"/>
        <w:contextualSpacing w:val="0"/>
        <w:jc w:val="both"/>
        <w:rPr>
          <w:rFonts w:ascii="Palatino Linotype" w:hAnsi="Palatino Linotype"/>
        </w:rPr>
      </w:pPr>
      <w:r w:rsidRPr="00D66245">
        <w:rPr>
          <w:rFonts w:ascii="Palatino Linotype" w:hAnsi="Palatino Linotype"/>
        </w:rPr>
        <w:t>Conocer fortalezas y debilidades</w:t>
      </w:r>
    </w:p>
    <w:p w14:paraId="5FDA587C" w14:textId="77777777" w:rsidR="008057F8" w:rsidRPr="00D66245" w:rsidRDefault="008057F8" w:rsidP="008057F8">
      <w:pPr>
        <w:pStyle w:val="Prrafodelista"/>
        <w:numPr>
          <w:ilvl w:val="0"/>
          <w:numId w:val="66"/>
        </w:numPr>
        <w:spacing w:before="120" w:after="200" w:line="240" w:lineRule="auto"/>
        <w:ind w:left="924" w:hanging="357"/>
        <w:contextualSpacing w:val="0"/>
        <w:jc w:val="both"/>
        <w:rPr>
          <w:rFonts w:ascii="Palatino Linotype" w:hAnsi="Palatino Linotype"/>
        </w:rPr>
      </w:pPr>
      <w:r w:rsidRPr="00D66245">
        <w:rPr>
          <w:rFonts w:ascii="Palatino Linotype" w:hAnsi="Palatino Linotype"/>
        </w:rPr>
        <w:t>Crear un clima de confianza y colaboración</w:t>
      </w:r>
    </w:p>
    <w:p w14:paraId="56816490" w14:textId="77777777" w:rsidR="008057F8" w:rsidRPr="00D66245" w:rsidRDefault="008057F8" w:rsidP="008057F8">
      <w:pPr>
        <w:pStyle w:val="Prrafodelista"/>
        <w:numPr>
          <w:ilvl w:val="0"/>
          <w:numId w:val="66"/>
        </w:numPr>
        <w:spacing w:before="120" w:after="200" w:line="240" w:lineRule="auto"/>
        <w:ind w:left="924" w:hanging="357"/>
        <w:contextualSpacing w:val="0"/>
        <w:jc w:val="both"/>
        <w:rPr>
          <w:rFonts w:ascii="Palatino Linotype" w:hAnsi="Palatino Linotype"/>
        </w:rPr>
      </w:pPr>
      <w:r w:rsidRPr="00D66245">
        <w:rPr>
          <w:rFonts w:ascii="Palatino Linotype" w:hAnsi="Palatino Linotype"/>
        </w:rPr>
        <w:t>Prestar atención y saber escuchar al entrevistado</w:t>
      </w:r>
    </w:p>
    <w:p w14:paraId="3CFBC825" w14:textId="77777777" w:rsidR="008057F8" w:rsidRPr="00D66245" w:rsidRDefault="008057F8" w:rsidP="008057F8">
      <w:pPr>
        <w:pStyle w:val="Prrafodelista"/>
        <w:numPr>
          <w:ilvl w:val="0"/>
          <w:numId w:val="66"/>
        </w:numPr>
        <w:spacing w:before="120" w:after="200" w:line="240" w:lineRule="auto"/>
        <w:ind w:left="924" w:hanging="357"/>
        <w:contextualSpacing w:val="0"/>
        <w:jc w:val="both"/>
        <w:rPr>
          <w:rFonts w:ascii="Palatino Linotype" w:hAnsi="Palatino Linotype"/>
        </w:rPr>
      </w:pPr>
      <w:r w:rsidRPr="00D66245">
        <w:rPr>
          <w:rFonts w:ascii="Palatino Linotype" w:hAnsi="Palatino Linotype"/>
        </w:rPr>
        <w:t>Ponerse en el lugar del entrevistado y tener respeto por él</w:t>
      </w:r>
    </w:p>
    <w:p w14:paraId="223A197F" w14:textId="77777777" w:rsidR="008057F8" w:rsidRPr="00D66245" w:rsidRDefault="008057F8" w:rsidP="008057F8">
      <w:pPr>
        <w:pStyle w:val="Prrafodelista"/>
        <w:numPr>
          <w:ilvl w:val="0"/>
          <w:numId w:val="66"/>
        </w:numPr>
        <w:spacing w:before="120" w:after="200" w:line="240" w:lineRule="auto"/>
        <w:ind w:left="924" w:hanging="357"/>
        <w:contextualSpacing w:val="0"/>
        <w:jc w:val="both"/>
        <w:rPr>
          <w:rFonts w:ascii="Palatino Linotype" w:hAnsi="Palatino Linotype"/>
        </w:rPr>
      </w:pPr>
      <w:r w:rsidRPr="00D66245">
        <w:rPr>
          <w:rFonts w:ascii="Palatino Linotype" w:hAnsi="Palatino Linotype"/>
        </w:rPr>
        <w:t>Utilizar un lenguaje acorde con su nivel</w:t>
      </w:r>
    </w:p>
    <w:p w14:paraId="29F0DFC0" w14:textId="77777777" w:rsidR="008057F8" w:rsidRPr="00D66245" w:rsidRDefault="008057F8" w:rsidP="008057F8">
      <w:pPr>
        <w:pStyle w:val="Prrafodelista"/>
        <w:numPr>
          <w:ilvl w:val="0"/>
          <w:numId w:val="66"/>
        </w:numPr>
        <w:spacing w:before="120" w:after="200" w:line="240" w:lineRule="auto"/>
        <w:ind w:left="924" w:hanging="357"/>
        <w:contextualSpacing w:val="0"/>
        <w:jc w:val="both"/>
        <w:rPr>
          <w:rFonts w:ascii="Palatino Linotype" w:hAnsi="Palatino Linotype"/>
        </w:rPr>
      </w:pPr>
      <w:r w:rsidRPr="00D66245">
        <w:rPr>
          <w:rFonts w:ascii="Palatino Linotype" w:hAnsi="Palatino Linotype"/>
        </w:rPr>
        <w:t>Cumplir con los objetivos planeados</w:t>
      </w:r>
    </w:p>
    <w:p w14:paraId="18C48E96" w14:textId="77777777" w:rsidR="008057F8" w:rsidRPr="00D66245" w:rsidRDefault="008057F8" w:rsidP="008057F8">
      <w:pPr>
        <w:pStyle w:val="Prrafodelista"/>
        <w:numPr>
          <w:ilvl w:val="0"/>
          <w:numId w:val="66"/>
        </w:numPr>
        <w:spacing w:before="120" w:after="200" w:line="240" w:lineRule="auto"/>
        <w:ind w:left="924" w:hanging="357"/>
        <w:contextualSpacing w:val="0"/>
        <w:jc w:val="both"/>
        <w:rPr>
          <w:rFonts w:ascii="Palatino Linotype" w:hAnsi="Palatino Linotype"/>
        </w:rPr>
      </w:pPr>
      <w:r w:rsidRPr="00D66245">
        <w:rPr>
          <w:rFonts w:ascii="Palatino Linotype" w:hAnsi="Palatino Linotype"/>
        </w:rPr>
        <w:lastRenderedPageBreak/>
        <w:t>Evitar que el entrevistado asuma control</w:t>
      </w:r>
    </w:p>
    <w:p w14:paraId="479ECF0F" w14:textId="77777777" w:rsidR="008057F8" w:rsidRPr="00D66245" w:rsidRDefault="008057F8" w:rsidP="008057F8">
      <w:pPr>
        <w:pStyle w:val="Prrafodelista"/>
        <w:numPr>
          <w:ilvl w:val="0"/>
          <w:numId w:val="66"/>
        </w:numPr>
        <w:spacing w:before="120" w:after="200" w:line="240" w:lineRule="auto"/>
        <w:ind w:left="924" w:hanging="357"/>
        <w:contextualSpacing w:val="0"/>
        <w:jc w:val="both"/>
        <w:rPr>
          <w:rFonts w:ascii="Palatino Linotype" w:hAnsi="Palatino Linotype"/>
        </w:rPr>
      </w:pPr>
      <w:r w:rsidRPr="00D66245">
        <w:rPr>
          <w:rFonts w:ascii="Palatino Linotype" w:hAnsi="Palatino Linotype"/>
        </w:rPr>
        <w:t>Evidenciar sinceridad con el entrevistado</w:t>
      </w:r>
    </w:p>
    <w:p w14:paraId="327A3FA0" w14:textId="77777777" w:rsidR="008057F8" w:rsidRPr="00D66245" w:rsidRDefault="008057F8" w:rsidP="008057F8">
      <w:pPr>
        <w:pStyle w:val="Prrafodelista"/>
        <w:numPr>
          <w:ilvl w:val="0"/>
          <w:numId w:val="66"/>
        </w:numPr>
        <w:spacing w:before="120" w:after="200" w:line="240" w:lineRule="auto"/>
        <w:ind w:left="924" w:hanging="357"/>
        <w:contextualSpacing w:val="0"/>
        <w:jc w:val="both"/>
        <w:rPr>
          <w:rFonts w:ascii="Palatino Linotype" w:hAnsi="Palatino Linotype"/>
        </w:rPr>
      </w:pPr>
      <w:r w:rsidRPr="00D66245">
        <w:rPr>
          <w:rFonts w:ascii="Palatino Linotype" w:hAnsi="Palatino Linotype"/>
        </w:rPr>
        <w:t>Explíquele las reglas sobre la prueba</w:t>
      </w:r>
    </w:p>
    <w:p w14:paraId="16E7BA6A" w14:textId="77777777" w:rsidR="008057F8" w:rsidRPr="00D66245" w:rsidRDefault="008057F8" w:rsidP="008057F8">
      <w:pPr>
        <w:spacing w:before="120" w:after="200" w:line="240" w:lineRule="auto"/>
        <w:jc w:val="both"/>
        <w:rPr>
          <w:rFonts w:ascii="Palatino Linotype" w:hAnsi="Palatino Linotype"/>
        </w:rPr>
      </w:pPr>
      <w:bookmarkStart w:id="14" w:name="_Hlk3928499"/>
      <w:r w:rsidRPr="00D66245">
        <w:rPr>
          <w:rFonts w:ascii="Palatino Linotype" w:hAnsi="Palatino Linotype"/>
          <w:b/>
          <w:bCs/>
        </w:rPr>
        <w:t>5.- OTRAS MEDIDAS A TOMAR:</w:t>
      </w:r>
      <w:bookmarkEnd w:id="14"/>
    </w:p>
    <w:p w14:paraId="52E72D74" w14:textId="77777777" w:rsidR="008057F8" w:rsidRPr="00D66245" w:rsidRDefault="008057F8" w:rsidP="008057F8">
      <w:pPr>
        <w:pStyle w:val="Prrafodelista"/>
        <w:numPr>
          <w:ilvl w:val="0"/>
          <w:numId w:val="68"/>
        </w:numPr>
        <w:spacing w:before="120" w:after="200" w:line="240" w:lineRule="auto"/>
        <w:contextualSpacing w:val="0"/>
        <w:jc w:val="both"/>
        <w:rPr>
          <w:rFonts w:ascii="Palatino Linotype" w:hAnsi="Palatino Linotype"/>
        </w:rPr>
      </w:pPr>
      <w:r w:rsidRPr="00D66245">
        <w:rPr>
          <w:rFonts w:ascii="Palatino Linotype" w:hAnsi="Palatino Linotype"/>
          <w:bCs/>
          <w:lang w:val="es-ES"/>
        </w:rPr>
        <w:t>Nueva entrevista con el cliente</w:t>
      </w:r>
    </w:p>
    <w:p w14:paraId="09C796C8" w14:textId="77777777" w:rsidR="008057F8" w:rsidRPr="00D66245" w:rsidRDefault="008057F8" w:rsidP="008057F8">
      <w:pPr>
        <w:pStyle w:val="Prrafodelista"/>
        <w:numPr>
          <w:ilvl w:val="0"/>
          <w:numId w:val="68"/>
        </w:numPr>
        <w:spacing w:before="120" w:after="200" w:line="240" w:lineRule="auto"/>
        <w:contextualSpacing w:val="0"/>
        <w:jc w:val="both"/>
        <w:rPr>
          <w:rFonts w:ascii="Palatino Linotype" w:hAnsi="Palatino Linotype"/>
        </w:rPr>
      </w:pPr>
      <w:r w:rsidRPr="00D66245">
        <w:rPr>
          <w:rFonts w:ascii="Palatino Linotype" w:hAnsi="Palatino Linotype"/>
          <w:bCs/>
          <w:lang w:val="es-ES"/>
        </w:rPr>
        <w:t>Reconocimiento in situ</w:t>
      </w:r>
    </w:p>
    <w:p w14:paraId="48F02FC0" w14:textId="77777777" w:rsidR="008057F8" w:rsidRPr="00D66245" w:rsidRDefault="008057F8" w:rsidP="008057F8">
      <w:pPr>
        <w:pStyle w:val="Prrafodelista"/>
        <w:numPr>
          <w:ilvl w:val="0"/>
          <w:numId w:val="68"/>
        </w:numPr>
        <w:spacing w:before="120" w:after="200" w:line="240" w:lineRule="auto"/>
        <w:contextualSpacing w:val="0"/>
        <w:jc w:val="both"/>
        <w:rPr>
          <w:rFonts w:ascii="Palatino Linotype" w:hAnsi="Palatino Linotype"/>
        </w:rPr>
      </w:pPr>
      <w:r w:rsidRPr="00D66245">
        <w:rPr>
          <w:rFonts w:ascii="Palatino Linotype" w:hAnsi="Palatino Linotype"/>
          <w:bCs/>
          <w:lang w:val="es-ES_tradnl"/>
        </w:rPr>
        <w:t>Establecer testigos prioritarios</w:t>
      </w:r>
    </w:p>
    <w:p w14:paraId="4164C253" w14:textId="77777777" w:rsidR="008057F8" w:rsidRPr="00D66245" w:rsidRDefault="008057F8" w:rsidP="008057F8">
      <w:pPr>
        <w:pStyle w:val="Prrafodelista"/>
        <w:numPr>
          <w:ilvl w:val="0"/>
          <w:numId w:val="68"/>
        </w:numPr>
        <w:spacing w:before="120" w:after="200" w:line="240" w:lineRule="auto"/>
        <w:contextualSpacing w:val="0"/>
        <w:jc w:val="both"/>
        <w:rPr>
          <w:rFonts w:ascii="Palatino Linotype" w:hAnsi="Palatino Linotype"/>
        </w:rPr>
      </w:pPr>
      <w:r w:rsidRPr="00D66245">
        <w:rPr>
          <w:rFonts w:ascii="Palatino Linotype" w:hAnsi="Palatino Linotype"/>
          <w:bCs/>
          <w:lang w:val="es-ES"/>
        </w:rPr>
        <w:t>Calificar a los testigos</w:t>
      </w:r>
    </w:p>
    <w:p w14:paraId="517FC15E" w14:textId="77777777" w:rsidR="008057F8" w:rsidRPr="00D66245" w:rsidRDefault="008057F8" w:rsidP="008057F8">
      <w:pPr>
        <w:pStyle w:val="Prrafodelista"/>
        <w:numPr>
          <w:ilvl w:val="0"/>
          <w:numId w:val="68"/>
        </w:numPr>
        <w:spacing w:before="120" w:after="200" w:line="240" w:lineRule="auto"/>
        <w:contextualSpacing w:val="0"/>
        <w:jc w:val="both"/>
        <w:rPr>
          <w:rFonts w:ascii="Palatino Linotype" w:hAnsi="Palatino Linotype"/>
        </w:rPr>
      </w:pPr>
      <w:r w:rsidRPr="00D66245">
        <w:rPr>
          <w:rFonts w:ascii="Palatino Linotype" w:hAnsi="Palatino Linotype"/>
          <w:bCs/>
          <w:lang w:val="es-ES"/>
        </w:rPr>
        <w:t>Decidir si se mantiene o descartan testigos inidóneos</w:t>
      </w:r>
    </w:p>
    <w:p w14:paraId="2D2A1D79" w14:textId="77777777" w:rsidR="008057F8" w:rsidRPr="00D66245" w:rsidRDefault="008057F8" w:rsidP="008057F8">
      <w:pPr>
        <w:spacing w:before="120" w:after="200" w:line="240" w:lineRule="auto"/>
        <w:jc w:val="both"/>
        <w:rPr>
          <w:rFonts w:ascii="Palatino Linotype" w:hAnsi="Palatino Linotype"/>
          <w:b/>
        </w:rPr>
      </w:pPr>
      <w:bookmarkStart w:id="15" w:name="_Hlk3928519"/>
      <w:r w:rsidRPr="00D66245">
        <w:rPr>
          <w:rFonts w:ascii="Palatino Linotype" w:hAnsi="Palatino Linotype"/>
          <w:b/>
        </w:rPr>
        <w:t>6.- PREPARACIÓN PARA EL INTERROGATORIO</w:t>
      </w:r>
      <w:bookmarkEnd w:id="15"/>
    </w:p>
    <w:p w14:paraId="43B97B21" w14:textId="77777777" w:rsidR="008057F8" w:rsidRPr="00D66245" w:rsidRDefault="008057F8" w:rsidP="008057F8">
      <w:pPr>
        <w:numPr>
          <w:ilvl w:val="0"/>
          <w:numId w:val="53"/>
        </w:numPr>
        <w:spacing w:before="120" w:after="200" w:line="240" w:lineRule="auto"/>
        <w:jc w:val="both"/>
        <w:rPr>
          <w:rFonts w:ascii="Palatino Linotype" w:hAnsi="Palatino Linotype"/>
        </w:rPr>
      </w:pPr>
      <w:r w:rsidRPr="00D66245">
        <w:rPr>
          <w:rFonts w:ascii="Palatino Linotype" w:hAnsi="Palatino Linotype"/>
          <w:bCs/>
          <w:lang w:val="es-ES_tradnl"/>
        </w:rPr>
        <w:t>Objetivo y plan general</w:t>
      </w:r>
    </w:p>
    <w:p w14:paraId="3DB58877" w14:textId="77777777" w:rsidR="008057F8" w:rsidRPr="00D66245" w:rsidRDefault="008057F8" w:rsidP="008057F8">
      <w:pPr>
        <w:numPr>
          <w:ilvl w:val="0"/>
          <w:numId w:val="53"/>
        </w:numPr>
        <w:spacing w:before="120" w:after="200" w:line="240" w:lineRule="auto"/>
        <w:jc w:val="both"/>
        <w:rPr>
          <w:rFonts w:ascii="Palatino Linotype" w:hAnsi="Palatino Linotype"/>
        </w:rPr>
      </w:pPr>
      <w:r w:rsidRPr="00D66245">
        <w:rPr>
          <w:rFonts w:ascii="Palatino Linotype" w:hAnsi="Palatino Linotype"/>
          <w:bCs/>
        </w:rPr>
        <w:t>Re-lea la demanda contestación y principales pruebas</w:t>
      </w:r>
    </w:p>
    <w:p w14:paraId="78411126" w14:textId="77777777" w:rsidR="008057F8" w:rsidRPr="00D66245" w:rsidRDefault="008057F8" w:rsidP="008057F8">
      <w:pPr>
        <w:numPr>
          <w:ilvl w:val="0"/>
          <w:numId w:val="53"/>
        </w:numPr>
        <w:spacing w:before="120" w:after="200" w:line="240" w:lineRule="auto"/>
        <w:jc w:val="both"/>
        <w:rPr>
          <w:rFonts w:ascii="Palatino Linotype" w:hAnsi="Palatino Linotype"/>
        </w:rPr>
      </w:pPr>
      <w:r w:rsidRPr="00D66245">
        <w:rPr>
          <w:rFonts w:ascii="Palatino Linotype" w:hAnsi="Palatino Linotype"/>
          <w:bCs/>
        </w:rPr>
        <w:t>Prepare y revise los interrogatorios</w:t>
      </w:r>
    </w:p>
    <w:p w14:paraId="733BC96D" w14:textId="77777777" w:rsidR="008057F8" w:rsidRPr="00D66245" w:rsidRDefault="008057F8" w:rsidP="008057F8">
      <w:pPr>
        <w:numPr>
          <w:ilvl w:val="0"/>
          <w:numId w:val="53"/>
        </w:numPr>
        <w:spacing w:before="120" w:after="200" w:line="240" w:lineRule="auto"/>
        <w:jc w:val="both"/>
        <w:rPr>
          <w:rFonts w:ascii="Palatino Linotype" w:hAnsi="Palatino Linotype"/>
        </w:rPr>
      </w:pPr>
      <w:r w:rsidRPr="00D66245">
        <w:rPr>
          <w:rFonts w:ascii="Palatino Linotype" w:hAnsi="Palatino Linotype"/>
          <w:bCs/>
        </w:rPr>
        <w:t>Repase previamente los interrogatorios</w:t>
      </w:r>
    </w:p>
    <w:p w14:paraId="57AB46B8" w14:textId="77777777" w:rsidR="008057F8" w:rsidRPr="00D66245" w:rsidRDefault="008057F8" w:rsidP="008057F8">
      <w:pPr>
        <w:numPr>
          <w:ilvl w:val="0"/>
          <w:numId w:val="53"/>
        </w:numPr>
        <w:spacing w:before="120" w:after="200" w:line="240" w:lineRule="auto"/>
        <w:jc w:val="both"/>
        <w:rPr>
          <w:rFonts w:ascii="Palatino Linotype" w:hAnsi="Palatino Linotype"/>
        </w:rPr>
      </w:pPr>
      <w:r w:rsidRPr="00D66245">
        <w:rPr>
          <w:rFonts w:ascii="Palatino Linotype" w:hAnsi="Palatino Linotype"/>
          <w:bCs/>
        </w:rPr>
        <w:t>Entrevista previa al declarante</w:t>
      </w:r>
    </w:p>
    <w:p w14:paraId="60C4DEE1" w14:textId="77777777" w:rsidR="008057F8" w:rsidRPr="00D66245" w:rsidRDefault="008057F8" w:rsidP="008057F8">
      <w:pPr>
        <w:numPr>
          <w:ilvl w:val="0"/>
          <w:numId w:val="53"/>
        </w:numPr>
        <w:spacing w:before="120" w:after="200" w:line="240" w:lineRule="auto"/>
        <w:jc w:val="both"/>
        <w:rPr>
          <w:rFonts w:ascii="Palatino Linotype" w:hAnsi="Palatino Linotype"/>
        </w:rPr>
      </w:pPr>
      <w:r w:rsidRPr="00D66245">
        <w:rPr>
          <w:rFonts w:ascii="Palatino Linotype" w:hAnsi="Palatino Linotype"/>
          <w:bCs/>
          <w:lang w:val="es-ES_tradnl"/>
        </w:rPr>
        <w:t>Razonar preselección del testigo</w:t>
      </w:r>
    </w:p>
    <w:p w14:paraId="7BA73600" w14:textId="77777777" w:rsidR="008057F8" w:rsidRPr="00D66245" w:rsidRDefault="008057F8" w:rsidP="008057F8">
      <w:pPr>
        <w:numPr>
          <w:ilvl w:val="0"/>
          <w:numId w:val="53"/>
        </w:numPr>
        <w:spacing w:before="120" w:after="200" w:line="240" w:lineRule="auto"/>
        <w:jc w:val="both"/>
        <w:rPr>
          <w:rFonts w:ascii="Palatino Linotype" w:hAnsi="Palatino Linotype"/>
        </w:rPr>
      </w:pPr>
      <w:r w:rsidRPr="00D66245">
        <w:rPr>
          <w:rFonts w:ascii="Palatino Linotype" w:hAnsi="Palatino Linotype"/>
          <w:bCs/>
          <w:lang w:val="es-ES_tradnl"/>
        </w:rPr>
        <w:t>Idoneidad del declarante</w:t>
      </w:r>
    </w:p>
    <w:p w14:paraId="58CF9D27" w14:textId="77777777" w:rsidR="008057F8" w:rsidRPr="00D66245" w:rsidRDefault="008057F8" w:rsidP="008057F8">
      <w:pPr>
        <w:numPr>
          <w:ilvl w:val="0"/>
          <w:numId w:val="53"/>
        </w:numPr>
        <w:spacing w:before="120" w:after="200" w:line="240" w:lineRule="auto"/>
        <w:jc w:val="both"/>
        <w:rPr>
          <w:rFonts w:ascii="Palatino Linotype" w:hAnsi="Palatino Linotype"/>
        </w:rPr>
      </w:pPr>
      <w:r w:rsidRPr="00D66245">
        <w:rPr>
          <w:rFonts w:ascii="Palatino Linotype" w:hAnsi="Palatino Linotype"/>
          <w:bCs/>
          <w:lang w:val="es-ES_tradnl"/>
        </w:rPr>
        <w:t>Establecer el orden de importancia de declaración</w:t>
      </w:r>
    </w:p>
    <w:p w14:paraId="2FCCC473" w14:textId="77777777" w:rsidR="008057F8" w:rsidRPr="00D66245" w:rsidRDefault="008057F8" w:rsidP="008057F8">
      <w:pPr>
        <w:numPr>
          <w:ilvl w:val="0"/>
          <w:numId w:val="53"/>
        </w:numPr>
        <w:spacing w:before="120" w:after="200" w:line="240" w:lineRule="auto"/>
        <w:jc w:val="both"/>
        <w:rPr>
          <w:rFonts w:ascii="Palatino Linotype" w:hAnsi="Palatino Linotype"/>
        </w:rPr>
      </w:pPr>
      <w:r w:rsidRPr="00D66245">
        <w:rPr>
          <w:rFonts w:ascii="Palatino Linotype" w:hAnsi="Palatino Linotype"/>
          <w:bCs/>
          <w:lang w:val="es-ES_tradnl"/>
        </w:rPr>
        <w:t>Relación del declarante con teoría del caso</w:t>
      </w:r>
    </w:p>
    <w:p w14:paraId="5D993D1A" w14:textId="77777777" w:rsidR="008057F8" w:rsidRPr="00D66245" w:rsidRDefault="008057F8" w:rsidP="008057F8">
      <w:pPr>
        <w:numPr>
          <w:ilvl w:val="0"/>
          <w:numId w:val="53"/>
        </w:numPr>
        <w:spacing w:before="120" w:after="200" w:line="240" w:lineRule="auto"/>
        <w:jc w:val="both"/>
        <w:rPr>
          <w:rFonts w:ascii="Palatino Linotype" w:hAnsi="Palatino Linotype"/>
        </w:rPr>
      </w:pPr>
      <w:r w:rsidRPr="00D66245">
        <w:rPr>
          <w:rFonts w:ascii="Palatino Linotype" w:hAnsi="Palatino Linotype"/>
          <w:bCs/>
        </w:rPr>
        <w:t>Determinar lo que el testigo sabe o no sabe</w:t>
      </w:r>
    </w:p>
    <w:p w14:paraId="5AC9F9AB" w14:textId="77777777" w:rsidR="008057F8" w:rsidRPr="00D66245" w:rsidRDefault="008057F8" w:rsidP="008057F8">
      <w:pPr>
        <w:numPr>
          <w:ilvl w:val="0"/>
          <w:numId w:val="53"/>
        </w:numPr>
        <w:spacing w:before="120" w:after="200" w:line="240" w:lineRule="auto"/>
        <w:jc w:val="both"/>
        <w:rPr>
          <w:rFonts w:ascii="Palatino Linotype" w:hAnsi="Palatino Linotype"/>
        </w:rPr>
      </w:pPr>
      <w:r w:rsidRPr="00D66245">
        <w:rPr>
          <w:rFonts w:ascii="Palatino Linotype" w:hAnsi="Palatino Linotype"/>
          <w:bCs/>
          <w:lang w:val="es-ES_tradnl"/>
        </w:rPr>
        <w:t xml:space="preserve"> </w:t>
      </w:r>
      <w:r w:rsidRPr="00D66245">
        <w:rPr>
          <w:rFonts w:ascii="Palatino Linotype" w:hAnsi="Palatino Linotype"/>
          <w:bCs/>
        </w:rPr>
        <w:t xml:space="preserve">Condiciones personales </w:t>
      </w:r>
    </w:p>
    <w:p w14:paraId="117BEC31" w14:textId="77777777" w:rsidR="008057F8" w:rsidRPr="00D66245" w:rsidRDefault="008057F8" w:rsidP="008057F8">
      <w:pPr>
        <w:numPr>
          <w:ilvl w:val="0"/>
          <w:numId w:val="53"/>
        </w:numPr>
        <w:spacing w:before="120" w:after="200" w:line="240" w:lineRule="auto"/>
        <w:jc w:val="both"/>
        <w:rPr>
          <w:rFonts w:ascii="Palatino Linotype" w:hAnsi="Palatino Linotype"/>
        </w:rPr>
      </w:pPr>
      <w:r w:rsidRPr="00D66245">
        <w:rPr>
          <w:rFonts w:ascii="Palatino Linotype" w:hAnsi="Palatino Linotype"/>
          <w:bCs/>
        </w:rPr>
        <w:t xml:space="preserve"> Antecedentes </w:t>
      </w:r>
      <w:r w:rsidRPr="00D66245">
        <w:rPr>
          <w:rFonts w:ascii="Palatino Linotype" w:hAnsi="Palatino Linotype"/>
          <w:bCs/>
          <w:lang w:val="es-ES_tradnl"/>
        </w:rPr>
        <w:t>de los testigos</w:t>
      </w:r>
    </w:p>
    <w:p w14:paraId="5A20C9D3" w14:textId="77777777" w:rsidR="008057F8" w:rsidRPr="00D66245" w:rsidRDefault="008057F8" w:rsidP="008057F8">
      <w:pPr>
        <w:numPr>
          <w:ilvl w:val="0"/>
          <w:numId w:val="53"/>
        </w:numPr>
        <w:spacing w:before="120" w:after="200" w:line="240" w:lineRule="auto"/>
        <w:jc w:val="both"/>
        <w:rPr>
          <w:rFonts w:ascii="Palatino Linotype" w:hAnsi="Palatino Linotype"/>
        </w:rPr>
      </w:pPr>
      <w:r w:rsidRPr="00D66245">
        <w:rPr>
          <w:rFonts w:ascii="Palatino Linotype" w:hAnsi="Palatino Linotype"/>
          <w:bCs/>
        </w:rPr>
        <w:t xml:space="preserve"> Determinar las características del hecho y la calificación del testigo</w:t>
      </w:r>
    </w:p>
    <w:p w14:paraId="36EB7C12" w14:textId="77777777" w:rsidR="008057F8" w:rsidRPr="00D66245" w:rsidRDefault="008057F8" w:rsidP="008057F8">
      <w:pPr>
        <w:numPr>
          <w:ilvl w:val="0"/>
          <w:numId w:val="53"/>
        </w:numPr>
        <w:spacing w:before="120" w:after="200" w:line="240" w:lineRule="auto"/>
        <w:jc w:val="both"/>
        <w:rPr>
          <w:rFonts w:ascii="Palatino Linotype" w:hAnsi="Palatino Linotype"/>
        </w:rPr>
      </w:pPr>
      <w:r w:rsidRPr="00D66245">
        <w:rPr>
          <w:rFonts w:ascii="Palatino Linotype" w:hAnsi="Palatino Linotype"/>
          <w:bCs/>
        </w:rPr>
        <w:lastRenderedPageBreak/>
        <w:t xml:space="preserve"> Relación del testigo con el hecho</w:t>
      </w:r>
    </w:p>
    <w:p w14:paraId="03037EE8" w14:textId="77777777" w:rsidR="008057F8" w:rsidRPr="00D66245" w:rsidRDefault="008057F8" w:rsidP="008057F8">
      <w:pPr>
        <w:numPr>
          <w:ilvl w:val="0"/>
          <w:numId w:val="53"/>
        </w:numPr>
        <w:spacing w:before="120" w:after="200" w:line="240" w:lineRule="auto"/>
        <w:jc w:val="both"/>
        <w:rPr>
          <w:rFonts w:ascii="Palatino Linotype" w:hAnsi="Palatino Linotype"/>
        </w:rPr>
      </w:pPr>
      <w:r w:rsidRPr="00D66245">
        <w:rPr>
          <w:rFonts w:ascii="Palatino Linotype" w:hAnsi="Palatino Linotype"/>
          <w:bCs/>
          <w:lang w:val="es-ES_tradnl"/>
        </w:rPr>
        <w:t xml:space="preserve"> </w:t>
      </w:r>
      <w:r w:rsidRPr="00D66245">
        <w:rPr>
          <w:rFonts w:ascii="Palatino Linotype" w:hAnsi="Palatino Linotype"/>
          <w:bCs/>
        </w:rPr>
        <w:t>Análisis anticipado de la capacidad memorística del testigo</w:t>
      </w:r>
    </w:p>
    <w:p w14:paraId="7B012B35" w14:textId="77777777" w:rsidR="008057F8" w:rsidRPr="00D66245" w:rsidRDefault="008057F8" w:rsidP="008057F8">
      <w:pPr>
        <w:spacing w:before="120" w:after="200" w:line="240" w:lineRule="auto"/>
        <w:jc w:val="both"/>
        <w:rPr>
          <w:rFonts w:ascii="Palatino Linotype" w:hAnsi="Palatino Linotype"/>
          <w:b/>
        </w:rPr>
      </w:pPr>
      <w:bookmarkStart w:id="16" w:name="_Hlk3928543"/>
      <w:r w:rsidRPr="00D66245">
        <w:rPr>
          <w:rFonts w:ascii="Palatino Linotype" w:hAnsi="Palatino Linotype"/>
          <w:b/>
        </w:rPr>
        <w:t>7.- INTERROGANDO AL TESTIGO</w:t>
      </w:r>
      <w:bookmarkEnd w:id="16"/>
    </w:p>
    <w:p w14:paraId="76E38F8E" w14:textId="77777777" w:rsidR="008057F8" w:rsidRPr="00D66245" w:rsidRDefault="008057F8" w:rsidP="008057F8">
      <w:pPr>
        <w:numPr>
          <w:ilvl w:val="0"/>
          <w:numId w:val="54"/>
        </w:numPr>
        <w:spacing w:before="120" w:after="200" w:line="240" w:lineRule="auto"/>
        <w:jc w:val="both"/>
        <w:rPr>
          <w:rFonts w:ascii="Palatino Linotype" w:hAnsi="Palatino Linotype"/>
        </w:rPr>
      </w:pPr>
      <w:r w:rsidRPr="00D66245">
        <w:rPr>
          <w:rFonts w:ascii="Palatino Linotype" w:hAnsi="Palatino Linotype"/>
        </w:rPr>
        <w:t>Recuerde el objetivo de cada testigo</w:t>
      </w:r>
    </w:p>
    <w:p w14:paraId="13072BCE" w14:textId="77777777" w:rsidR="008057F8" w:rsidRPr="00D66245" w:rsidRDefault="008057F8" w:rsidP="008057F8">
      <w:pPr>
        <w:numPr>
          <w:ilvl w:val="0"/>
          <w:numId w:val="54"/>
        </w:numPr>
        <w:spacing w:before="120" w:after="200" w:line="240" w:lineRule="auto"/>
        <w:jc w:val="both"/>
        <w:rPr>
          <w:rFonts w:ascii="Palatino Linotype" w:hAnsi="Palatino Linotype"/>
        </w:rPr>
      </w:pPr>
      <w:r w:rsidRPr="00D66245">
        <w:rPr>
          <w:rFonts w:ascii="Palatino Linotype" w:hAnsi="Palatino Linotype"/>
        </w:rPr>
        <w:t>Recuerde el objetivo y pretensiones del proceso</w:t>
      </w:r>
    </w:p>
    <w:p w14:paraId="152842FF" w14:textId="77777777" w:rsidR="008057F8" w:rsidRPr="00D66245" w:rsidRDefault="008057F8" w:rsidP="008057F8">
      <w:pPr>
        <w:numPr>
          <w:ilvl w:val="0"/>
          <w:numId w:val="54"/>
        </w:numPr>
        <w:spacing w:before="120" w:after="200" w:line="240" w:lineRule="auto"/>
        <w:jc w:val="both"/>
        <w:rPr>
          <w:rFonts w:ascii="Palatino Linotype" w:hAnsi="Palatino Linotype"/>
        </w:rPr>
      </w:pPr>
      <w:r w:rsidRPr="00D66245">
        <w:rPr>
          <w:rFonts w:ascii="Palatino Linotype" w:hAnsi="Palatino Linotype"/>
        </w:rPr>
        <w:t>Recuerde los hechos controvertidos esenciales</w:t>
      </w:r>
    </w:p>
    <w:p w14:paraId="449EFD37" w14:textId="77777777" w:rsidR="008057F8" w:rsidRPr="00D66245" w:rsidRDefault="008057F8" w:rsidP="008057F8">
      <w:pPr>
        <w:numPr>
          <w:ilvl w:val="0"/>
          <w:numId w:val="54"/>
        </w:numPr>
        <w:spacing w:before="120" w:after="200" w:line="240" w:lineRule="auto"/>
        <w:jc w:val="both"/>
        <w:rPr>
          <w:rFonts w:ascii="Palatino Linotype" w:hAnsi="Palatino Linotype"/>
        </w:rPr>
      </w:pPr>
      <w:r w:rsidRPr="00D66245">
        <w:rPr>
          <w:rFonts w:ascii="Palatino Linotype" w:hAnsi="Palatino Linotype"/>
        </w:rPr>
        <w:t>Acreditar al testigo</w:t>
      </w:r>
    </w:p>
    <w:p w14:paraId="2264F2E3" w14:textId="77777777" w:rsidR="008057F8" w:rsidRPr="00D66245" w:rsidRDefault="008057F8" w:rsidP="008057F8">
      <w:pPr>
        <w:numPr>
          <w:ilvl w:val="0"/>
          <w:numId w:val="54"/>
        </w:numPr>
        <w:spacing w:before="120" w:after="200" w:line="240" w:lineRule="auto"/>
        <w:jc w:val="both"/>
        <w:rPr>
          <w:rFonts w:ascii="Palatino Linotype" w:hAnsi="Palatino Linotype"/>
        </w:rPr>
      </w:pPr>
      <w:r w:rsidRPr="00D66245">
        <w:rPr>
          <w:rFonts w:ascii="Palatino Linotype" w:hAnsi="Palatino Linotype"/>
        </w:rPr>
        <w:t>Sencillez</w:t>
      </w:r>
    </w:p>
    <w:p w14:paraId="15C6A205" w14:textId="77777777" w:rsidR="008057F8" w:rsidRPr="00D66245" w:rsidRDefault="008057F8" w:rsidP="008057F8">
      <w:pPr>
        <w:numPr>
          <w:ilvl w:val="0"/>
          <w:numId w:val="54"/>
        </w:numPr>
        <w:spacing w:before="120" w:after="200" w:line="240" w:lineRule="auto"/>
        <w:jc w:val="both"/>
        <w:rPr>
          <w:rFonts w:ascii="Palatino Linotype" w:hAnsi="Palatino Linotype"/>
        </w:rPr>
      </w:pPr>
      <w:r w:rsidRPr="00D66245">
        <w:rPr>
          <w:rFonts w:ascii="Palatino Linotype" w:hAnsi="Palatino Linotype"/>
        </w:rPr>
        <w:t>Preguntas de introducción, transición y orientación</w:t>
      </w:r>
    </w:p>
    <w:p w14:paraId="00424C19" w14:textId="77777777" w:rsidR="008057F8" w:rsidRPr="00D66245" w:rsidRDefault="008057F8" w:rsidP="008057F8">
      <w:pPr>
        <w:numPr>
          <w:ilvl w:val="0"/>
          <w:numId w:val="54"/>
        </w:numPr>
        <w:spacing w:before="120" w:after="200" w:line="240" w:lineRule="auto"/>
        <w:jc w:val="both"/>
        <w:rPr>
          <w:rFonts w:ascii="Palatino Linotype" w:hAnsi="Palatino Linotype"/>
        </w:rPr>
      </w:pPr>
      <w:r w:rsidRPr="00D66245">
        <w:rPr>
          <w:rFonts w:ascii="Palatino Linotype" w:hAnsi="Palatino Linotype"/>
        </w:rPr>
        <w:t>Descripción de la escena de los hechos</w:t>
      </w:r>
    </w:p>
    <w:p w14:paraId="0A6E09FE" w14:textId="77777777" w:rsidR="008057F8" w:rsidRPr="00D66245" w:rsidRDefault="008057F8" w:rsidP="008057F8">
      <w:pPr>
        <w:numPr>
          <w:ilvl w:val="0"/>
          <w:numId w:val="54"/>
        </w:numPr>
        <w:spacing w:before="120" w:after="200" w:line="240" w:lineRule="auto"/>
        <w:jc w:val="both"/>
        <w:rPr>
          <w:rFonts w:ascii="Palatino Linotype" w:hAnsi="Palatino Linotype"/>
        </w:rPr>
      </w:pPr>
      <w:r w:rsidRPr="00D66245">
        <w:rPr>
          <w:rFonts w:ascii="Palatino Linotype" w:hAnsi="Palatino Linotype"/>
        </w:rPr>
        <w:t>Interrogatorio ameno</w:t>
      </w:r>
    </w:p>
    <w:p w14:paraId="3A81FD83" w14:textId="77777777" w:rsidR="008057F8" w:rsidRPr="00D66245" w:rsidRDefault="008057F8" w:rsidP="008057F8">
      <w:pPr>
        <w:numPr>
          <w:ilvl w:val="0"/>
          <w:numId w:val="54"/>
        </w:numPr>
        <w:spacing w:before="120" w:after="200" w:line="240" w:lineRule="auto"/>
        <w:jc w:val="both"/>
        <w:rPr>
          <w:rFonts w:ascii="Palatino Linotype" w:hAnsi="Palatino Linotype"/>
        </w:rPr>
      </w:pPr>
      <w:r w:rsidRPr="00D66245">
        <w:rPr>
          <w:rFonts w:ascii="Palatino Linotype" w:hAnsi="Palatino Linotype"/>
        </w:rPr>
        <w:t>Necesidad de hacer preguntas abiertas y no sugestivas</w:t>
      </w:r>
    </w:p>
    <w:p w14:paraId="27E76133" w14:textId="77777777" w:rsidR="008057F8" w:rsidRPr="00D66245" w:rsidRDefault="008057F8" w:rsidP="008057F8">
      <w:pPr>
        <w:numPr>
          <w:ilvl w:val="0"/>
          <w:numId w:val="54"/>
        </w:numPr>
        <w:spacing w:before="120" w:after="200" w:line="240" w:lineRule="auto"/>
        <w:jc w:val="both"/>
        <w:rPr>
          <w:rFonts w:ascii="Palatino Linotype" w:hAnsi="Palatino Linotype"/>
        </w:rPr>
      </w:pPr>
      <w:r w:rsidRPr="00D66245">
        <w:rPr>
          <w:rFonts w:ascii="Palatino Linotype" w:hAnsi="Palatino Linotype"/>
        </w:rPr>
        <w:t>No ocultar las debilidades del testigo</w:t>
      </w:r>
    </w:p>
    <w:p w14:paraId="7288AB2E" w14:textId="77777777" w:rsidR="008057F8" w:rsidRPr="00D66245" w:rsidRDefault="008057F8" w:rsidP="008057F8">
      <w:pPr>
        <w:numPr>
          <w:ilvl w:val="0"/>
          <w:numId w:val="54"/>
        </w:numPr>
        <w:spacing w:before="120" w:after="200" w:line="240" w:lineRule="auto"/>
        <w:jc w:val="both"/>
        <w:rPr>
          <w:rFonts w:ascii="Palatino Linotype" w:hAnsi="Palatino Linotype"/>
        </w:rPr>
      </w:pPr>
      <w:r w:rsidRPr="00D66245">
        <w:rPr>
          <w:rFonts w:ascii="Palatino Linotype" w:hAnsi="Palatino Linotype"/>
        </w:rPr>
        <w:t>Atención a la respuesta del testigo</w:t>
      </w:r>
    </w:p>
    <w:p w14:paraId="001BF2C2" w14:textId="77777777" w:rsidR="008057F8" w:rsidRPr="00D66245" w:rsidRDefault="008057F8" w:rsidP="008057F8">
      <w:pPr>
        <w:spacing w:before="120" w:after="200" w:line="240" w:lineRule="auto"/>
        <w:jc w:val="both"/>
        <w:rPr>
          <w:rFonts w:ascii="Palatino Linotype" w:hAnsi="Palatino Linotype"/>
          <w:b/>
        </w:rPr>
      </w:pPr>
      <w:bookmarkStart w:id="17" w:name="_Hlk3928560"/>
      <w:r w:rsidRPr="00D66245">
        <w:rPr>
          <w:rFonts w:ascii="Palatino Linotype" w:hAnsi="Palatino Linotype"/>
          <w:b/>
        </w:rPr>
        <w:t>8.- ANTES DE EMPEZAR</w:t>
      </w:r>
      <w:bookmarkEnd w:id="17"/>
    </w:p>
    <w:p w14:paraId="4B3CB772" w14:textId="77777777" w:rsidR="008057F8" w:rsidRPr="00D66245" w:rsidRDefault="008057F8" w:rsidP="008057F8">
      <w:pPr>
        <w:numPr>
          <w:ilvl w:val="0"/>
          <w:numId w:val="55"/>
        </w:numPr>
        <w:spacing w:before="120" w:after="200" w:line="240" w:lineRule="auto"/>
        <w:jc w:val="both"/>
        <w:rPr>
          <w:rFonts w:ascii="Palatino Linotype" w:hAnsi="Palatino Linotype"/>
        </w:rPr>
      </w:pPr>
      <w:r w:rsidRPr="00D66245">
        <w:rPr>
          <w:rFonts w:ascii="Palatino Linotype" w:hAnsi="Palatino Linotype"/>
          <w:lang w:val="es-ES_tradnl"/>
        </w:rPr>
        <w:t>No prejuzgue a los declarantes</w:t>
      </w:r>
    </w:p>
    <w:p w14:paraId="73566861" w14:textId="77777777" w:rsidR="008057F8" w:rsidRPr="00D66245" w:rsidRDefault="008057F8" w:rsidP="008057F8">
      <w:pPr>
        <w:numPr>
          <w:ilvl w:val="0"/>
          <w:numId w:val="55"/>
        </w:numPr>
        <w:spacing w:before="120" w:after="200" w:line="240" w:lineRule="auto"/>
        <w:jc w:val="both"/>
        <w:rPr>
          <w:rFonts w:ascii="Palatino Linotype" w:hAnsi="Palatino Linotype"/>
        </w:rPr>
      </w:pPr>
      <w:r w:rsidRPr="00D66245">
        <w:rPr>
          <w:rFonts w:ascii="Palatino Linotype" w:hAnsi="Palatino Linotype"/>
          <w:lang w:val="es-ES_tradnl"/>
        </w:rPr>
        <w:t xml:space="preserve">Deshágase de todos los prejuicios, </w:t>
      </w:r>
    </w:p>
    <w:p w14:paraId="54EF42E7" w14:textId="77777777" w:rsidR="008057F8" w:rsidRPr="00D66245" w:rsidRDefault="008057F8" w:rsidP="008057F8">
      <w:pPr>
        <w:numPr>
          <w:ilvl w:val="0"/>
          <w:numId w:val="55"/>
        </w:numPr>
        <w:spacing w:before="120" w:after="200" w:line="240" w:lineRule="auto"/>
        <w:jc w:val="both"/>
        <w:rPr>
          <w:rFonts w:ascii="Palatino Linotype" w:hAnsi="Palatino Linotype"/>
        </w:rPr>
      </w:pPr>
      <w:r w:rsidRPr="00D66245">
        <w:rPr>
          <w:rFonts w:ascii="Palatino Linotype" w:hAnsi="Palatino Linotype"/>
          <w:lang w:val="es-ES_tradnl"/>
        </w:rPr>
        <w:t xml:space="preserve">Tenga una mente abierta y receptiva a todo tipo de información </w:t>
      </w:r>
    </w:p>
    <w:p w14:paraId="79E686E2" w14:textId="77777777" w:rsidR="008057F8" w:rsidRPr="00D66245" w:rsidRDefault="008057F8" w:rsidP="008057F8">
      <w:pPr>
        <w:numPr>
          <w:ilvl w:val="0"/>
          <w:numId w:val="55"/>
        </w:numPr>
        <w:spacing w:before="120" w:after="200" w:line="240" w:lineRule="auto"/>
        <w:jc w:val="both"/>
        <w:rPr>
          <w:rFonts w:ascii="Palatino Linotype" w:hAnsi="Palatino Linotype"/>
        </w:rPr>
      </w:pPr>
      <w:r w:rsidRPr="00D66245">
        <w:rPr>
          <w:rFonts w:ascii="Palatino Linotype" w:hAnsi="Palatino Linotype"/>
          <w:lang w:val="es-ES_tradnl"/>
        </w:rPr>
        <w:t>Hay que evaluar el mérito y verdad en las respuestas.</w:t>
      </w:r>
    </w:p>
    <w:p w14:paraId="1BD18CAE" w14:textId="77777777" w:rsidR="008057F8" w:rsidRPr="00D66245" w:rsidRDefault="008057F8" w:rsidP="008057F8">
      <w:pPr>
        <w:numPr>
          <w:ilvl w:val="0"/>
          <w:numId w:val="55"/>
        </w:numPr>
        <w:spacing w:before="120" w:after="200" w:line="240" w:lineRule="auto"/>
        <w:jc w:val="both"/>
        <w:rPr>
          <w:rFonts w:ascii="Palatino Linotype" w:hAnsi="Palatino Linotype"/>
        </w:rPr>
      </w:pPr>
      <w:r w:rsidRPr="00D66245">
        <w:rPr>
          <w:rFonts w:ascii="Palatino Linotype" w:hAnsi="Palatino Linotype"/>
          <w:lang w:val="es-ES_tradnl"/>
        </w:rPr>
        <w:t xml:space="preserve">Abstenerse de tratar de impresionar al interrogado, a menos que esa acción esté específicamente utilizada como una técnica de interrogación. </w:t>
      </w:r>
    </w:p>
    <w:p w14:paraId="510EBD5C" w14:textId="77777777" w:rsidR="008057F8" w:rsidRPr="00D66245" w:rsidRDefault="008057F8" w:rsidP="008057F8">
      <w:pPr>
        <w:numPr>
          <w:ilvl w:val="0"/>
          <w:numId w:val="55"/>
        </w:numPr>
        <w:spacing w:before="120" w:after="200" w:line="240" w:lineRule="auto"/>
        <w:jc w:val="both"/>
        <w:rPr>
          <w:rFonts w:ascii="Palatino Linotype" w:hAnsi="Palatino Linotype"/>
        </w:rPr>
      </w:pPr>
      <w:r w:rsidRPr="00D66245">
        <w:rPr>
          <w:rFonts w:ascii="Palatino Linotype" w:hAnsi="Palatino Linotype"/>
          <w:lang w:val="es-ES_tradnl"/>
        </w:rPr>
        <w:t xml:space="preserve">No mostrarse sarcástico. </w:t>
      </w:r>
    </w:p>
    <w:p w14:paraId="3D835D92" w14:textId="77777777" w:rsidR="008057F8" w:rsidRPr="00D66245" w:rsidRDefault="008057F8" w:rsidP="008057F8">
      <w:pPr>
        <w:numPr>
          <w:ilvl w:val="0"/>
          <w:numId w:val="55"/>
        </w:numPr>
        <w:spacing w:before="120" w:after="200" w:line="240" w:lineRule="auto"/>
        <w:jc w:val="both"/>
        <w:rPr>
          <w:rFonts w:ascii="Palatino Linotype" w:hAnsi="Palatino Linotype"/>
        </w:rPr>
      </w:pPr>
      <w:r w:rsidRPr="00D66245">
        <w:rPr>
          <w:rFonts w:ascii="Palatino Linotype" w:hAnsi="Palatino Linotype"/>
          <w:lang w:val="es-ES_tradnl"/>
        </w:rPr>
        <w:lastRenderedPageBreak/>
        <w:t xml:space="preserve">No mostrarse colérico, disgustado  u otras actitudes desagradables. disminuye su valor ante el juez y el interrogado. </w:t>
      </w:r>
    </w:p>
    <w:p w14:paraId="73A97A22" w14:textId="77777777" w:rsidR="008057F8" w:rsidRPr="00D66245" w:rsidRDefault="008057F8" w:rsidP="008057F8">
      <w:pPr>
        <w:numPr>
          <w:ilvl w:val="0"/>
          <w:numId w:val="55"/>
        </w:numPr>
        <w:spacing w:before="120" w:after="200" w:line="240" w:lineRule="auto"/>
        <w:jc w:val="both"/>
        <w:rPr>
          <w:rFonts w:ascii="Palatino Linotype" w:hAnsi="Palatino Linotype"/>
        </w:rPr>
      </w:pPr>
      <w:r w:rsidRPr="00D66245">
        <w:rPr>
          <w:rFonts w:ascii="Palatino Linotype" w:hAnsi="Palatino Linotype"/>
          <w:lang w:val="es-ES_tradnl"/>
        </w:rPr>
        <w:t>Suprimir las emociones propias y en su lugar debe aplicar todas sus facultades hacia un objetivo inmediato.</w:t>
      </w:r>
    </w:p>
    <w:p w14:paraId="47BF7139" w14:textId="77777777" w:rsidR="008057F8" w:rsidRPr="00D66245" w:rsidRDefault="008057F8" w:rsidP="008057F8">
      <w:pPr>
        <w:numPr>
          <w:ilvl w:val="0"/>
          <w:numId w:val="55"/>
        </w:numPr>
        <w:spacing w:before="120" w:after="200" w:line="240" w:lineRule="auto"/>
        <w:jc w:val="both"/>
        <w:rPr>
          <w:rFonts w:ascii="Palatino Linotype" w:hAnsi="Palatino Linotype"/>
        </w:rPr>
      </w:pPr>
      <w:r w:rsidRPr="00D66245">
        <w:rPr>
          <w:rFonts w:ascii="Palatino Linotype" w:hAnsi="Palatino Linotype"/>
          <w:lang w:val="es-ES_tradnl"/>
        </w:rPr>
        <w:t xml:space="preserve">No incurrir en mentiras. </w:t>
      </w:r>
    </w:p>
    <w:p w14:paraId="16676FC0" w14:textId="77777777" w:rsidR="008057F8" w:rsidRPr="00D66245" w:rsidRDefault="008057F8" w:rsidP="008057F8">
      <w:pPr>
        <w:numPr>
          <w:ilvl w:val="0"/>
          <w:numId w:val="55"/>
        </w:numPr>
        <w:spacing w:before="120" w:after="200" w:line="240" w:lineRule="auto"/>
        <w:jc w:val="both"/>
        <w:rPr>
          <w:rFonts w:ascii="Palatino Linotype" w:hAnsi="Palatino Linotype"/>
        </w:rPr>
      </w:pPr>
      <w:r w:rsidRPr="00D66245">
        <w:rPr>
          <w:rFonts w:ascii="Palatino Linotype" w:hAnsi="Palatino Linotype"/>
          <w:lang w:val="es-ES_tradnl"/>
        </w:rPr>
        <w:t xml:space="preserve">No hacer falsas promesas.  </w:t>
      </w:r>
    </w:p>
    <w:p w14:paraId="1936DCA3" w14:textId="77777777" w:rsidR="008057F8" w:rsidRPr="00D66245" w:rsidRDefault="008057F8" w:rsidP="008057F8">
      <w:pPr>
        <w:numPr>
          <w:ilvl w:val="0"/>
          <w:numId w:val="55"/>
        </w:numPr>
        <w:spacing w:before="120" w:after="200" w:line="240" w:lineRule="auto"/>
        <w:jc w:val="both"/>
        <w:rPr>
          <w:rFonts w:ascii="Palatino Linotype" w:hAnsi="Palatino Linotype"/>
        </w:rPr>
      </w:pPr>
      <w:r w:rsidRPr="00D66245">
        <w:rPr>
          <w:rFonts w:ascii="Palatino Linotype" w:hAnsi="Palatino Linotype"/>
          <w:lang w:val="es-ES_tradnl"/>
        </w:rPr>
        <w:t>No subestime la habilidad mental del interrogado.</w:t>
      </w:r>
    </w:p>
    <w:p w14:paraId="68BB226B" w14:textId="77777777" w:rsidR="008057F8" w:rsidRPr="00D66245" w:rsidRDefault="008057F8" w:rsidP="008057F8">
      <w:pPr>
        <w:numPr>
          <w:ilvl w:val="0"/>
          <w:numId w:val="55"/>
        </w:numPr>
        <w:spacing w:before="120" w:after="200" w:line="240" w:lineRule="auto"/>
        <w:jc w:val="both"/>
        <w:rPr>
          <w:rFonts w:ascii="Palatino Linotype" w:hAnsi="Palatino Linotype"/>
        </w:rPr>
      </w:pPr>
      <w:r w:rsidRPr="00D66245">
        <w:rPr>
          <w:rFonts w:ascii="Palatino Linotype" w:hAnsi="Palatino Linotype"/>
          <w:lang w:val="es-ES_tradnl"/>
        </w:rPr>
        <w:t xml:space="preserve"> En algunos las facultades pueden exceder las de otros interrogados. </w:t>
      </w:r>
    </w:p>
    <w:p w14:paraId="6E244E77" w14:textId="77777777" w:rsidR="008057F8" w:rsidRPr="00D66245" w:rsidRDefault="008057F8" w:rsidP="008057F8">
      <w:pPr>
        <w:numPr>
          <w:ilvl w:val="0"/>
          <w:numId w:val="55"/>
        </w:numPr>
        <w:spacing w:before="120" w:after="200" w:line="240" w:lineRule="auto"/>
        <w:jc w:val="both"/>
        <w:rPr>
          <w:rFonts w:ascii="Palatino Linotype" w:hAnsi="Palatino Linotype"/>
        </w:rPr>
      </w:pPr>
      <w:r w:rsidRPr="00D66245">
        <w:rPr>
          <w:rFonts w:ascii="Palatino Linotype" w:hAnsi="Palatino Linotype"/>
          <w:lang w:val="es-ES_tradnl"/>
        </w:rPr>
        <w:t xml:space="preserve">Trabaje siempre bajo el supuesto que el interrogado es una persona inteligente. </w:t>
      </w:r>
    </w:p>
    <w:p w14:paraId="01E32525" w14:textId="77777777" w:rsidR="008057F8" w:rsidRPr="00D66245" w:rsidRDefault="008057F8" w:rsidP="008057F8">
      <w:pPr>
        <w:spacing w:before="120" w:after="200" w:line="240" w:lineRule="auto"/>
        <w:jc w:val="both"/>
        <w:rPr>
          <w:rFonts w:ascii="Palatino Linotype" w:hAnsi="Palatino Linotype"/>
        </w:rPr>
      </w:pPr>
      <w:bookmarkStart w:id="18" w:name="_Hlk3928572"/>
      <w:r w:rsidRPr="00D66245">
        <w:rPr>
          <w:rFonts w:ascii="Palatino Linotype" w:hAnsi="Palatino Linotype"/>
          <w:b/>
          <w:lang w:val="es-ES_tradnl"/>
        </w:rPr>
        <w:t>9.- ELIMINE ACTITUDES DESPECTIVAS</w:t>
      </w:r>
      <w:bookmarkEnd w:id="18"/>
      <w:r w:rsidRPr="00D66245">
        <w:rPr>
          <w:rFonts w:ascii="Palatino Linotype" w:hAnsi="Palatino Linotype"/>
          <w:lang w:val="es-ES_tradnl"/>
        </w:rPr>
        <w:t xml:space="preserve"> </w:t>
      </w:r>
    </w:p>
    <w:p w14:paraId="02149DF0" w14:textId="77777777" w:rsidR="008057F8" w:rsidRPr="00D66245" w:rsidRDefault="008057F8" w:rsidP="008057F8">
      <w:pPr>
        <w:numPr>
          <w:ilvl w:val="2"/>
          <w:numId w:val="55"/>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No ridiculice al declarante</w:t>
      </w:r>
    </w:p>
    <w:p w14:paraId="6BFBBB15" w14:textId="77777777" w:rsidR="008057F8" w:rsidRPr="00D66245" w:rsidRDefault="008057F8" w:rsidP="008057F8">
      <w:pPr>
        <w:numPr>
          <w:ilvl w:val="2"/>
          <w:numId w:val="55"/>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No considere el éxito de una pregunta como una victoria </w:t>
      </w:r>
    </w:p>
    <w:p w14:paraId="3344FCA0" w14:textId="77777777" w:rsidR="008057F8" w:rsidRPr="00D66245" w:rsidRDefault="008057F8" w:rsidP="008057F8">
      <w:pPr>
        <w:numPr>
          <w:ilvl w:val="2"/>
          <w:numId w:val="55"/>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No intimide al testigo</w:t>
      </w:r>
    </w:p>
    <w:p w14:paraId="789C5CF7" w14:textId="77777777" w:rsidR="008057F8" w:rsidRPr="00D66245" w:rsidRDefault="008057F8" w:rsidP="008057F8">
      <w:pPr>
        <w:numPr>
          <w:ilvl w:val="2"/>
          <w:numId w:val="55"/>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Guárdese de promesas </w:t>
      </w:r>
    </w:p>
    <w:p w14:paraId="21A75D94" w14:textId="77777777" w:rsidR="008057F8" w:rsidRPr="00D66245" w:rsidRDefault="008057F8" w:rsidP="008057F8">
      <w:pPr>
        <w:numPr>
          <w:ilvl w:val="2"/>
          <w:numId w:val="55"/>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No empequeñezca ni desprecie al interrogado</w:t>
      </w:r>
    </w:p>
    <w:p w14:paraId="2CBDB555" w14:textId="77777777" w:rsidR="008057F8" w:rsidRPr="00D66245" w:rsidRDefault="008057F8" w:rsidP="008057F8">
      <w:pPr>
        <w:numPr>
          <w:ilvl w:val="2"/>
          <w:numId w:val="55"/>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No hostigue ni llame mentiroso al testigo</w:t>
      </w:r>
    </w:p>
    <w:p w14:paraId="04E24B0F" w14:textId="77777777" w:rsidR="008057F8" w:rsidRPr="00D66245" w:rsidRDefault="008057F8" w:rsidP="008057F8">
      <w:pPr>
        <w:numPr>
          <w:ilvl w:val="2"/>
          <w:numId w:val="55"/>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No califique el testimonio en media declaración </w:t>
      </w:r>
    </w:p>
    <w:p w14:paraId="7866355E" w14:textId="77777777" w:rsidR="008057F8" w:rsidRPr="00D66245" w:rsidRDefault="008057F8" w:rsidP="008057F8">
      <w:pPr>
        <w:spacing w:before="120" w:after="200" w:line="240" w:lineRule="auto"/>
        <w:jc w:val="both"/>
        <w:rPr>
          <w:rFonts w:ascii="Palatino Linotype" w:hAnsi="Palatino Linotype"/>
        </w:rPr>
      </w:pPr>
      <w:bookmarkStart w:id="19" w:name="_Hlk3928585"/>
      <w:r w:rsidRPr="00D66245">
        <w:rPr>
          <w:rFonts w:ascii="Palatino Linotype" w:hAnsi="Palatino Linotype"/>
          <w:b/>
        </w:rPr>
        <w:t>10.- INICIO DEL INTERROGATORIO</w:t>
      </w:r>
      <w:bookmarkEnd w:id="19"/>
      <w:r w:rsidRPr="00D66245">
        <w:rPr>
          <w:rFonts w:ascii="Palatino Linotype" w:hAnsi="Palatino Linotype"/>
          <w:lang w:val="es-ES_tradnl"/>
        </w:rPr>
        <w:t xml:space="preserve"> </w:t>
      </w:r>
    </w:p>
    <w:p w14:paraId="041A5CD3"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Elimine prejuicios personales, religiosos, políticos</w:t>
      </w:r>
    </w:p>
    <w:p w14:paraId="0267BFEE"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Sea cortés</w:t>
      </w:r>
    </w:p>
    <w:p w14:paraId="613AC68E"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No empiece a caminar por todos lados </w:t>
      </w:r>
    </w:p>
    <w:p w14:paraId="26E01F2A"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No muestre signos de nerviosismo, </w:t>
      </w:r>
    </w:p>
    <w:p w14:paraId="7F18561C"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lastRenderedPageBreak/>
        <w:t xml:space="preserve"> Elimine la sensación de que usted está interesado solamente en que el “declarante” confiese, demuestre que su único interés es determinar la verdad</w:t>
      </w:r>
    </w:p>
    <w:p w14:paraId="63AC77CA"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Nunca grite </w:t>
      </w:r>
    </w:p>
    <w:p w14:paraId="6A7C77E4"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Mantenga el control del interrogatorio</w:t>
      </w:r>
    </w:p>
    <w:p w14:paraId="44105B2A"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En la medida lo posible, evite antagonizar en el interrogado</w:t>
      </w:r>
    </w:p>
    <w:p w14:paraId="42864555"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Sea serio </w:t>
      </w:r>
    </w:p>
    <w:p w14:paraId="341E9703"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Demuestre confianza para ejercer sus habilidades en el interrogatorio</w:t>
      </w:r>
    </w:p>
    <w:p w14:paraId="14940C5C"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Aprenda a escuchar.</w:t>
      </w:r>
    </w:p>
    <w:p w14:paraId="0EAAD6BA"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Sea paciente. </w:t>
      </w:r>
    </w:p>
    <w:p w14:paraId="4AFC64FA"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Sea persistente</w:t>
      </w:r>
    </w:p>
    <w:p w14:paraId="4FBAA8A1"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El sujeto, normalmente, no está dispuesto a contarle cosas a los extraños. </w:t>
      </w:r>
    </w:p>
    <w:p w14:paraId="46E41236"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Es labor del que interroga, tratar de romper el hielo con él. </w:t>
      </w:r>
    </w:p>
    <w:p w14:paraId="369B86C5"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Debe inducirlo a contar lo que sabe, de una manera sutil.</w:t>
      </w:r>
    </w:p>
    <w:p w14:paraId="078E15A7"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Preséntese ante el deponente y gane su confianza.</w:t>
      </w:r>
    </w:p>
    <w:p w14:paraId="70E15239"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Tratar de presentarse o identificarse, para que sepa quién le pregunta.</w:t>
      </w:r>
    </w:p>
    <w:p w14:paraId="0F1C5B82"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Intentar comenzar, conversando con el testigo, algún tema de su interés</w:t>
      </w:r>
    </w:p>
    <w:p w14:paraId="4DEF3503"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Darle libertad para hablar y crear confianza.</w:t>
      </w:r>
    </w:p>
    <w:p w14:paraId="6CD18310"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Favorecer la conversación informal</w:t>
      </w:r>
    </w:p>
    <w:p w14:paraId="3C9DE7E3"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No hay que mostrarse prepotente o mañoso a la hora de preguntar</w:t>
      </w:r>
    </w:p>
    <w:p w14:paraId="10D5B8AC"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No haga preguntas que pueda volver hostil al interrogado. </w:t>
      </w:r>
    </w:p>
    <w:p w14:paraId="721A63B7"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lastRenderedPageBreak/>
        <w:t xml:space="preserve"> Hay que otorgarle al sujeto tiempo suficiente para responder. </w:t>
      </w:r>
    </w:p>
    <w:p w14:paraId="79705D63"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No acometa en su contra.</w:t>
      </w:r>
    </w:p>
    <w:p w14:paraId="66BB8D2F"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Siempre recordarle al deponente, que está cumpliendo con un deber cívico y que hace un favor a la justicia.</w:t>
      </w:r>
    </w:p>
    <w:p w14:paraId="44242568"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Comprender y asumir la posibilidad, de que el testigo reaccione de manera tensa o nerviosa. Eso puede bloquear su capacidad e inteligencia. Hay que ser paciente en esa circunstancia.</w:t>
      </w:r>
    </w:p>
    <w:p w14:paraId="39BBDEBF"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Algunos testigos, al pedirles que digan todo lo que sepan, pueden ser parcos. </w:t>
      </w:r>
    </w:p>
    <w:p w14:paraId="775D28AA"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Preguntarles detalles separados, poco a poco, para que reaccionen de manera espontánea y completen el testimonio.</w:t>
      </w:r>
    </w:p>
    <w:p w14:paraId="4BEDF572"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Llevar el control del interrogatorio y reconducir al testigo, si este cae en distracciones.</w:t>
      </w:r>
    </w:p>
    <w:p w14:paraId="02EE01A4" w14:textId="77777777" w:rsidR="008057F8" w:rsidRPr="00D66245" w:rsidRDefault="008057F8" w:rsidP="008057F8">
      <w:pPr>
        <w:numPr>
          <w:ilvl w:val="0"/>
          <w:numId w:val="56"/>
        </w:numPr>
        <w:spacing w:before="120" w:after="200" w:line="240" w:lineRule="auto"/>
        <w:ind w:left="924" w:hanging="357"/>
        <w:jc w:val="both"/>
        <w:rPr>
          <w:rFonts w:ascii="Palatino Linotype" w:hAnsi="Palatino Linotype"/>
        </w:rPr>
      </w:pPr>
      <w:r w:rsidRPr="00D66245">
        <w:rPr>
          <w:rFonts w:ascii="Palatino Linotype" w:hAnsi="Palatino Linotype"/>
          <w:lang w:val="es-ES_tradnl"/>
        </w:rPr>
        <w:t xml:space="preserve"> No Tomar notas. Mejor que un acompañante lo haga de forma discreta, pues algunos deponentes se inhiben, sientan que se entrecorta su declaración o no se le está poniendo atención.</w:t>
      </w:r>
    </w:p>
    <w:p w14:paraId="7FC1A147" w14:textId="77777777" w:rsidR="008057F8" w:rsidRPr="00D66245" w:rsidRDefault="008057F8" w:rsidP="008057F8">
      <w:pPr>
        <w:spacing w:before="120" w:after="200" w:line="240" w:lineRule="auto"/>
        <w:jc w:val="both"/>
        <w:rPr>
          <w:rFonts w:ascii="Palatino Linotype" w:hAnsi="Palatino Linotype"/>
          <w:b/>
        </w:rPr>
      </w:pPr>
      <w:bookmarkStart w:id="20" w:name="_Hlk3928596"/>
      <w:r w:rsidRPr="00D66245">
        <w:rPr>
          <w:rFonts w:ascii="Palatino Linotype" w:hAnsi="Palatino Linotype"/>
          <w:b/>
        </w:rPr>
        <w:t>11.- TÉCNICAS DE INTERROGATORIO</w:t>
      </w:r>
      <w:bookmarkEnd w:id="20"/>
    </w:p>
    <w:p w14:paraId="4255238C" w14:textId="77777777" w:rsidR="008057F8" w:rsidRPr="00D66245" w:rsidRDefault="008057F8" w:rsidP="008057F8">
      <w:pPr>
        <w:numPr>
          <w:ilvl w:val="1"/>
          <w:numId w:val="57"/>
        </w:numPr>
        <w:spacing w:before="120" w:after="200" w:line="240" w:lineRule="auto"/>
        <w:jc w:val="both"/>
        <w:rPr>
          <w:rFonts w:ascii="Palatino Linotype" w:hAnsi="Palatino Linotype"/>
        </w:rPr>
      </w:pPr>
      <w:r w:rsidRPr="00D66245">
        <w:rPr>
          <w:rFonts w:ascii="Palatino Linotype" w:hAnsi="Palatino Linotype"/>
          <w:bCs/>
        </w:rPr>
        <w:t xml:space="preserve">Una pregunta por hecho </w:t>
      </w:r>
    </w:p>
    <w:p w14:paraId="57417AEA" w14:textId="77777777" w:rsidR="008057F8" w:rsidRPr="00D66245" w:rsidRDefault="008057F8" w:rsidP="008057F8">
      <w:pPr>
        <w:numPr>
          <w:ilvl w:val="1"/>
          <w:numId w:val="57"/>
        </w:numPr>
        <w:spacing w:before="120" w:after="200" w:line="240" w:lineRule="auto"/>
        <w:jc w:val="both"/>
        <w:rPr>
          <w:rFonts w:ascii="Palatino Linotype" w:hAnsi="Palatino Linotype"/>
        </w:rPr>
      </w:pPr>
      <w:r w:rsidRPr="00D66245">
        <w:rPr>
          <w:rFonts w:ascii="Palatino Linotype" w:hAnsi="Palatino Linotype"/>
          <w:bCs/>
        </w:rPr>
        <w:t>Claridad</w:t>
      </w:r>
      <w:r w:rsidRPr="00D66245">
        <w:rPr>
          <w:rFonts w:ascii="Palatino Linotype" w:hAnsi="Palatino Linotype"/>
        </w:rPr>
        <w:t xml:space="preserve"> </w:t>
      </w:r>
      <w:r w:rsidRPr="00D66245">
        <w:rPr>
          <w:rFonts w:ascii="Palatino Linotype" w:hAnsi="Palatino Linotype"/>
          <w:bCs/>
        </w:rPr>
        <w:t>en las preguntas</w:t>
      </w:r>
    </w:p>
    <w:p w14:paraId="061540AC" w14:textId="77777777" w:rsidR="008057F8" w:rsidRPr="00D66245" w:rsidRDefault="008057F8" w:rsidP="008057F8">
      <w:pPr>
        <w:numPr>
          <w:ilvl w:val="1"/>
          <w:numId w:val="57"/>
        </w:numPr>
        <w:spacing w:before="120" w:after="200" w:line="240" w:lineRule="auto"/>
        <w:jc w:val="both"/>
        <w:rPr>
          <w:rFonts w:ascii="Palatino Linotype" w:hAnsi="Palatino Linotype"/>
        </w:rPr>
      </w:pPr>
      <w:r w:rsidRPr="00D66245">
        <w:rPr>
          <w:rFonts w:ascii="Palatino Linotype" w:hAnsi="Palatino Linotype"/>
          <w:bCs/>
        </w:rPr>
        <w:t>Preguntas asertivas o no</w:t>
      </w:r>
    </w:p>
    <w:p w14:paraId="785EBBE8" w14:textId="77777777" w:rsidR="008057F8" w:rsidRPr="00D66245" w:rsidRDefault="008057F8" w:rsidP="008057F8">
      <w:pPr>
        <w:numPr>
          <w:ilvl w:val="1"/>
          <w:numId w:val="57"/>
        </w:numPr>
        <w:spacing w:before="120" w:after="200" w:line="240" w:lineRule="auto"/>
        <w:jc w:val="both"/>
        <w:rPr>
          <w:rFonts w:ascii="Palatino Linotype" w:hAnsi="Palatino Linotype"/>
        </w:rPr>
      </w:pPr>
      <w:r w:rsidRPr="00D66245">
        <w:rPr>
          <w:rFonts w:ascii="Palatino Linotype" w:hAnsi="Palatino Linotype"/>
          <w:bCs/>
          <w:lang w:val="es-ES_tradnl"/>
        </w:rPr>
        <w:t>Preguntas precisas:</w:t>
      </w:r>
    </w:p>
    <w:p w14:paraId="655BA0AD" w14:textId="77777777" w:rsidR="008057F8" w:rsidRPr="00D66245" w:rsidRDefault="008057F8" w:rsidP="008057F8">
      <w:pPr>
        <w:spacing w:before="120" w:after="200" w:line="240" w:lineRule="auto"/>
        <w:ind w:firstLine="708"/>
        <w:jc w:val="both"/>
        <w:rPr>
          <w:rFonts w:ascii="Palatino Linotype" w:hAnsi="Palatino Linotype"/>
        </w:rPr>
      </w:pPr>
      <w:r w:rsidRPr="00D66245">
        <w:rPr>
          <w:rFonts w:ascii="Palatino Linotype" w:hAnsi="Palatino Linotype"/>
          <w:bCs/>
          <w:lang w:val="es-ES_tradnl"/>
        </w:rPr>
        <w:t>Ejemplos:</w:t>
      </w:r>
    </w:p>
    <w:p w14:paraId="072FEE2F" w14:textId="77777777" w:rsidR="008057F8" w:rsidRPr="00D66245" w:rsidRDefault="008057F8" w:rsidP="008057F8">
      <w:pPr>
        <w:spacing w:before="120" w:after="200" w:line="240" w:lineRule="auto"/>
        <w:ind w:left="2124"/>
        <w:jc w:val="both"/>
        <w:rPr>
          <w:rFonts w:ascii="Palatino Linotype" w:hAnsi="Palatino Linotype"/>
        </w:rPr>
      </w:pPr>
      <w:r w:rsidRPr="00D66245">
        <w:rPr>
          <w:rFonts w:ascii="Palatino Linotype" w:hAnsi="Palatino Linotype"/>
          <w:bCs/>
          <w:lang w:val="es-ES_tradnl"/>
        </w:rPr>
        <w:t xml:space="preserve">¿Qué hizo usted? </w:t>
      </w:r>
    </w:p>
    <w:p w14:paraId="54D132AD" w14:textId="77777777" w:rsidR="008057F8" w:rsidRPr="00D66245" w:rsidRDefault="008057F8" w:rsidP="008057F8">
      <w:pPr>
        <w:spacing w:before="120" w:after="200" w:line="240" w:lineRule="auto"/>
        <w:ind w:left="684" w:firstLine="708"/>
        <w:jc w:val="both"/>
        <w:rPr>
          <w:rFonts w:ascii="Palatino Linotype" w:hAnsi="Palatino Linotype"/>
          <w:bCs/>
          <w:lang w:val="es-ES_tradnl"/>
        </w:rPr>
      </w:pPr>
      <w:r w:rsidRPr="00D66245">
        <w:rPr>
          <w:rFonts w:ascii="Palatino Linotype" w:hAnsi="Palatino Linotype"/>
          <w:bCs/>
          <w:lang w:val="es-ES_tradnl"/>
        </w:rPr>
        <w:t xml:space="preserve">            ¿Qué hizo usted en Francia?</w:t>
      </w:r>
    </w:p>
    <w:p w14:paraId="7891FA20" w14:textId="77777777" w:rsidR="008057F8" w:rsidRPr="00D66245" w:rsidRDefault="008057F8" w:rsidP="008057F8">
      <w:pPr>
        <w:spacing w:before="120" w:after="200" w:line="240" w:lineRule="auto"/>
        <w:ind w:left="684" w:firstLine="708"/>
        <w:jc w:val="both"/>
        <w:rPr>
          <w:rFonts w:ascii="Palatino Linotype" w:hAnsi="Palatino Linotype"/>
        </w:rPr>
      </w:pPr>
      <w:r w:rsidRPr="00D66245">
        <w:rPr>
          <w:rFonts w:ascii="Palatino Linotype" w:hAnsi="Palatino Linotype"/>
          <w:bCs/>
          <w:lang w:val="es-ES_tradnl"/>
        </w:rPr>
        <w:t xml:space="preserve">            ¿Qué hizo usted hace dos años en Francia? </w:t>
      </w:r>
    </w:p>
    <w:p w14:paraId="13359151" w14:textId="77777777" w:rsidR="008057F8" w:rsidRPr="00D66245" w:rsidRDefault="008057F8" w:rsidP="008057F8">
      <w:pPr>
        <w:spacing w:before="120" w:after="200" w:line="240" w:lineRule="auto"/>
        <w:ind w:left="1056" w:firstLine="708"/>
        <w:jc w:val="both"/>
        <w:rPr>
          <w:rFonts w:ascii="Palatino Linotype" w:hAnsi="Palatino Linotype"/>
        </w:rPr>
      </w:pPr>
      <w:r w:rsidRPr="00D66245">
        <w:rPr>
          <w:rFonts w:ascii="Palatino Linotype" w:hAnsi="Palatino Linotype"/>
          <w:bCs/>
          <w:lang w:val="es-ES_tradnl"/>
        </w:rPr>
        <w:t xml:space="preserve">      ¿Qué hizo usted hace dos años en París? </w:t>
      </w:r>
    </w:p>
    <w:p w14:paraId="0914954A" w14:textId="77777777" w:rsidR="008057F8" w:rsidRPr="00D66245" w:rsidRDefault="008057F8" w:rsidP="008057F8">
      <w:pPr>
        <w:spacing w:before="120" w:after="200" w:line="240" w:lineRule="auto"/>
        <w:ind w:left="684"/>
        <w:jc w:val="both"/>
        <w:rPr>
          <w:rFonts w:ascii="Palatino Linotype" w:hAnsi="Palatino Linotype"/>
        </w:rPr>
      </w:pPr>
      <w:r w:rsidRPr="00D66245">
        <w:rPr>
          <w:rFonts w:ascii="Palatino Linotype" w:hAnsi="Palatino Linotype"/>
          <w:bCs/>
          <w:lang w:val="es-ES_tradnl"/>
        </w:rPr>
        <w:lastRenderedPageBreak/>
        <w:t xml:space="preserve">                        ¿Qué hizo usted hace dos años en París  y en Navidad? </w:t>
      </w:r>
    </w:p>
    <w:p w14:paraId="75AFE895" w14:textId="77777777" w:rsidR="008057F8" w:rsidRPr="00D66245" w:rsidRDefault="008057F8" w:rsidP="008057F8">
      <w:pPr>
        <w:pStyle w:val="Prrafodelista"/>
        <w:numPr>
          <w:ilvl w:val="0"/>
          <w:numId w:val="69"/>
        </w:numPr>
        <w:spacing w:before="120" w:after="200" w:line="240" w:lineRule="auto"/>
        <w:contextualSpacing w:val="0"/>
        <w:jc w:val="both"/>
        <w:rPr>
          <w:rFonts w:ascii="Palatino Linotype" w:hAnsi="Palatino Linotype"/>
          <w:b/>
        </w:rPr>
      </w:pPr>
      <w:r w:rsidRPr="00D66245">
        <w:rPr>
          <w:rFonts w:ascii="Palatino Linotype" w:hAnsi="Palatino Linotype"/>
          <w:bCs/>
          <w:lang w:val="es-ES_tradnl"/>
        </w:rPr>
        <w:t>Preguntar de lo general a lo específico</w:t>
      </w:r>
    </w:p>
    <w:p w14:paraId="787A9EE0" w14:textId="77777777" w:rsidR="008057F8" w:rsidRPr="00D66245" w:rsidRDefault="008057F8" w:rsidP="008057F8">
      <w:pPr>
        <w:pStyle w:val="Prrafodelista"/>
        <w:numPr>
          <w:ilvl w:val="0"/>
          <w:numId w:val="69"/>
        </w:numPr>
        <w:spacing w:before="120" w:after="200" w:line="240" w:lineRule="auto"/>
        <w:contextualSpacing w:val="0"/>
        <w:jc w:val="both"/>
        <w:rPr>
          <w:rFonts w:ascii="Palatino Linotype" w:hAnsi="Palatino Linotype"/>
          <w:b/>
        </w:rPr>
      </w:pPr>
      <w:r w:rsidRPr="00D66245">
        <w:rPr>
          <w:rFonts w:ascii="Palatino Linotype" w:hAnsi="Palatino Linotype"/>
          <w:bCs/>
          <w:lang w:val="es-ES_tradnl"/>
        </w:rPr>
        <w:t>Preguntar de atrás hacia delante.</w:t>
      </w:r>
    </w:p>
    <w:p w14:paraId="132DF63B" w14:textId="77777777" w:rsidR="008057F8" w:rsidRPr="00D66245" w:rsidRDefault="008057F8" w:rsidP="008057F8">
      <w:pPr>
        <w:spacing w:before="120" w:after="200" w:line="240" w:lineRule="auto"/>
        <w:jc w:val="both"/>
        <w:rPr>
          <w:rFonts w:ascii="Palatino Linotype" w:hAnsi="Palatino Linotype"/>
          <w:b/>
        </w:rPr>
      </w:pPr>
      <w:bookmarkStart w:id="21" w:name="_Hlk3928605"/>
      <w:r w:rsidRPr="00D66245">
        <w:rPr>
          <w:rFonts w:ascii="Palatino Linotype" w:hAnsi="Palatino Linotype"/>
          <w:b/>
        </w:rPr>
        <w:t>12.- PREGUNTAS IMPROCEDENTES</w:t>
      </w:r>
      <w:bookmarkEnd w:id="21"/>
    </w:p>
    <w:p w14:paraId="654BFCD7"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
          <w:bCs/>
        </w:rPr>
        <w:t>Preguntas impertinentes:</w:t>
      </w:r>
    </w:p>
    <w:p w14:paraId="2F2FA1EB" w14:textId="77777777" w:rsidR="008057F8" w:rsidRPr="00D66245" w:rsidRDefault="008057F8" w:rsidP="008057F8">
      <w:pPr>
        <w:numPr>
          <w:ilvl w:val="1"/>
          <w:numId w:val="58"/>
        </w:numPr>
        <w:spacing w:before="120" w:after="200" w:line="240" w:lineRule="auto"/>
        <w:jc w:val="both"/>
        <w:rPr>
          <w:rFonts w:ascii="Palatino Linotype" w:hAnsi="Palatino Linotype"/>
        </w:rPr>
      </w:pPr>
      <w:r w:rsidRPr="00D66245">
        <w:rPr>
          <w:rFonts w:ascii="Palatino Linotype" w:hAnsi="Palatino Linotype"/>
        </w:rPr>
        <w:t xml:space="preserve">No tiene ninguna vinculación con los hechos u objeto de debate </w:t>
      </w:r>
    </w:p>
    <w:p w14:paraId="516377BB" w14:textId="77777777" w:rsidR="008057F8" w:rsidRPr="00D66245" w:rsidRDefault="008057F8" w:rsidP="008057F8">
      <w:pPr>
        <w:numPr>
          <w:ilvl w:val="1"/>
          <w:numId w:val="58"/>
        </w:numPr>
        <w:spacing w:before="120" w:after="200" w:line="240" w:lineRule="auto"/>
        <w:jc w:val="both"/>
        <w:rPr>
          <w:rFonts w:ascii="Palatino Linotype" w:hAnsi="Palatino Linotype"/>
        </w:rPr>
      </w:pPr>
      <w:r w:rsidRPr="00D66245">
        <w:rPr>
          <w:rFonts w:ascii="Palatino Linotype" w:hAnsi="Palatino Linotype"/>
        </w:rPr>
        <w:t xml:space="preserve">Deber ser de un hecho controvertidos, es decir, no admitidos, expresa ni legalmente, ni amparados en una presunción,  </w:t>
      </w:r>
    </w:p>
    <w:p w14:paraId="6FF52616" w14:textId="77777777" w:rsidR="008057F8" w:rsidRPr="00D66245" w:rsidRDefault="008057F8" w:rsidP="008057F8">
      <w:pPr>
        <w:numPr>
          <w:ilvl w:val="1"/>
          <w:numId w:val="58"/>
        </w:numPr>
        <w:spacing w:before="120" w:after="200" w:line="240" w:lineRule="auto"/>
        <w:jc w:val="both"/>
        <w:rPr>
          <w:rFonts w:ascii="Palatino Linotype" w:hAnsi="Palatino Linotype"/>
        </w:rPr>
      </w:pPr>
      <w:r w:rsidRPr="00D66245">
        <w:rPr>
          <w:rFonts w:ascii="Palatino Linotype" w:hAnsi="Palatino Linotype"/>
        </w:rPr>
        <w:t xml:space="preserve">No guarda una relación de medio a fin con el objetivo que persigue,  </w:t>
      </w:r>
    </w:p>
    <w:p w14:paraId="2AC2FC13" w14:textId="77777777" w:rsidR="008057F8" w:rsidRPr="00D66245" w:rsidRDefault="008057F8" w:rsidP="008057F8">
      <w:pPr>
        <w:numPr>
          <w:ilvl w:val="1"/>
          <w:numId w:val="58"/>
        </w:numPr>
        <w:spacing w:before="120" w:after="200" w:line="240" w:lineRule="auto"/>
        <w:jc w:val="both"/>
        <w:rPr>
          <w:rFonts w:ascii="Palatino Linotype" w:hAnsi="Palatino Linotype"/>
        </w:rPr>
      </w:pPr>
      <w:r w:rsidRPr="00D66245">
        <w:rPr>
          <w:rFonts w:ascii="Palatino Linotype" w:hAnsi="Palatino Linotype"/>
        </w:rPr>
        <w:t xml:space="preserve">Es irrelevante, </w:t>
      </w:r>
    </w:p>
    <w:p w14:paraId="154D35E7" w14:textId="77777777" w:rsidR="008057F8" w:rsidRPr="00D66245" w:rsidRDefault="008057F8" w:rsidP="008057F8">
      <w:pPr>
        <w:numPr>
          <w:ilvl w:val="1"/>
          <w:numId w:val="58"/>
        </w:numPr>
        <w:spacing w:before="120" w:after="200" w:line="240" w:lineRule="auto"/>
        <w:jc w:val="both"/>
        <w:rPr>
          <w:rFonts w:ascii="Palatino Linotype" w:hAnsi="Palatino Linotype"/>
        </w:rPr>
      </w:pPr>
      <w:r w:rsidRPr="00D66245">
        <w:rPr>
          <w:rFonts w:ascii="Palatino Linotype" w:hAnsi="Palatino Linotype"/>
        </w:rPr>
        <w:t xml:space="preserve">No fue alegado o no constituye un elemento de importancia en la solución, </w:t>
      </w:r>
    </w:p>
    <w:p w14:paraId="4E199FF5" w14:textId="77777777" w:rsidR="008057F8" w:rsidRPr="00D66245" w:rsidRDefault="008057F8" w:rsidP="008057F8">
      <w:pPr>
        <w:numPr>
          <w:ilvl w:val="1"/>
          <w:numId w:val="58"/>
        </w:numPr>
        <w:spacing w:before="120" w:after="200" w:line="240" w:lineRule="auto"/>
        <w:jc w:val="both"/>
        <w:rPr>
          <w:rFonts w:ascii="Palatino Linotype" w:hAnsi="Palatino Linotype"/>
        </w:rPr>
      </w:pPr>
      <w:r w:rsidRPr="00D66245">
        <w:rPr>
          <w:rFonts w:ascii="Palatino Linotype" w:hAnsi="Palatino Linotype"/>
        </w:rPr>
        <w:t xml:space="preserve">Las que se refieran a preguntas superfluas, no recaen sobre el fondo de la controversia o son inconducente, </w:t>
      </w:r>
    </w:p>
    <w:p w14:paraId="481A46F5" w14:textId="77777777" w:rsidR="008057F8" w:rsidRPr="00D66245" w:rsidRDefault="008057F8" w:rsidP="008057F8">
      <w:pPr>
        <w:numPr>
          <w:ilvl w:val="1"/>
          <w:numId w:val="58"/>
        </w:numPr>
        <w:spacing w:before="120" w:after="200" w:line="240" w:lineRule="auto"/>
        <w:jc w:val="both"/>
        <w:rPr>
          <w:rFonts w:ascii="Palatino Linotype" w:hAnsi="Palatino Linotype"/>
        </w:rPr>
      </w:pPr>
      <w:r w:rsidRPr="00D66245">
        <w:rPr>
          <w:rFonts w:ascii="Palatino Linotype" w:hAnsi="Palatino Linotype"/>
        </w:rPr>
        <w:t>Se refieran a juicios de valor de los hechos.</w:t>
      </w:r>
    </w:p>
    <w:p w14:paraId="3320ED63"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
          <w:bCs/>
          <w:lang w:val="es-ES_tradnl"/>
        </w:rPr>
        <w:t>Preguntas complejas o que se refieren a más de un hecho</w:t>
      </w:r>
    </w:p>
    <w:p w14:paraId="113FB447"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
          <w:bCs/>
          <w:lang w:val="es-ES_tradnl"/>
        </w:rPr>
        <w:t>Preguntas de actitud</w:t>
      </w:r>
    </w:p>
    <w:p w14:paraId="53F3BBF1"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
          <w:bCs/>
          <w:lang w:val="es-ES_tradnl"/>
        </w:rPr>
        <w:t>Pregunta vejatoria</w:t>
      </w:r>
    </w:p>
    <w:p w14:paraId="487DF693"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
          <w:bCs/>
          <w:lang w:val="es-MX"/>
        </w:rPr>
        <w:t>Preguntas de opinión a quienes no sean expertos</w:t>
      </w:r>
    </w:p>
    <w:p w14:paraId="23694011"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
          <w:bCs/>
          <w:lang w:val="es-MX"/>
        </w:rPr>
        <w:t>Preguntas sugestivas:</w:t>
      </w:r>
    </w:p>
    <w:p w14:paraId="17CB9DC7" w14:textId="77777777" w:rsidR="008057F8" w:rsidRPr="00D66245" w:rsidRDefault="008057F8" w:rsidP="008057F8">
      <w:pPr>
        <w:pStyle w:val="Prrafodelista"/>
        <w:numPr>
          <w:ilvl w:val="0"/>
          <w:numId w:val="59"/>
        </w:numPr>
        <w:spacing w:before="120" w:after="200" w:line="240" w:lineRule="auto"/>
        <w:ind w:left="924" w:hanging="357"/>
        <w:contextualSpacing w:val="0"/>
        <w:jc w:val="both"/>
        <w:rPr>
          <w:rFonts w:ascii="Palatino Linotype" w:hAnsi="Palatino Linotype"/>
        </w:rPr>
      </w:pPr>
      <w:r w:rsidRPr="00D66245">
        <w:rPr>
          <w:rFonts w:ascii="Palatino Linotype" w:hAnsi="Palatino Linotype"/>
          <w:lang w:val="es-ES_tradnl"/>
        </w:rPr>
        <w:t>Aquellas que insinúan una respuesta determinada</w:t>
      </w:r>
    </w:p>
    <w:p w14:paraId="79708759" w14:textId="77777777" w:rsidR="008057F8" w:rsidRPr="00D66245" w:rsidRDefault="008057F8" w:rsidP="008057F8">
      <w:pPr>
        <w:pStyle w:val="Prrafodelista"/>
        <w:numPr>
          <w:ilvl w:val="0"/>
          <w:numId w:val="59"/>
        </w:numPr>
        <w:spacing w:before="120" w:after="200" w:line="240" w:lineRule="auto"/>
        <w:ind w:left="924" w:hanging="357"/>
        <w:contextualSpacing w:val="0"/>
        <w:jc w:val="both"/>
        <w:rPr>
          <w:rFonts w:ascii="Palatino Linotype" w:hAnsi="Palatino Linotype"/>
        </w:rPr>
      </w:pPr>
      <w:r w:rsidRPr="00D66245">
        <w:rPr>
          <w:rFonts w:ascii="Palatino Linotype" w:hAnsi="Palatino Linotype"/>
          <w:lang w:val="es-ES_tradnl"/>
        </w:rPr>
        <w:t>Guían al testigo para que responda lo que se quiere</w:t>
      </w:r>
    </w:p>
    <w:p w14:paraId="6D055A0A" w14:textId="77777777" w:rsidR="008057F8" w:rsidRPr="00D66245" w:rsidRDefault="008057F8" w:rsidP="008057F8">
      <w:pPr>
        <w:pStyle w:val="Prrafodelista"/>
        <w:numPr>
          <w:ilvl w:val="0"/>
          <w:numId w:val="59"/>
        </w:numPr>
        <w:spacing w:before="120" w:after="200" w:line="240" w:lineRule="auto"/>
        <w:ind w:left="924" w:hanging="357"/>
        <w:contextualSpacing w:val="0"/>
        <w:jc w:val="both"/>
        <w:rPr>
          <w:rFonts w:ascii="Palatino Linotype" w:hAnsi="Palatino Linotype"/>
        </w:rPr>
      </w:pPr>
      <w:r w:rsidRPr="00D66245">
        <w:rPr>
          <w:rFonts w:ascii="Palatino Linotype" w:hAnsi="Palatino Linotype"/>
          <w:lang w:val="es-ES_tradnl"/>
        </w:rPr>
        <w:t xml:space="preserve">Sugieren o insinúan la respuesta querida </w:t>
      </w:r>
    </w:p>
    <w:p w14:paraId="015C2374" w14:textId="77777777" w:rsidR="008057F8" w:rsidRPr="00D66245" w:rsidRDefault="008057F8" w:rsidP="008057F8">
      <w:pPr>
        <w:pStyle w:val="Prrafodelista"/>
        <w:numPr>
          <w:ilvl w:val="0"/>
          <w:numId w:val="59"/>
        </w:numPr>
        <w:spacing w:before="120" w:after="200" w:line="240" w:lineRule="auto"/>
        <w:ind w:left="924" w:hanging="357"/>
        <w:contextualSpacing w:val="0"/>
        <w:jc w:val="both"/>
        <w:rPr>
          <w:rFonts w:ascii="Palatino Linotype" w:hAnsi="Palatino Linotype"/>
        </w:rPr>
      </w:pPr>
      <w:r w:rsidRPr="00D66245">
        <w:rPr>
          <w:rFonts w:ascii="Palatino Linotype" w:hAnsi="Palatino Linotype"/>
          <w:lang w:val="es-ES_tradnl"/>
        </w:rPr>
        <w:lastRenderedPageBreak/>
        <w:t xml:space="preserve">Asumen algo que no ha sido establecido  </w:t>
      </w:r>
    </w:p>
    <w:p w14:paraId="46C8C952" w14:textId="77777777" w:rsidR="008057F8" w:rsidRPr="00D66245" w:rsidRDefault="008057F8" w:rsidP="008057F8">
      <w:pPr>
        <w:pStyle w:val="Prrafodelista"/>
        <w:numPr>
          <w:ilvl w:val="0"/>
          <w:numId w:val="59"/>
        </w:numPr>
        <w:spacing w:before="120" w:after="200" w:line="240" w:lineRule="auto"/>
        <w:ind w:left="924" w:hanging="357"/>
        <w:contextualSpacing w:val="0"/>
        <w:jc w:val="both"/>
        <w:rPr>
          <w:rFonts w:ascii="Palatino Linotype" w:hAnsi="Palatino Linotype"/>
        </w:rPr>
      </w:pPr>
      <w:r w:rsidRPr="00D66245">
        <w:rPr>
          <w:rFonts w:ascii="Palatino Linotype" w:hAnsi="Palatino Linotype"/>
          <w:lang w:val="es-ES_tradnl"/>
        </w:rPr>
        <w:t xml:space="preserve">Incorporan un hecho y requiere de una respuesta simple ya sea positiva o negativa. </w:t>
      </w:r>
    </w:p>
    <w:p w14:paraId="1FE020C4" w14:textId="77777777" w:rsidR="008057F8" w:rsidRPr="00D66245" w:rsidRDefault="008057F8" w:rsidP="008057F8">
      <w:pPr>
        <w:pStyle w:val="Prrafodelista"/>
        <w:numPr>
          <w:ilvl w:val="0"/>
          <w:numId w:val="59"/>
        </w:numPr>
        <w:spacing w:before="120" w:after="200" w:line="240" w:lineRule="auto"/>
        <w:ind w:left="924" w:hanging="357"/>
        <w:contextualSpacing w:val="0"/>
        <w:jc w:val="both"/>
        <w:rPr>
          <w:rFonts w:ascii="Palatino Linotype" w:hAnsi="Palatino Linotype"/>
        </w:rPr>
      </w:pPr>
      <w:r w:rsidRPr="00D66245">
        <w:rPr>
          <w:rFonts w:ascii="Palatino Linotype" w:hAnsi="Palatino Linotype"/>
          <w:lang w:val="es-ES_tradnl"/>
        </w:rPr>
        <w:t>Tienden a determinar la respuesta dada por el sujeto.</w:t>
      </w:r>
    </w:p>
    <w:p w14:paraId="7455B333" w14:textId="77777777" w:rsidR="008057F8" w:rsidRPr="00D66245" w:rsidRDefault="008057F8" w:rsidP="008057F8">
      <w:pPr>
        <w:pStyle w:val="Prrafodelista"/>
        <w:numPr>
          <w:ilvl w:val="0"/>
          <w:numId w:val="59"/>
        </w:numPr>
        <w:spacing w:before="120" w:after="200" w:line="240" w:lineRule="auto"/>
        <w:ind w:left="924" w:hanging="357"/>
        <w:contextualSpacing w:val="0"/>
        <w:jc w:val="both"/>
        <w:rPr>
          <w:rFonts w:ascii="Palatino Linotype" w:hAnsi="Palatino Linotype"/>
        </w:rPr>
      </w:pPr>
      <w:r w:rsidRPr="00D66245">
        <w:rPr>
          <w:rFonts w:ascii="Palatino Linotype" w:hAnsi="Palatino Linotype"/>
          <w:lang w:val="es-ES_tradnl"/>
        </w:rPr>
        <w:t xml:space="preserve">Tienen valor cuando se examinan declaraciones previas. Cuando se está dando una respuesta determinada. O si se quiere refrescar la memoria sujeto. </w:t>
      </w:r>
    </w:p>
    <w:p w14:paraId="16C8ADFB" w14:textId="77777777" w:rsidR="008057F8" w:rsidRPr="00D66245" w:rsidRDefault="008057F8" w:rsidP="008057F8">
      <w:pPr>
        <w:spacing w:before="120" w:after="200" w:line="240" w:lineRule="auto"/>
        <w:ind w:firstLine="708"/>
        <w:jc w:val="both"/>
        <w:rPr>
          <w:rFonts w:ascii="Palatino Linotype" w:hAnsi="Palatino Linotype"/>
        </w:rPr>
      </w:pPr>
      <w:r w:rsidRPr="00D66245">
        <w:rPr>
          <w:rFonts w:ascii="Palatino Linotype" w:hAnsi="Palatino Linotype"/>
        </w:rPr>
        <w:t xml:space="preserve">Ejemplo: </w:t>
      </w:r>
    </w:p>
    <w:p w14:paraId="2BC732CD" w14:textId="77777777" w:rsidR="008057F8" w:rsidRPr="00D66245" w:rsidRDefault="008057F8" w:rsidP="008057F8">
      <w:pPr>
        <w:spacing w:before="120" w:after="200" w:line="240" w:lineRule="auto"/>
        <w:ind w:left="1416"/>
        <w:jc w:val="both"/>
        <w:rPr>
          <w:rFonts w:ascii="Palatino Linotype" w:hAnsi="Palatino Linotype"/>
        </w:rPr>
      </w:pPr>
      <w:r w:rsidRPr="00D66245">
        <w:rPr>
          <w:rFonts w:ascii="Palatino Linotype" w:hAnsi="Palatino Linotype"/>
        </w:rPr>
        <w:t>¿Señor Pérez, díganos si usted escuchó que el demandado quería incumplir el contrato?</w:t>
      </w:r>
    </w:p>
    <w:p w14:paraId="13F4BA4B"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b/>
          <w:lang w:val="es-ES_tradnl"/>
        </w:rPr>
        <w:t>Preguntas de apreciación sin ser testigo experto</w:t>
      </w:r>
      <w:r w:rsidRPr="00D66245">
        <w:rPr>
          <w:rFonts w:ascii="Palatino Linotype" w:hAnsi="Palatino Linotype"/>
          <w:b/>
          <w:lang w:val="es-ES_tradnl"/>
        </w:rPr>
        <w:tab/>
      </w:r>
    </w:p>
    <w:p w14:paraId="2E9B7E3A"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b/>
          <w:lang w:val="es-ES_tradnl"/>
        </w:rPr>
        <w:t>Preguntas de opinión y juicios de valor</w:t>
      </w:r>
    </w:p>
    <w:p w14:paraId="1E464CA4"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b/>
          <w:lang w:val="es-ES_tradnl"/>
        </w:rPr>
        <w:t>Los de interrogatorio previo y escrito</w:t>
      </w:r>
    </w:p>
    <w:p w14:paraId="09F6F3B1"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b/>
          <w:lang w:val="es-ES_tradnl"/>
        </w:rPr>
        <w:t>Preguntas ofensivas o vejatorias</w:t>
      </w:r>
      <w:r w:rsidRPr="00D66245">
        <w:rPr>
          <w:rFonts w:ascii="Palatino Linotype" w:hAnsi="Palatino Linotype"/>
          <w:b/>
          <w:lang w:val="es-ES_tradnl"/>
        </w:rPr>
        <w:tab/>
      </w:r>
    </w:p>
    <w:p w14:paraId="61EF850C"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b/>
          <w:lang w:val="es-ES_tradnl"/>
        </w:rPr>
        <w:t>Preguntas asertivas</w:t>
      </w:r>
    </w:p>
    <w:p w14:paraId="3CCFFC98"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b/>
          <w:lang w:val="es-ES_tradnl"/>
        </w:rPr>
        <w:t>Preguntas complejas o con más de un hecho</w:t>
      </w:r>
    </w:p>
    <w:p w14:paraId="121A27E4"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b/>
        </w:rPr>
        <w:t>Preguntas sobre las cuales no fue ofrecido</w:t>
      </w:r>
    </w:p>
    <w:p w14:paraId="1079130C"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
        </w:rPr>
        <w:t>Preguntas argumentativas:</w:t>
      </w:r>
    </w:p>
    <w:p w14:paraId="0FDC7633" w14:textId="77777777" w:rsidR="008057F8" w:rsidRPr="00D66245" w:rsidRDefault="008057F8" w:rsidP="008057F8">
      <w:pPr>
        <w:pStyle w:val="Prrafodelista"/>
        <w:numPr>
          <w:ilvl w:val="0"/>
          <w:numId w:val="70"/>
        </w:numPr>
        <w:spacing w:before="120" w:after="200" w:line="240" w:lineRule="auto"/>
        <w:ind w:left="1208" w:hanging="357"/>
        <w:contextualSpacing w:val="0"/>
        <w:jc w:val="both"/>
        <w:rPr>
          <w:rFonts w:ascii="Palatino Linotype" w:hAnsi="Palatino Linotype"/>
        </w:rPr>
      </w:pPr>
      <w:r w:rsidRPr="00D66245">
        <w:rPr>
          <w:rFonts w:ascii="Palatino Linotype" w:hAnsi="Palatino Linotype"/>
        </w:rPr>
        <w:t xml:space="preserve">Aquel cuestionamiento que contiene una inferencia </w:t>
      </w:r>
    </w:p>
    <w:p w14:paraId="17AF36E8" w14:textId="77777777" w:rsidR="008057F8" w:rsidRPr="00D66245" w:rsidRDefault="008057F8" w:rsidP="008057F8">
      <w:pPr>
        <w:pStyle w:val="Prrafodelista"/>
        <w:numPr>
          <w:ilvl w:val="0"/>
          <w:numId w:val="70"/>
        </w:numPr>
        <w:spacing w:before="120" w:after="200" w:line="240" w:lineRule="auto"/>
        <w:ind w:left="1208" w:hanging="357"/>
        <w:contextualSpacing w:val="0"/>
        <w:jc w:val="both"/>
        <w:rPr>
          <w:rFonts w:ascii="Palatino Linotype" w:hAnsi="Palatino Linotype"/>
        </w:rPr>
      </w:pPr>
      <w:r w:rsidRPr="00D66245">
        <w:rPr>
          <w:rFonts w:ascii="Palatino Linotype" w:hAnsi="Palatino Linotype"/>
        </w:rPr>
        <w:t>La que contiene una deducción para que el testigo confirme o rechace lo que se pretenda con la pregunta.</w:t>
      </w:r>
    </w:p>
    <w:p w14:paraId="37DA147C" w14:textId="77777777" w:rsidR="008057F8" w:rsidRPr="00D66245" w:rsidRDefault="008057F8" w:rsidP="008057F8">
      <w:pPr>
        <w:pStyle w:val="Prrafodelista"/>
        <w:spacing w:before="120" w:after="200" w:line="240" w:lineRule="auto"/>
        <w:ind w:left="567"/>
        <w:contextualSpacing w:val="0"/>
        <w:jc w:val="both"/>
        <w:rPr>
          <w:rFonts w:ascii="Palatino Linotype" w:hAnsi="Palatino Linotype"/>
        </w:rPr>
      </w:pPr>
      <w:r w:rsidRPr="00D66245">
        <w:rPr>
          <w:rFonts w:ascii="Palatino Linotype" w:hAnsi="Palatino Linotype"/>
        </w:rPr>
        <w:t xml:space="preserve">Ejemplo: </w:t>
      </w:r>
    </w:p>
    <w:p w14:paraId="4450A759" w14:textId="77777777" w:rsidR="008057F8" w:rsidRPr="00D66245" w:rsidRDefault="008057F8" w:rsidP="008057F8">
      <w:pPr>
        <w:pStyle w:val="Prrafodelista"/>
        <w:spacing w:before="120" w:after="200" w:line="240" w:lineRule="auto"/>
        <w:ind w:left="567"/>
        <w:contextualSpacing w:val="0"/>
        <w:jc w:val="both"/>
        <w:rPr>
          <w:rFonts w:ascii="Palatino Linotype" w:hAnsi="Palatino Linotype"/>
        </w:rPr>
      </w:pPr>
      <w:r w:rsidRPr="00D66245">
        <w:rPr>
          <w:rFonts w:ascii="Palatino Linotype" w:hAnsi="Palatino Linotype"/>
        </w:rPr>
        <w:t>¿Cierto que usted pudo ver el accidente porque estaba viendo hacía los vehículos que impactaron?</w:t>
      </w:r>
    </w:p>
    <w:p w14:paraId="44F8A5F6" w14:textId="77777777" w:rsidR="00BE4897" w:rsidRDefault="00BE4897" w:rsidP="008057F8">
      <w:pPr>
        <w:spacing w:before="120" w:after="200" w:line="240" w:lineRule="auto"/>
        <w:jc w:val="both"/>
        <w:rPr>
          <w:rFonts w:ascii="Palatino Linotype" w:hAnsi="Palatino Linotype"/>
          <w:b/>
        </w:rPr>
      </w:pPr>
    </w:p>
    <w:p w14:paraId="6530D40D" w14:textId="7D3DBFEB"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
        </w:rPr>
        <w:lastRenderedPageBreak/>
        <w:t>Pregunta compuesta:</w:t>
      </w:r>
    </w:p>
    <w:p w14:paraId="1D43E4F2" w14:textId="77777777" w:rsidR="008057F8" w:rsidRPr="00D66245" w:rsidRDefault="008057F8" w:rsidP="008057F8">
      <w:pPr>
        <w:pStyle w:val="Prrafodelista"/>
        <w:numPr>
          <w:ilvl w:val="0"/>
          <w:numId w:val="71"/>
        </w:numPr>
        <w:spacing w:before="120" w:after="200" w:line="240" w:lineRule="auto"/>
        <w:ind w:left="1208" w:hanging="357"/>
        <w:contextualSpacing w:val="0"/>
        <w:jc w:val="both"/>
        <w:rPr>
          <w:rFonts w:ascii="Palatino Linotype" w:hAnsi="Palatino Linotype"/>
        </w:rPr>
      </w:pPr>
      <w:r w:rsidRPr="00D66245">
        <w:rPr>
          <w:rFonts w:ascii="Palatino Linotype" w:hAnsi="Palatino Linotype"/>
        </w:rPr>
        <w:t>Aquella que involucra varios interrogantes en ella, que de acuerdo con la técnica del interrogatorio debe ser formulada de manera independiente.</w:t>
      </w:r>
    </w:p>
    <w:p w14:paraId="50B2D2CF" w14:textId="77777777" w:rsidR="008057F8" w:rsidRPr="00D66245" w:rsidRDefault="008057F8" w:rsidP="008057F8">
      <w:pPr>
        <w:pStyle w:val="Prrafodelista"/>
        <w:spacing w:before="120" w:after="200" w:line="240" w:lineRule="auto"/>
        <w:ind w:left="924"/>
        <w:contextualSpacing w:val="0"/>
        <w:jc w:val="both"/>
        <w:rPr>
          <w:rFonts w:ascii="Palatino Linotype" w:hAnsi="Palatino Linotype"/>
        </w:rPr>
      </w:pPr>
      <w:r w:rsidRPr="00D66245">
        <w:rPr>
          <w:rFonts w:ascii="Palatino Linotype" w:hAnsi="Palatino Linotype"/>
        </w:rPr>
        <w:t xml:space="preserve"> </w:t>
      </w:r>
      <w:r w:rsidRPr="00D66245">
        <w:rPr>
          <w:rFonts w:ascii="Palatino Linotype" w:hAnsi="Palatino Linotype"/>
        </w:rPr>
        <w:tab/>
        <w:t xml:space="preserve">Ejemplo: </w:t>
      </w:r>
    </w:p>
    <w:p w14:paraId="774E2032" w14:textId="77777777" w:rsidR="008057F8" w:rsidRPr="00D66245" w:rsidRDefault="008057F8" w:rsidP="008057F8">
      <w:pPr>
        <w:pStyle w:val="Prrafodelista"/>
        <w:spacing w:before="120" w:after="200" w:line="240" w:lineRule="auto"/>
        <w:ind w:left="1416"/>
        <w:contextualSpacing w:val="0"/>
        <w:jc w:val="both"/>
        <w:rPr>
          <w:rFonts w:ascii="Palatino Linotype" w:hAnsi="Palatino Linotype"/>
        </w:rPr>
      </w:pPr>
      <w:r w:rsidRPr="00D66245">
        <w:rPr>
          <w:rFonts w:ascii="Palatino Linotype" w:hAnsi="Palatino Linotype"/>
        </w:rPr>
        <w:t>¿Señor Pérez, a qué hora llegó al supermercado y si al momento de ingresar al establecimiento notó algo extraño en el piso de él?</w:t>
      </w:r>
    </w:p>
    <w:p w14:paraId="0B360592"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
        </w:rPr>
        <w:t>Preguntas capciosas y engañosas:</w:t>
      </w:r>
    </w:p>
    <w:p w14:paraId="328058A1" w14:textId="77777777" w:rsidR="008057F8" w:rsidRPr="00D66245" w:rsidRDefault="008057F8" w:rsidP="008057F8">
      <w:pPr>
        <w:pStyle w:val="Prrafodelista"/>
        <w:numPr>
          <w:ilvl w:val="0"/>
          <w:numId w:val="71"/>
        </w:numPr>
        <w:spacing w:before="120" w:after="200" w:line="240" w:lineRule="auto"/>
        <w:ind w:left="1066" w:hanging="357"/>
        <w:contextualSpacing w:val="0"/>
        <w:jc w:val="both"/>
        <w:rPr>
          <w:rFonts w:ascii="Palatino Linotype" w:hAnsi="Palatino Linotype"/>
        </w:rPr>
      </w:pPr>
      <w:r w:rsidRPr="00D66245">
        <w:rPr>
          <w:rFonts w:ascii="Palatino Linotype" w:hAnsi="Palatino Linotype"/>
        </w:rPr>
        <w:t>Aquella que utiliza el artificio o engaño para sacar provecho del testigo, en su elaboración induce a error o confunde al testigo.</w:t>
      </w:r>
    </w:p>
    <w:p w14:paraId="00D4E0E0" w14:textId="77777777" w:rsidR="008057F8" w:rsidRPr="00D66245" w:rsidRDefault="008057F8" w:rsidP="008057F8">
      <w:pPr>
        <w:pStyle w:val="Prrafodelista"/>
        <w:spacing w:before="120" w:after="200" w:line="240" w:lineRule="auto"/>
        <w:ind w:left="1416"/>
        <w:contextualSpacing w:val="0"/>
        <w:jc w:val="both"/>
        <w:rPr>
          <w:rFonts w:ascii="Palatino Linotype" w:hAnsi="Palatino Linotype"/>
        </w:rPr>
      </w:pPr>
      <w:r w:rsidRPr="00D66245">
        <w:rPr>
          <w:rFonts w:ascii="Palatino Linotype" w:hAnsi="Palatino Linotype"/>
        </w:rPr>
        <w:t xml:space="preserve">Ejemplo: </w:t>
      </w:r>
    </w:p>
    <w:p w14:paraId="01C39053" w14:textId="77777777" w:rsidR="008057F8" w:rsidRPr="00D66245" w:rsidRDefault="008057F8" w:rsidP="008057F8">
      <w:pPr>
        <w:pStyle w:val="Prrafodelista"/>
        <w:spacing w:before="120" w:after="200" w:line="240" w:lineRule="auto"/>
        <w:ind w:left="1416"/>
        <w:contextualSpacing w:val="0"/>
        <w:jc w:val="both"/>
        <w:rPr>
          <w:rFonts w:ascii="Palatino Linotype" w:hAnsi="Palatino Linotype"/>
        </w:rPr>
      </w:pPr>
      <w:r w:rsidRPr="00D66245">
        <w:rPr>
          <w:rFonts w:ascii="Palatino Linotype" w:hAnsi="Palatino Linotype"/>
        </w:rPr>
        <w:t>¿Díganos cómo vestía la persona que huyó del supermercado, luego de escuchar los gritos de las personas que se encontraban allí?”</w:t>
      </w:r>
    </w:p>
    <w:p w14:paraId="4684744E"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
        </w:rPr>
        <w:t>Preguntas conclusivas:</w:t>
      </w:r>
    </w:p>
    <w:p w14:paraId="626EA37E" w14:textId="77777777" w:rsidR="008057F8" w:rsidRPr="00D66245" w:rsidRDefault="008057F8" w:rsidP="008057F8">
      <w:pPr>
        <w:pStyle w:val="Prrafodelista"/>
        <w:numPr>
          <w:ilvl w:val="0"/>
          <w:numId w:val="71"/>
        </w:numPr>
        <w:spacing w:before="120" w:after="200" w:line="240" w:lineRule="auto"/>
        <w:ind w:left="1066" w:hanging="357"/>
        <w:contextualSpacing w:val="0"/>
        <w:jc w:val="both"/>
        <w:rPr>
          <w:rFonts w:ascii="Palatino Linotype" w:hAnsi="Palatino Linotype"/>
        </w:rPr>
      </w:pPr>
      <w:r w:rsidRPr="00D66245">
        <w:rPr>
          <w:rFonts w:ascii="Palatino Linotype" w:hAnsi="Palatino Linotype"/>
        </w:rPr>
        <w:t>Aquella en la cual el declarante acepta las conclusiones que propone quien interroga.</w:t>
      </w:r>
    </w:p>
    <w:p w14:paraId="4983117C" w14:textId="77777777" w:rsidR="008057F8" w:rsidRPr="00D66245" w:rsidRDefault="008057F8" w:rsidP="008057F8">
      <w:pPr>
        <w:spacing w:before="120" w:after="200" w:line="240" w:lineRule="auto"/>
        <w:ind w:left="358" w:firstLine="708"/>
        <w:jc w:val="both"/>
        <w:rPr>
          <w:rFonts w:ascii="Palatino Linotype" w:hAnsi="Palatino Linotype"/>
        </w:rPr>
      </w:pPr>
      <w:r w:rsidRPr="00D66245">
        <w:rPr>
          <w:rFonts w:ascii="Palatino Linotype" w:hAnsi="Palatino Linotype"/>
        </w:rPr>
        <w:t xml:space="preserve">Ejemplo: </w:t>
      </w:r>
    </w:p>
    <w:p w14:paraId="44428D6D" w14:textId="77777777" w:rsidR="008057F8" w:rsidRPr="00D66245" w:rsidRDefault="008057F8" w:rsidP="008057F8">
      <w:pPr>
        <w:spacing w:before="120" w:after="200" w:line="240" w:lineRule="auto"/>
        <w:ind w:left="708"/>
        <w:jc w:val="both"/>
        <w:rPr>
          <w:rFonts w:ascii="Palatino Linotype" w:hAnsi="Palatino Linotype"/>
        </w:rPr>
      </w:pPr>
      <w:r w:rsidRPr="00D66245">
        <w:rPr>
          <w:rFonts w:ascii="Palatino Linotype" w:hAnsi="Palatino Linotype"/>
        </w:rPr>
        <w:t>¿Señor Pérez, no es cierto que como usted estaba en la sección de lácteos y los hechos sucedieron en la sección de carnes usted no pudo ver quien el accidente ?</w:t>
      </w:r>
    </w:p>
    <w:p w14:paraId="48385E19" w14:textId="77777777" w:rsidR="008057F8" w:rsidRPr="00D66245" w:rsidRDefault="008057F8" w:rsidP="008057F8">
      <w:pPr>
        <w:spacing w:before="120" w:after="200" w:line="240" w:lineRule="auto"/>
        <w:ind w:firstLine="708"/>
        <w:jc w:val="both"/>
        <w:rPr>
          <w:rFonts w:ascii="Palatino Linotype" w:hAnsi="Palatino Linotype"/>
        </w:rPr>
      </w:pPr>
      <w:r w:rsidRPr="00D66245">
        <w:rPr>
          <w:rFonts w:ascii="Palatino Linotype" w:hAnsi="Palatino Linotype"/>
        </w:rPr>
        <w:t>Diga que es cierto que el demandado no pudo haber incumplido el contrato.</w:t>
      </w:r>
    </w:p>
    <w:p w14:paraId="357EB435"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
        </w:rPr>
        <w:t>Preguntas confusas, ambiguas o vagas:</w:t>
      </w:r>
    </w:p>
    <w:p w14:paraId="58D427E6"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Aquella que es incomprensible, que distrae al testigo del relato o que lo confunde no sólo a él, sino también al juzgador, por cuanto el cuestionamiento genera confusión en el testigo.</w:t>
      </w:r>
    </w:p>
    <w:p w14:paraId="5E0B89CE" w14:textId="77777777" w:rsidR="008057F8" w:rsidRPr="00D66245" w:rsidRDefault="008057F8" w:rsidP="008057F8">
      <w:pPr>
        <w:spacing w:before="120" w:after="200" w:line="240" w:lineRule="auto"/>
        <w:ind w:firstLine="708"/>
        <w:jc w:val="both"/>
        <w:rPr>
          <w:rFonts w:ascii="Palatino Linotype" w:hAnsi="Palatino Linotype"/>
        </w:rPr>
      </w:pPr>
      <w:r w:rsidRPr="00D66245">
        <w:rPr>
          <w:rFonts w:ascii="Palatino Linotype" w:hAnsi="Palatino Linotype"/>
        </w:rPr>
        <w:lastRenderedPageBreak/>
        <w:t xml:space="preserve">Ejemplo: </w:t>
      </w:r>
    </w:p>
    <w:p w14:paraId="7BB28936" w14:textId="77777777" w:rsidR="008057F8" w:rsidRPr="00D66245" w:rsidRDefault="008057F8" w:rsidP="008057F8">
      <w:pPr>
        <w:spacing w:before="120" w:after="200" w:line="240" w:lineRule="auto"/>
        <w:ind w:left="1416"/>
        <w:jc w:val="both"/>
        <w:rPr>
          <w:rFonts w:ascii="Palatino Linotype" w:hAnsi="Palatino Linotype"/>
        </w:rPr>
      </w:pPr>
      <w:r w:rsidRPr="00D66245">
        <w:rPr>
          <w:rFonts w:ascii="Palatino Linotype" w:hAnsi="Palatino Linotype"/>
        </w:rPr>
        <w:t>Señor Pérez, ¿Cómo usted estaba en la sección de lácteos y los hechos sucedieron en otra parte, no pudo ver las personas que entraron cinco minutos antes de los hechos?”</w:t>
      </w:r>
    </w:p>
    <w:p w14:paraId="0B46D39B"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b/>
        </w:rPr>
        <w:t>Preguntas de opinión:</w:t>
      </w:r>
    </w:p>
    <w:p w14:paraId="3730A5DE" w14:textId="77777777" w:rsidR="008057F8" w:rsidRPr="00D66245" w:rsidRDefault="008057F8" w:rsidP="008057F8">
      <w:pPr>
        <w:pStyle w:val="Prrafodelista"/>
        <w:numPr>
          <w:ilvl w:val="0"/>
          <w:numId w:val="71"/>
        </w:numPr>
        <w:spacing w:before="120" w:after="200" w:line="240" w:lineRule="auto"/>
        <w:ind w:left="1066" w:hanging="357"/>
        <w:contextualSpacing w:val="0"/>
        <w:jc w:val="both"/>
        <w:rPr>
          <w:rFonts w:ascii="Palatino Linotype" w:hAnsi="Palatino Linotype"/>
        </w:rPr>
      </w:pPr>
      <w:r w:rsidRPr="00D66245">
        <w:rPr>
          <w:rFonts w:ascii="Palatino Linotype" w:hAnsi="Palatino Linotype"/>
        </w:rPr>
        <w:t>Los testigos deben declarar sobre aquello que hayan percibido a través de sus sentidos, razón por la cual no están para que emitan opiniones o juicios, salvo que se trate de un perito o de un testigo técnico.</w:t>
      </w:r>
    </w:p>
    <w:p w14:paraId="60581734"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 xml:space="preserve">Ejemplo: </w:t>
      </w:r>
    </w:p>
    <w:p w14:paraId="2E7F12C3" w14:textId="77777777" w:rsidR="008057F8" w:rsidRPr="00D66245" w:rsidRDefault="008057F8" w:rsidP="008057F8">
      <w:pPr>
        <w:spacing w:before="120" w:after="200" w:line="240" w:lineRule="auto"/>
        <w:ind w:left="708"/>
        <w:jc w:val="both"/>
        <w:rPr>
          <w:rFonts w:ascii="Palatino Linotype" w:hAnsi="Palatino Linotype"/>
        </w:rPr>
      </w:pPr>
      <w:r w:rsidRPr="00D66245">
        <w:rPr>
          <w:rFonts w:ascii="Palatino Linotype" w:hAnsi="Palatino Linotype"/>
        </w:rPr>
        <w:t>¿Señor Pérez, de acuerdo con el orificio de entrada de la víctima en la zona frontal de la cabeza, usted cree que el arma de fuego que ocasionó dicha lesión fue una escopeta?</w:t>
      </w:r>
    </w:p>
    <w:p w14:paraId="5BFF99C1"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
        </w:rPr>
        <w:t>Preguntas especulativas:</w:t>
      </w:r>
    </w:p>
    <w:p w14:paraId="77BA75EC" w14:textId="77777777" w:rsidR="008057F8" w:rsidRPr="00D66245" w:rsidRDefault="008057F8" w:rsidP="008057F8">
      <w:pPr>
        <w:spacing w:before="120" w:after="200" w:line="240" w:lineRule="auto"/>
        <w:ind w:firstLine="708"/>
        <w:jc w:val="both"/>
        <w:rPr>
          <w:rFonts w:ascii="Palatino Linotype" w:hAnsi="Palatino Linotype"/>
        </w:rPr>
      </w:pPr>
      <w:r w:rsidRPr="00D66245">
        <w:rPr>
          <w:rFonts w:ascii="Palatino Linotype" w:hAnsi="Palatino Linotype"/>
        </w:rPr>
        <w:t>Con ella el interrogador crea una hipótesis para que el testigo la confirme o la niegue, distrayéndolo de lo que él percibió y recuerda.</w:t>
      </w:r>
    </w:p>
    <w:p w14:paraId="474AE5C1" w14:textId="77777777" w:rsidR="008057F8" w:rsidRPr="00D66245" w:rsidRDefault="008057F8" w:rsidP="008057F8">
      <w:pPr>
        <w:spacing w:before="120" w:after="200" w:line="240" w:lineRule="auto"/>
        <w:ind w:firstLine="708"/>
        <w:jc w:val="both"/>
        <w:rPr>
          <w:rFonts w:ascii="Palatino Linotype" w:hAnsi="Palatino Linotype"/>
        </w:rPr>
      </w:pPr>
      <w:r w:rsidRPr="00D66245">
        <w:rPr>
          <w:rFonts w:ascii="Palatino Linotype" w:hAnsi="Palatino Linotype"/>
        </w:rPr>
        <w:t xml:space="preserve">Ejemplo: </w:t>
      </w:r>
    </w:p>
    <w:p w14:paraId="1F5D033E" w14:textId="77777777" w:rsidR="008057F8" w:rsidRPr="00D66245" w:rsidRDefault="008057F8" w:rsidP="008057F8">
      <w:pPr>
        <w:spacing w:before="120" w:after="200" w:line="240" w:lineRule="auto"/>
        <w:ind w:left="708"/>
        <w:jc w:val="both"/>
        <w:rPr>
          <w:rFonts w:ascii="Palatino Linotype" w:hAnsi="Palatino Linotype"/>
        </w:rPr>
      </w:pPr>
      <w:r w:rsidRPr="00D66245">
        <w:rPr>
          <w:rFonts w:ascii="Palatino Linotype" w:hAnsi="Palatino Linotype"/>
        </w:rPr>
        <w:t>¿Señor Pérez, como usted estaba en la sección de lácteos y de allí, a la sección de carnes hay más de 10 metros, es posible que usted viera al agresor?</w:t>
      </w:r>
    </w:p>
    <w:p w14:paraId="4E522B1A"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b/>
        </w:rPr>
        <w:t>Preguntas irrelevantes o impertinentes:</w:t>
      </w:r>
    </w:p>
    <w:p w14:paraId="414C6C85" w14:textId="77777777" w:rsidR="008057F8" w:rsidRPr="00D66245" w:rsidRDefault="008057F8" w:rsidP="008057F8">
      <w:pPr>
        <w:pStyle w:val="Prrafodelista"/>
        <w:numPr>
          <w:ilvl w:val="0"/>
          <w:numId w:val="72"/>
        </w:numPr>
        <w:spacing w:before="120" w:after="200" w:line="240" w:lineRule="auto"/>
        <w:ind w:left="1208" w:hanging="357"/>
        <w:contextualSpacing w:val="0"/>
        <w:jc w:val="both"/>
        <w:rPr>
          <w:rFonts w:ascii="Palatino Linotype" w:hAnsi="Palatino Linotype"/>
        </w:rPr>
      </w:pPr>
      <w:r w:rsidRPr="00D66245">
        <w:rPr>
          <w:rFonts w:ascii="Palatino Linotype" w:hAnsi="Palatino Linotype"/>
        </w:rPr>
        <w:t xml:space="preserve">El interrogatorio debe limitarse a los aspectos principales de la controversia o la credibilidad del declarante. </w:t>
      </w:r>
    </w:p>
    <w:p w14:paraId="2BEC0F9F" w14:textId="77777777" w:rsidR="008057F8" w:rsidRPr="00D66245" w:rsidRDefault="008057F8" w:rsidP="008057F8">
      <w:pPr>
        <w:pStyle w:val="Prrafodelista"/>
        <w:numPr>
          <w:ilvl w:val="0"/>
          <w:numId w:val="72"/>
        </w:numPr>
        <w:spacing w:before="120" w:after="200" w:line="240" w:lineRule="auto"/>
        <w:ind w:left="1208" w:hanging="357"/>
        <w:contextualSpacing w:val="0"/>
        <w:jc w:val="both"/>
        <w:rPr>
          <w:rFonts w:ascii="Palatino Linotype" w:hAnsi="Palatino Linotype"/>
        </w:rPr>
      </w:pPr>
      <w:r w:rsidRPr="00D66245">
        <w:rPr>
          <w:rFonts w:ascii="Palatino Linotype" w:hAnsi="Palatino Linotype"/>
        </w:rPr>
        <w:t>No es admisible preguntas sobre hechos que no tengan una relación sustancial con lo que se debate en el juicio</w:t>
      </w:r>
    </w:p>
    <w:p w14:paraId="1A20106B" w14:textId="77777777" w:rsidR="008057F8" w:rsidRPr="00D66245" w:rsidRDefault="008057F8" w:rsidP="008057F8">
      <w:pPr>
        <w:spacing w:before="120" w:after="200" w:line="240" w:lineRule="auto"/>
        <w:ind w:left="720"/>
        <w:jc w:val="both"/>
        <w:rPr>
          <w:rFonts w:ascii="Palatino Linotype" w:hAnsi="Palatino Linotype"/>
        </w:rPr>
      </w:pPr>
      <w:r w:rsidRPr="00D66245">
        <w:rPr>
          <w:rFonts w:ascii="Palatino Linotype" w:hAnsi="Palatino Linotype"/>
        </w:rPr>
        <w:t>Ejemplo:</w:t>
      </w:r>
    </w:p>
    <w:p w14:paraId="5B22A18D" w14:textId="77777777" w:rsidR="008057F8" w:rsidRPr="00D66245" w:rsidRDefault="008057F8" w:rsidP="008057F8">
      <w:pPr>
        <w:spacing w:before="120" w:after="200" w:line="240" w:lineRule="auto"/>
        <w:ind w:left="720"/>
        <w:jc w:val="both"/>
        <w:rPr>
          <w:rFonts w:ascii="Palatino Linotype" w:hAnsi="Palatino Linotype"/>
        </w:rPr>
      </w:pPr>
      <w:r w:rsidRPr="00D66245">
        <w:rPr>
          <w:rFonts w:ascii="Palatino Linotype" w:hAnsi="Palatino Linotype"/>
        </w:rPr>
        <w:t>¿Señor Pérez, el día de los hechos su esposa llevaba puesto el collar de esmeraldas?</w:t>
      </w:r>
    </w:p>
    <w:p w14:paraId="5A9C7F67"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
        </w:rPr>
        <w:lastRenderedPageBreak/>
        <w:t>Preguntas ilegales:</w:t>
      </w:r>
    </w:p>
    <w:p w14:paraId="40D082D0" w14:textId="77777777" w:rsidR="008057F8" w:rsidRPr="00D66245" w:rsidRDefault="008057F8" w:rsidP="008057F8">
      <w:pPr>
        <w:spacing w:before="120" w:after="200" w:line="240" w:lineRule="auto"/>
        <w:ind w:left="360" w:firstLine="207"/>
        <w:jc w:val="both"/>
        <w:rPr>
          <w:rFonts w:ascii="Palatino Linotype" w:hAnsi="Palatino Linotype"/>
        </w:rPr>
      </w:pPr>
      <w:r w:rsidRPr="00D66245">
        <w:rPr>
          <w:rFonts w:ascii="Palatino Linotype" w:hAnsi="Palatino Linotype"/>
        </w:rPr>
        <w:t>Entre otros, no está permitido formular los siguientes tipos de preguntas:</w:t>
      </w:r>
    </w:p>
    <w:p w14:paraId="1A372AB9" w14:textId="77777777" w:rsidR="008057F8" w:rsidRPr="00D66245" w:rsidRDefault="008057F8" w:rsidP="008057F8">
      <w:pPr>
        <w:pStyle w:val="Prrafodelista"/>
        <w:numPr>
          <w:ilvl w:val="0"/>
          <w:numId w:val="73"/>
        </w:numPr>
        <w:spacing w:before="120" w:after="200" w:line="240" w:lineRule="auto"/>
        <w:ind w:left="924" w:hanging="357"/>
        <w:contextualSpacing w:val="0"/>
        <w:jc w:val="both"/>
        <w:rPr>
          <w:rFonts w:ascii="Palatino Linotype" w:hAnsi="Palatino Linotype"/>
        </w:rPr>
      </w:pPr>
      <w:r w:rsidRPr="00D66245">
        <w:rPr>
          <w:rFonts w:ascii="Palatino Linotype" w:hAnsi="Palatino Linotype"/>
        </w:rPr>
        <w:t>Las relacionadas con las conversaciones del testigo con el abogado.</w:t>
      </w:r>
    </w:p>
    <w:p w14:paraId="516EC7C8" w14:textId="77777777" w:rsidR="008057F8" w:rsidRPr="00D66245" w:rsidRDefault="008057F8" w:rsidP="008057F8">
      <w:pPr>
        <w:pStyle w:val="Prrafodelista"/>
        <w:numPr>
          <w:ilvl w:val="0"/>
          <w:numId w:val="73"/>
        </w:numPr>
        <w:spacing w:before="120" w:after="200" w:line="240" w:lineRule="auto"/>
        <w:ind w:left="924" w:hanging="357"/>
        <w:contextualSpacing w:val="0"/>
        <w:jc w:val="both"/>
        <w:rPr>
          <w:rFonts w:ascii="Palatino Linotype" w:hAnsi="Palatino Linotype"/>
        </w:rPr>
      </w:pPr>
      <w:r w:rsidRPr="00D66245">
        <w:rPr>
          <w:rFonts w:ascii="Palatino Linotype" w:hAnsi="Palatino Linotype"/>
        </w:rPr>
        <w:t>Aquellas referidas a los antecedentes del testigo.</w:t>
      </w:r>
    </w:p>
    <w:p w14:paraId="21F335ED" w14:textId="77777777" w:rsidR="008057F8" w:rsidRPr="00D66245" w:rsidRDefault="008057F8" w:rsidP="008057F8">
      <w:pPr>
        <w:pStyle w:val="Prrafodelista"/>
        <w:numPr>
          <w:ilvl w:val="0"/>
          <w:numId w:val="73"/>
        </w:numPr>
        <w:spacing w:before="120" w:after="200" w:line="240" w:lineRule="auto"/>
        <w:ind w:left="924" w:hanging="357"/>
        <w:contextualSpacing w:val="0"/>
        <w:jc w:val="both"/>
        <w:rPr>
          <w:rFonts w:ascii="Palatino Linotype" w:hAnsi="Palatino Linotype"/>
        </w:rPr>
      </w:pPr>
      <w:r w:rsidRPr="00D66245">
        <w:rPr>
          <w:rFonts w:ascii="Palatino Linotype" w:hAnsi="Palatino Linotype"/>
        </w:rPr>
        <w:t>los que haga incurrir en delito al testigo</w:t>
      </w:r>
    </w:p>
    <w:p w14:paraId="0A6878A7"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 xml:space="preserve">Ejemplos: </w:t>
      </w:r>
    </w:p>
    <w:p w14:paraId="64E950F1" w14:textId="77777777" w:rsidR="008057F8" w:rsidRPr="00D66245" w:rsidRDefault="008057F8" w:rsidP="008057F8">
      <w:pPr>
        <w:spacing w:before="120" w:after="200" w:line="240" w:lineRule="auto"/>
        <w:ind w:left="720"/>
        <w:jc w:val="both"/>
        <w:rPr>
          <w:rFonts w:ascii="Palatino Linotype" w:hAnsi="Palatino Linotype"/>
        </w:rPr>
      </w:pPr>
      <w:r w:rsidRPr="00D66245">
        <w:rPr>
          <w:rFonts w:ascii="Palatino Linotype" w:hAnsi="Palatino Linotype"/>
        </w:rPr>
        <w:t>¿Señor Pérez, es cierto que usted tiene antecedentes penales mentir?</w:t>
      </w:r>
    </w:p>
    <w:p w14:paraId="65D3292E" w14:textId="77777777" w:rsidR="008057F8" w:rsidRPr="00D66245" w:rsidRDefault="008057F8" w:rsidP="008057F8">
      <w:pPr>
        <w:spacing w:before="120" w:after="200" w:line="240" w:lineRule="auto"/>
        <w:ind w:left="720"/>
        <w:jc w:val="both"/>
        <w:rPr>
          <w:rFonts w:ascii="Palatino Linotype" w:hAnsi="Palatino Linotype"/>
        </w:rPr>
      </w:pPr>
      <w:r w:rsidRPr="00D66245">
        <w:rPr>
          <w:rFonts w:ascii="Palatino Linotype" w:hAnsi="Palatino Linotype"/>
        </w:rPr>
        <w:t>¿Obtuvo ilícitamente usted esa prueba?</w:t>
      </w:r>
    </w:p>
    <w:p w14:paraId="70DFBEAC"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b/>
        </w:rPr>
        <w:t>Preguntas repetitivas</w:t>
      </w:r>
    </w:p>
    <w:p w14:paraId="52A2BB14" w14:textId="77777777" w:rsidR="008057F8" w:rsidRPr="00D66245" w:rsidRDefault="008057F8" w:rsidP="008057F8">
      <w:pPr>
        <w:pStyle w:val="Prrafodelista"/>
        <w:numPr>
          <w:ilvl w:val="0"/>
          <w:numId w:val="78"/>
        </w:numPr>
        <w:spacing w:before="120" w:after="200" w:line="240" w:lineRule="auto"/>
        <w:ind w:left="1077" w:hanging="357"/>
        <w:contextualSpacing w:val="0"/>
        <w:jc w:val="both"/>
        <w:rPr>
          <w:rFonts w:ascii="Palatino Linotype" w:hAnsi="Palatino Linotype"/>
        </w:rPr>
      </w:pPr>
      <w:r w:rsidRPr="00D66245">
        <w:rPr>
          <w:rFonts w:ascii="Palatino Linotype" w:hAnsi="Palatino Linotype"/>
        </w:rPr>
        <w:t>Aquella que insiste en una respuesta cuando el testigo ya la ha suministrado, buscando reafirmar ésta.</w:t>
      </w:r>
    </w:p>
    <w:p w14:paraId="47EFCC00" w14:textId="77777777" w:rsidR="008057F8" w:rsidRPr="00D66245" w:rsidRDefault="008057F8" w:rsidP="008057F8">
      <w:pPr>
        <w:spacing w:before="120" w:after="200" w:line="240" w:lineRule="auto"/>
        <w:ind w:left="720"/>
        <w:jc w:val="both"/>
        <w:rPr>
          <w:rFonts w:ascii="Palatino Linotype" w:hAnsi="Palatino Linotype"/>
        </w:rPr>
      </w:pPr>
      <w:r w:rsidRPr="00D66245">
        <w:rPr>
          <w:rFonts w:ascii="Palatino Linotype" w:hAnsi="Palatino Linotype"/>
        </w:rPr>
        <w:t xml:space="preserve">Ejemplo: </w:t>
      </w:r>
    </w:p>
    <w:p w14:paraId="5571FEC1" w14:textId="77777777" w:rsidR="008057F8" w:rsidRPr="00D66245" w:rsidRDefault="008057F8" w:rsidP="008057F8">
      <w:pPr>
        <w:spacing w:before="120" w:after="200" w:line="240" w:lineRule="auto"/>
        <w:ind w:left="720"/>
        <w:jc w:val="both"/>
        <w:rPr>
          <w:rFonts w:ascii="Palatino Linotype" w:hAnsi="Palatino Linotype"/>
        </w:rPr>
      </w:pPr>
      <w:r w:rsidRPr="00D66245">
        <w:rPr>
          <w:rFonts w:ascii="Palatino Linotype" w:hAnsi="Palatino Linotype"/>
        </w:rPr>
        <w:t>¿Díganos nuevamente señor Pérez, usted se encontraba en la sección de lácteos?</w:t>
      </w:r>
    </w:p>
    <w:p w14:paraId="11471B64" w14:textId="77777777" w:rsidR="008057F8" w:rsidRPr="00D66245" w:rsidRDefault="008057F8" w:rsidP="008057F8">
      <w:pPr>
        <w:spacing w:before="120" w:after="200" w:line="240" w:lineRule="auto"/>
        <w:ind w:left="720"/>
        <w:jc w:val="both"/>
        <w:rPr>
          <w:rFonts w:ascii="Palatino Linotype" w:hAnsi="Palatino Linotype"/>
        </w:rPr>
      </w:pPr>
      <w:r w:rsidRPr="00D66245">
        <w:rPr>
          <w:rFonts w:ascii="Palatino Linotype" w:hAnsi="Palatino Linotype"/>
        </w:rPr>
        <w:t>Usted dijo que a la demandante no se le causaron daños ¿Es eso cierto?</w:t>
      </w:r>
    </w:p>
    <w:p w14:paraId="6FF286AB"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b/>
        </w:rPr>
        <w:t>Preguntas tendenciosas</w:t>
      </w:r>
    </w:p>
    <w:p w14:paraId="462548EE" w14:textId="77777777" w:rsidR="008057F8" w:rsidRPr="00D66245" w:rsidRDefault="008057F8" w:rsidP="008057F8">
      <w:pPr>
        <w:pStyle w:val="Prrafodelista"/>
        <w:numPr>
          <w:ilvl w:val="0"/>
          <w:numId w:val="78"/>
        </w:numPr>
        <w:spacing w:before="120" w:after="200" w:line="240" w:lineRule="auto"/>
        <w:ind w:left="1077" w:hanging="357"/>
        <w:contextualSpacing w:val="0"/>
        <w:jc w:val="both"/>
        <w:rPr>
          <w:rFonts w:ascii="Palatino Linotype" w:hAnsi="Palatino Linotype"/>
        </w:rPr>
      </w:pPr>
      <w:r w:rsidRPr="00D66245">
        <w:rPr>
          <w:rFonts w:ascii="Palatino Linotype" w:hAnsi="Palatino Linotype"/>
        </w:rPr>
        <w:t>Es la clase de pregunta que conlleva afirmaciones que el testigo ha negado o negaciones que ha afirmado.</w:t>
      </w:r>
    </w:p>
    <w:p w14:paraId="1F6BA136" w14:textId="77777777" w:rsidR="008057F8" w:rsidRPr="00D66245" w:rsidRDefault="008057F8" w:rsidP="008057F8">
      <w:pPr>
        <w:spacing w:before="120" w:after="200" w:line="240" w:lineRule="auto"/>
        <w:ind w:left="720"/>
        <w:jc w:val="both"/>
        <w:rPr>
          <w:rFonts w:ascii="Palatino Linotype" w:hAnsi="Palatino Linotype"/>
        </w:rPr>
      </w:pPr>
      <w:r w:rsidRPr="00D66245">
        <w:rPr>
          <w:rFonts w:ascii="Palatino Linotype" w:hAnsi="Palatino Linotype"/>
        </w:rPr>
        <w:t xml:space="preserve">Ejemplo: </w:t>
      </w:r>
    </w:p>
    <w:p w14:paraId="7F146AC8" w14:textId="1203B77F" w:rsidR="008057F8" w:rsidRDefault="008057F8" w:rsidP="008057F8">
      <w:pPr>
        <w:spacing w:before="120" w:after="200" w:line="240" w:lineRule="auto"/>
        <w:ind w:left="720"/>
        <w:jc w:val="both"/>
        <w:rPr>
          <w:rFonts w:ascii="Palatino Linotype" w:hAnsi="Palatino Linotype"/>
        </w:rPr>
      </w:pPr>
      <w:r w:rsidRPr="00D66245">
        <w:rPr>
          <w:rFonts w:ascii="Palatino Linotype" w:hAnsi="Palatino Linotype"/>
        </w:rPr>
        <w:t xml:space="preserve">¿Señor Pérez, cierto que usted no vio entrar al </w:t>
      </w:r>
      <w:r w:rsidRPr="00D66245">
        <w:rPr>
          <w:rFonts w:ascii="Palatino Linotype" w:hAnsi="Palatino Linotype"/>
        </w:rPr>
        <w:tab/>
        <w:t>supermercado al actor?</w:t>
      </w:r>
    </w:p>
    <w:p w14:paraId="33A3308B" w14:textId="168A212F" w:rsidR="00BE4897" w:rsidRDefault="00BE4897" w:rsidP="008057F8">
      <w:pPr>
        <w:spacing w:before="120" w:after="200" w:line="240" w:lineRule="auto"/>
        <w:ind w:left="720"/>
        <w:jc w:val="both"/>
        <w:rPr>
          <w:rFonts w:ascii="Palatino Linotype" w:hAnsi="Palatino Linotype"/>
        </w:rPr>
      </w:pPr>
    </w:p>
    <w:p w14:paraId="4C27D600" w14:textId="77777777" w:rsidR="00BE4897" w:rsidRPr="00D66245" w:rsidRDefault="00BE4897" w:rsidP="008057F8">
      <w:pPr>
        <w:spacing w:before="120" w:after="200" w:line="240" w:lineRule="auto"/>
        <w:ind w:left="720"/>
        <w:jc w:val="both"/>
        <w:rPr>
          <w:rFonts w:ascii="Palatino Linotype" w:hAnsi="Palatino Linotype"/>
        </w:rPr>
      </w:pPr>
    </w:p>
    <w:p w14:paraId="4D517683"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
        </w:rPr>
        <w:lastRenderedPageBreak/>
        <w:t>Preguntas que vulneran la excepción de declarar</w:t>
      </w:r>
    </w:p>
    <w:p w14:paraId="493C632B" w14:textId="77777777" w:rsidR="008057F8" w:rsidRPr="00D66245" w:rsidRDefault="008057F8" w:rsidP="008057F8">
      <w:pPr>
        <w:spacing w:before="120" w:after="200" w:line="240" w:lineRule="auto"/>
        <w:ind w:left="720"/>
        <w:jc w:val="both"/>
        <w:rPr>
          <w:rFonts w:ascii="Palatino Linotype" w:hAnsi="Palatino Linotype"/>
        </w:rPr>
      </w:pPr>
      <w:r w:rsidRPr="00D66245">
        <w:rPr>
          <w:rFonts w:ascii="Palatino Linotype" w:hAnsi="Palatino Linotype"/>
        </w:rPr>
        <w:t>Se trata de preguntas que son formuladas sin advertir el derecho que tiene la persona de no auto incriminarse o la información protegida con el secreto profesional.</w:t>
      </w:r>
    </w:p>
    <w:p w14:paraId="2CB551D2"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rPr>
        <w:t xml:space="preserve">Ejemplo: </w:t>
      </w:r>
    </w:p>
    <w:p w14:paraId="4310C007" w14:textId="77777777" w:rsidR="008057F8" w:rsidRPr="00D66245" w:rsidRDefault="008057F8" w:rsidP="008057F8">
      <w:pPr>
        <w:spacing w:before="120" w:after="200" w:line="240" w:lineRule="auto"/>
        <w:ind w:left="720"/>
        <w:jc w:val="both"/>
        <w:rPr>
          <w:rFonts w:ascii="Palatino Linotype" w:hAnsi="Palatino Linotype"/>
        </w:rPr>
      </w:pPr>
      <w:r w:rsidRPr="00D66245">
        <w:rPr>
          <w:rFonts w:ascii="Palatino Linotype" w:hAnsi="Palatino Linotype"/>
        </w:rPr>
        <w:t>¿Señor Pérez, es cierto que su hijo participó en los hechos que ocasionaron la muerte de la víctima?”</w:t>
      </w:r>
    </w:p>
    <w:p w14:paraId="74A3A51B" w14:textId="77777777" w:rsidR="008057F8" w:rsidRPr="00D66245" w:rsidRDefault="008057F8" w:rsidP="008057F8">
      <w:pPr>
        <w:spacing w:before="120" w:after="200" w:line="240" w:lineRule="auto"/>
        <w:ind w:left="720"/>
        <w:jc w:val="both"/>
        <w:rPr>
          <w:rFonts w:ascii="Palatino Linotype" w:hAnsi="Palatino Linotype"/>
        </w:rPr>
      </w:pPr>
      <w:r w:rsidRPr="00D66245">
        <w:rPr>
          <w:rFonts w:ascii="Palatino Linotype" w:hAnsi="Palatino Linotype"/>
        </w:rPr>
        <w:t>¿Le consta usted que fue su cónyuge la que inventó el hecho demandado?</w:t>
      </w:r>
    </w:p>
    <w:p w14:paraId="4501F179" w14:textId="77777777" w:rsidR="008057F8" w:rsidRPr="00D66245" w:rsidRDefault="008057F8" w:rsidP="008057F8">
      <w:pPr>
        <w:spacing w:before="120" w:after="200" w:line="240" w:lineRule="auto"/>
        <w:jc w:val="both"/>
        <w:rPr>
          <w:rFonts w:ascii="Palatino Linotype" w:hAnsi="Palatino Linotype"/>
        </w:rPr>
      </w:pPr>
      <w:bookmarkStart w:id="22" w:name="_Hlk3928636"/>
      <w:r w:rsidRPr="00D66245">
        <w:rPr>
          <w:rFonts w:ascii="Palatino Linotype" w:hAnsi="Palatino Linotype"/>
          <w:b/>
          <w:bCs/>
          <w:lang w:val="es-ES_tradnl"/>
        </w:rPr>
        <w:t>13.- APLICACIÓN DE LAS TÉCNICAS INTERROGATIVAS</w:t>
      </w:r>
      <w:bookmarkEnd w:id="22"/>
    </w:p>
    <w:p w14:paraId="769981C0"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Haga preguntas en el orden en que sucedieron los hechos o en algún otro orden sistemático.</w:t>
      </w:r>
    </w:p>
    <w:p w14:paraId="7A1397EF"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 xml:space="preserve"> Separé los hechos de las inferencias</w:t>
      </w:r>
    </w:p>
    <w:p w14:paraId="5CB8AF52"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 xml:space="preserve"> Separe los hechos de las especulaciones</w:t>
      </w:r>
    </w:p>
    <w:p w14:paraId="342AD49A"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 xml:space="preserve"> Separe los hechos de las opiniones.</w:t>
      </w:r>
    </w:p>
    <w:p w14:paraId="6A2ADC6D"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 xml:space="preserve"> Haga sólo una pregunta a la vez. </w:t>
      </w:r>
    </w:p>
    <w:p w14:paraId="0957428E"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 xml:space="preserve"> Estructure las preguntas de modo que solo requiera una respuesta para cada pregunta.</w:t>
      </w:r>
    </w:p>
    <w:p w14:paraId="73A0E5D9"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 xml:space="preserve"> Plantee preguntas correctas, francas y claras. </w:t>
      </w:r>
    </w:p>
    <w:p w14:paraId="7E9EB2BC"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 xml:space="preserve"> Ayúdele a recordar, pero no le sugiera la respuesta.</w:t>
      </w:r>
    </w:p>
    <w:p w14:paraId="293BCEB5"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 xml:space="preserve"> Ni verbalmente ni con expresiones faciales gestos, por la metodología de preguntar sugiera la respuesta al declarante. </w:t>
      </w:r>
    </w:p>
    <w:p w14:paraId="7675CBB2"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Repita o replantee las preguntas una y otra vez si es necesario para obtener la información deseada.</w:t>
      </w:r>
    </w:p>
    <w:p w14:paraId="2014529E"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 xml:space="preserve">Esté seguro de comprender las respuestas. </w:t>
      </w:r>
    </w:p>
    <w:p w14:paraId="46B2410E"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lastRenderedPageBreak/>
        <w:t>En caso de que las respuestas no estén claras, ponga al sujeto a que se las explique nuevamente</w:t>
      </w:r>
    </w:p>
    <w:p w14:paraId="3F767EC4"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 xml:space="preserve"> Dele al declarante  la oportunidad de clarificar sus respuestas</w:t>
      </w:r>
    </w:p>
    <w:p w14:paraId="3FEA0663"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 xml:space="preserve"> Se le puede brindar al interrogado comparaciones de porcentajes, fracciones, cálculos de tiempo, distancia, tipos de automóviles, reconocimiento de personas. </w:t>
      </w:r>
    </w:p>
    <w:p w14:paraId="1003CDFF"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 xml:space="preserve"> Después que el sujeto  haya dado su declaración hágale preguntas de todos los puntos discutidos, cuando sea necesario.</w:t>
      </w:r>
    </w:p>
    <w:p w14:paraId="7D0274CB"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Las respuestas frecuentemente contienen pistas que no se habían dado previamente en la información de interés.</w:t>
      </w:r>
    </w:p>
    <w:p w14:paraId="624782AF"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 xml:space="preserve">Ante los testigos que dan informaciones a medias, se debe reestructurar el cuestionario y hay que hacer las preguntas más precisas hacia los puntos oscuros   </w:t>
      </w:r>
    </w:p>
    <w:p w14:paraId="6C6D65FD"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 xml:space="preserve">Debe intentar obtener un dicho preciso del deponente, para que narre hasta los detalles mínimos, en los puntos de interés. </w:t>
      </w:r>
    </w:p>
    <w:p w14:paraId="3BEE82C3"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 xml:space="preserve">Siempre hay que cuestionarse, acerca de las circunstancias en las que el testigo obtuvo su información. </w:t>
      </w:r>
    </w:p>
    <w:p w14:paraId="481B4363"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Cuando el testigo empleó los sentidos de la vista o el oído para darse cuenta de algo, preguntarle por el ambiente. Las condiciones de luminosidad, los ruidos del momento, todo cuenta, para efectos de darle o no credibilidad</w:t>
      </w:r>
    </w:p>
    <w:p w14:paraId="58F510EB" w14:textId="77777777" w:rsidR="008057F8" w:rsidRPr="00D66245" w:rsidRDefault="008057F8" w:rsidP="008057F8">
      <w:pPr>
        <w:spacing w:before="120" w:after="200" w:line="240" w:lineRule="auto"/>
        <w:jc w:val="both"/>
        <w:rPr>
          <w:rFonts w:ascii="Palatino Linotype" w:hAnsi="Palatino Linotype"/>
          <w:b/>
        </w:rPr>
      </w:pPr>
      <w:bookmarkStart w:id="23" w:name="_Hlk3928657"/>
      <w:r w:rsidRPr="00D66245">
        <w:rPr>
          <w:rFonts w:ascii="Palatino Linotype" w:hAnsi="Palatino Linotype"/>
          <w:b/>
        </w:rPr>
        <w:t>14.- TIPOS DE PREGUNTAS EN EL INTERROGATORIO</w:t>
      </w:r>
      <w:bookmarkEnd w:id="23"/>
      <w:r w:rsidRPr="00D66245">
        <w:rPr>
          <w:rFonts w:ascii="Palatino Linotype" w:hAnsi="Palatino Linotype"/>
          <w:b/>
        </w:rPr>
        <w:t xml:space="preserve"> </w:t>
      </w:r>
    </w:p>
    <w:p w14:paraId="4C96ED0C"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Preguntas abiertas</w:t>
      </w:r>
    </w:p>
    <w:p w14:paraId="5510D1DB"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Preguntas cerradas</w:t>
      </w:r>
    </w:p>
    <w:p w14:paraId="014F9900"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Preguntas de introducción</w:t>
      </w:r>
    </w:p>
    <w:p w14:paraId="65AD51B1"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b/>
        </w:rPr>
        <w:t>Preguntas abiertas:</w:t>
      </w:r>
    </w:p>
    <w:p w14:paraId="4523D216" w14:textId="77777777" w:rsidR="008057F8" w:rsidRPr="00D66245" w:rsidRDefault="008057F8" w:rsidP="008057F8">
      <w:pPr>
        <w:spacing w:before="120" w:after="200" w:line="240" w:lineRule="auto"/>
        <w:ind w:left="1416"/>
        <w:jc w:val="both"/>
        <w:rPr>
          <w:rFonts w:ascii="Palatino Linotype" w:hAnsi="Palatino Linotype"/>
        </w:rPr>
      </w:pPr>
      <w:r w:rsidRPr="00D66245">
        <w:rPr>
          <w:rFonts w:ascii="Palatino Linotype" w:hAnsi="Palatino Linotype"/>
        </w:rPr>
        <w:t>Usualmente utilizan: qué, cómo, cuándo, dónde, quién.</w:t>
      </w:r>
    </w:p>
    <w:p w14:paraId="0A3F72AF" w14:textId="77777777" w:rsidR="008057F8" w:rsidRPr="00D66245" w:rsidRDefault="008057F8" w:rsidP="008057F8">
      <w:pPr>
        <w:spacing w:before="120" w:after="200" w:line="240" w:lineRule="auto"/>
        <w:ind w:firstLine="708"/>
        <w:jc w:val="both"/>
        <w:rPr>
          <w:rFonts w:ascii="Palatino Linotype" w:hAnsi="Palatino Linotype"/>
        </w:rPr>
      </w:pPr>
      <w:r w:rsidRPr="00D66245">
        <w:rPr>
          <w:rFonts w:ascii="Palatino Linotype" w:hAnsi="Palatino Linotype"/>
        </w:rPr>
        <w:lastRenderedPageBreak/>
        <w:t>Ejemplos:</w:t>
      </w:r>
    </w:p>
    <w:p w14:paraId="3F1F4B23" w14:textId="77777777" w:rsidR="008057F8" w:rsidRPr="00D66245" w:rsidRDefault="008057F8" w:rsidP="008057F8">
      <w:pPr>
        <w:pStyle w:val="Prrafodelista"/>
        <w:numPr>
          <w:ilvl w:val="0"/>
          <w:numId w:val="62"/>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¿Díganos cómo llegó a su casa el 23 de marzo de 1995?</w:t>
      </w:r>
    </w:p>
    <w:p w14:paraId="2E9253F5" w14:textId="77777777" w:rsidR="008057F8" w:rsidRPr="00D66245" w:rsidRDefault="008057F8" w:rsidP="008057F8">
      <w:pPr>
        <w:pStyle w:val="Prrafodelista"/>
        <w:numPr>
          <w:ilvl w:val="0"/>
          <w:numId w:val="62"/>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¿Explíquenos a dónde se dirigía con su esposa el día de los hechos?</w:t>
      </w:r>
    </w:p>
    <w:p w14:paraId="3EABBA77" w14:textId="77777777" w:rsidR="008057F8" w:rsidRPr="00D66245" w:rsidRDefault="008057F8" w:rsidP="008057F8">
      <w:pPr>
        <w:pStyle w:val="Prrafodelista"/>
        <w:numPr>
          <w:ilvl w:val="0"/>
          <w:numId w:val="62"/>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¿Podría contarnos qué fue lo que usted vio al entrar a la Agencia?</w:t>
      </w:r>
    </w:p>
    <w:p w14:paraId="5D1D469D" w14:textId="77777777" w:rsidR="008057F8" w:rsidRPr="00D66245" w:rsidRDefault="008057F8" w:rsidP="008057F8">
      <w:pPr>
        <w:pStyle w:val="Prrafodelista"/>
        <w:numPr>
          <w:ilvl w:val="0"/>
          <w:numId w:val="62"/>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Explíquenos qué pasó cuando usted estaba en el restaurante “Aromas de mi tierra”</w:t>
      </w:r>
    </w:p>
    <w:p w14:paraId="472AD7A4" w14:textId="77777777" w:rsidR="008057F8" w:rsidRPr="00D66245" w:rsidRDefault="008057F8" w:rsidP="008057F8">
      <w:pPr>
        <w:pStyle w:val="Prrafodelista"/>
        <w:numPr>
          <w:ilvl w:val="0"/>
          <w:numId w:val="62"/>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Cuéntenos sobre su relación con el demandado</w:t>
      </w:r>
    </w:p>
    <w:p w14:paraId="519F89EA" w14:textId="77777777" w:rsidR="008057F8" w:rsidRPr="00D66245" w:rsidRDefault="008057F8" w:rsidP="008057F8">
      <w:pPr>
        <w:pStyle w:val="Prrafodelista"/>
        <w:numPr>
          <w:ilvl w:val="0"/>
          <w:numId w:val="62"/>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¿Explíquenos cómo se produjo el accidente?</w:t>
      </w:r>
    </w:p>
    <w:p w14:paraId="707ABFF4" w14:textId="77777777" w:rsidR="008057F8" w:rsidRPr="00D66245" w:rsidRDefault="008057F8" w:rsidP="008057F8">
      <w:pPr>
        <w:pStyle w:val="Prrafodelista"/>
        <w:numPr>
          <w:ilvl w:val="0"/>
          <w:numId w:val="62"/>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¿Nos puede detallar que hizo el señor Valdez el día 15 de marzo 2018, día que se produjeron los hechos aquí demandados?</w:t>
      </w:r>
    </w:p>
    <w:p w14:paraId="3022EDB3" w14:textId="77777777" w:rsidR="008057F8" w:rsidRPr="00D66245" w:rsidRDefault="008057F8" w:rsidP="008057F8">
      <w:pPr>
        <w:pStyle w:val="Prrafodelista"/>
        <w:numPr>
          <w:ilvl w:val="0"/>
          <w:numId w:val="62"/>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¿Podría contarnos qué fue lo que usted vio al entrar a la Agencia?</w:t>
      </w:r>
    </w:p>
    <w:p w14:paraId="4705C1D2" w14:textId="77777777" w:rsidR="008057F8" w:rsidRPr="00D66245" w:rsidRDefault="008057F8" w:rsidP="008057F8">
      <w:pPr>
        <w:pStyle w:val="Prrafodelista"/>
        <w:numPr>
          <w:ilvl w:val="0"/>
          <w:numId w:val="62"/>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¿Cuéntenos sobre su relación con el proceso que se siguió para firmar el contrato?</w:t>
      </w:r>
    </w:p>
    <w:p w14:paraId="42E96E4E"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b/>
        </w:rPr>
        <w:t>Preguntas cerradas:</w:t>
      </w:r>
    </w:p>
    <w:p w14:paraId="10397816" w14:textId="77777777" w:rsidR="008057F8" w:rsidRPr="00D66245" w:rsidRDefault="008057F8" w:rsidP="008057F8">
      <w:pPr>
        <w:pStyle w:val="Prrafodelista"/>
        <w:numPr>
          <w:ilvl w:val="0"/>
          <w:numId w:val="74"/>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El testigo declara sobre aspectos específicos</w:t>
      </w:r>
    </w:p>
    <w:p w14:paraId="07C09DFE" w14:textId="77777777" w:rsidR="008057F8" w:rsidRPr="00D66245" w:rsidRDefault="008057F8" w:rsidP="008057F8">
      <w:pPr>
        <w:pStyle w:val="Prrafodelista"/>
        <w:numPr>
          <w:ilvl w:val="0"/>
          <w:numId w:val="74"/>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No permite que el testigo divague en su respuesta</w:t>
      </w:r>
    </w:p>
    <w:p w14:paraId="0379BD05" w14:textId="77777777" w:rsidR="008057F8" w:rsidRPr="00D66245" w:rsidRDefault="008057F8" w:rsidP="008057F8">
      <w:pPr>
        <w:pStyle w:val="Prrafodelista"/>
        <w:numPr>
          <w:ilvl w:val="0"/>
          <w:numId w:val="74"/>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Permite la dirección de su testimonio</w:t>
      </w:r>
    </w:p>
    <w:p w14:paraId="70550E94" w14:textId="77777777" w:rsidR="008057F8" w:rsidRPr="00D66245" w:rsidRDefault="008057F8" w:rsidP="008057F8">
      <w:pPr>
        <w:spacing w:before="120" w:after="200" w:line="240" w:lineRule="auto"/>
        <w:ind w:left="860" w:firstLine="348"/>
        <w:jc w:val="both"/>
        <w:rPr>
          <w:rFonts w:ascii="Palatino Linotype" w:hAnsi="Palatino Linotype"/>
        </w:rPr>
      </w:pPr>
      <w:r w:rsidRPr="00D66245">
        <w:rPr>
          <w:rFonts w:ascii="Palatino Linotype" w:hAnsi="Palatino Linotype"/>
          <w:bCs/>
        </w:rPr>
        <w:t>Ejemplos:</w:t>
      </w:r>
    </w:p>
    <w:p w14:paraId="0A1D3297" w14:textId="77777777" w:rsidR="008057F8" w:rsidRPr="00D66245" w:rsidRDefault="008057F8" w:rsidP="008057F8">
      <w:pPr>
        <w:pStyle w:val="Prrafodelista"/>
        <w:numPr>
          <w:ilvl w:val="0"/>
          <w:numId w:val="75"/>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¿De qué color era la persona que la lesionó?</w:t>
      </w:r>
    </w:p>
    <w:p w14:paraId="1D2A70D9" w14:textId="77777777" w:rsidR="008057F8" w:rsidRPr="00D66245" w:rsidRDefault="008057F8" w:rsidP="008057F8">
      <w:pPr>
        <w:pStyle w:val="Prrafodelista"/>
        <w:numPr>
          <w:ilvl w:val="0"/>
          <w:numId w:val="75"/>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¿A qué se dedica Comercializadora Victoria?</w:t>
      </w:r>
    </w:p>
    <w:p w14:paraId="0037EBD5" w14:textId="77777777" w:rsidR="008057F8" w:rsidRPr="00D66245" w:rsidRDefault="008057F8" w:rsidP="008057F8">
      <w:pPr>
        <w:pStyle w:val="Prrafodelista"/>
        <w:numPr>
          <w:ilvl w:val="0"/>
          <w:numId w:val="75"/>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¿Escuchó algún ruido diferente en la caldera el día de los hechos?</w:t>
      </w:r>
    </w:p>
    <w:p w14:paraId="7C5F0A4A" w14:textId="77777777" w:rsidR="008057F8" w:rsidRPr="00D66245" w:rsidRDefault="008057F8" w:rsidP="008057F8">
      <w:pPr>
        <w:pStyle w:val="Prrafodelista"/>
        <w:numPr>
          <w:ilvl w:val="0"/>
          <w:numId w:val="75"/>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lastRenderedPageBreak/>
        <w:t>¿Escuchó discutir a Mario y a Evelyn en alguna oportunidad?</w:t>
      </w:r>
    </w:p>
    <w:p w14:paraId="651AB6C3" w14:textId="77777777" w:rsidR="008057F8" w:rsidRPr="00D66245" w:rsidRDefault="008057F8" w:rsidP="008057F8">
      <w:pPr>
        <w:pStyle w:val="Prrafodelista"/>
        <w:numPr>
          <w:ilvl w:val="0"/>
          <w:numId w:val="75"/>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¿Había otras personas presentes cuando sucedió el accidente?</w:t>
      </w:r>
    </w:p>
    <w:p w14:paraId="4CE2450F" w14:textId="77777777" w:rsidR="008057F8" w:rsidRPr="00D66245" w:rsidRDefault="008057F8" w:rsidP="008057F8">
      <w:pPr>
        <w:pStyle w:val="Prrafodelista"/>
        <w:numPr>
          <w:ilvl w:val="0"/>
          <w:numId w:val="75"/>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¿De qué color era el automóvil que chocó?</w:t>
      </w:r>
    </w:p>
    <w:p w14:paraId="1F8031B5"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b/>
        </w:rPr>
        <w:t>Preguntas de introducción al tema:</w:t>
      </w:r>
    </w:p>
    <w:p w14:paraId="13FFBDC1"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Permiten que el testigo se sitúe en los hechos</w:t>
      </w:r>
    </w:p>
    <w:p w14:paraId="551F5626"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Permiten incorporar información</w:t>
      </w:r>
    </w:p>
    <w:p w14:paraId="2E38E31F"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Permiten guiar el interrogatorio</w:t>
      </w:r>
    </w:p>
    <w:p w14:paraId="576DE4A4" w14:textId="77777777" w:rsidR="008057F8" w:rsidRPr="00D66245" w:rsidRDefault="008057F8" w:rsidP="008057F8">
      <w:pPr>
        <w:spacing w:before="120" w:after="200" w:line="240" w:lineRule="auto"/>
        <w:ind w:left="360"/>
        <w:jc w:val="both"/>
        <w:rPr>
          <w:rFonts w:ascii="Palatino Linotype" w:hAnsi="Palatino Linotype"/>
        </w:rPr>
      </w:pPr>
      <w:r w:rsidRPr="00D66245">
        <w:rPr>
          <w:rFonts w:ascii="Palatino Linotype" w:hAnsi="Palatino Linotype"/>
        </w:rPr>
        <w:t>Ejemplos:</w:t>
      </w:r>
    </w:p>
    <w:p w14:paraId="2DE95340" w14:textId="77777777" w:rsidR="008057F8" w:rsidRPr="00D66245" w:rsidRDefault="008057F8" w:rsidP="008057F8">
      <w:pPr>
        <w:spacing w:before="120" w:after="200" w:line="240" w:lineRule="auto"/>
        <w:ind w:left="708"/>
        <w:jc w:val="both"/>
        <w:rPr>
          <w:rFonts w:ascii="Palatino Linotype" w:hAnsi="Palatino Linotype"/>
        </w:rPr>
      </w:pPr>
      <w:r w:rsidRPr="00D66245">
        <w:rPr>
          <w:rFonts w:ascii="Palatino Linotype" w:hAnsi="Palatino Linotype"/>
        </w:rPr>
        <w:t>-Señora Paula ahora quisiera que nos ubiquemos en el lugar de los hechos y nos indique ¿A que distancia se encontraba usted del imputado?</w:t>
      </w:r>
    </w:p>
    <w:p w14:paraId="6B2B98C3" w14:textId="77777777" w:rsidR="008057F8" w:rsidRPr="00D66245" w:rsidRDefault="008057F8" w:rsidP="008057F8">
      <w:pPr>
        <w:spacing w:before="120" w:after="200" w:line="240" w:lineRule="auto"/>
        <w:ind w:left="708"/>
        <w:jc w:val="both"/>
        <w:rPr>
          <w:rFonts w:ascii="Palatino Linotype" w:hAnsi="Palatino Linotype"/>
        </w:rPr>
      </w:pPr>
      <w:r w:rsidRPr="00D66245">
        <w:rPr>
          <w:rFonts w:ascii="Palatino Linotype" w:hAnsi="Palatino Linotype"/>
        </w:rPr>
        <w:t>-Don Juan procederé a preguntarle sobre las relaciones que mantenía con la demandada, específicamente indíquenos ¿Cómo era la relación comercial?</w:t>
      </w:r>
    </w:p>
    <w:p w14:paraId="02905ADE"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
          <w:bCs/>
        </w:rPr>
        <w:t>Preguntas de introducción al tema:</w:t>
      </w:r>
    </w:p>
    <w:p w14:paraId="76FAAB05" w14:textId="77777777" w:rsidR="008057F8" w:rsidRPr="00D66245" w:rsidRDefault="008057F8" w:rsidP="008057F8">
      <w:pPr>
        <w:pStyle w:val="Prrafodelista"/>
        <w:numPr>
          <w:ilvl w:val="1"/>
          <w:numId w:val="63"/>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Moisés usted nos explicó que vive a la orilla del Río Tárcoles, ¿Podría indicarnos cómo se encontraba el camino de acceso al río, el día de los hechos?</w:t>
      </w:r>
    </w:p>
    <w:p w14:paraId="097FDDC0" w14:textId="77777777" w:rsidR="008057F8" w:rsidRPr="00D66245" w:rsidRDefault="008057F8" w:rsidP="008057F8">
      <w:pPr>
        <w:pStyle w:val="Prrafodelista"/>
        <w:numPr>
          <w:ilvl w:val="1"/>
          <w:numId w:val="63"/>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Doña Luz usted narró que su tienda está ubicada en San José, calle 15, ahora quisiera que nos dijera ¿Qué pasó en esa calle el día de los hechos que se investigan?</w:t>
      </w:r>
    </w:p>
    <w:p w14:paraId="096ACDC5" w14:textId="77777777" w:rsidR="008057F8" w:rsidRPr="00D66245" w:rsidRDefault="008057F8" w:rsidP="008057F8">
      <w:pPr>
        <w:spacing w:before="120" w:after="200" w:line="240" w:lineRule="auto"/>
        <w:jc w:val="both"/>
        <w:rPr>
          <w:rFonts w:ascii="Palatino Linotype" w:hAnsi="Palatino Linotype"/>
          <w:b/>
        </w:rPr>
      </w:pPr>
      <w:bookmarkStart w:id="24" w:name="_Hlk3928670"/>
      <w:r w:rsidRPr="00D66245">
        <w:rPr>
          <w:rFonts w:ascii="Palatino Linotype" w:hAnsi="Palatino Linotype"/>
          <w:b/>
        </w:rPr>
        <w:t>15.- CARACTERÍSTICAS DEL INTERROGATORIO DIRECTO</w:t>
      </w:r>
      <w:bookmarkEnd w:id="24"/>
    </w:p>
    <w:p w14:paraId="6164A8D3" w14:textId="77777777" w:rsidR="008057F8" w:rsidRPr="00D66245" w:rsidRDefault="008057F8" w:rsidP="008057F8">
      <w:pPr>
        <w:pStyle w:val="Prrafodelista"/>
        <w:numPr>
          <w:ilvl w:val="3"/>
          <w:numId w:val="61"/>
        </w:numPr>
        <w:spacing w:before="120" w:after="200" w:line="240" w:lineRule="auto"/>
        <w:ind w:left="924" w:hanging="357"/>
        <w:contextualSpacing w:val="0"/>
        <w:jc w:val="both"/>
        <w:rPr>
          <w:rFonts w:ascii="Palatino Linotype" w:hAnsi="Palatino Linotype"/>
        </w:rPr>
      </w:pPr>
      <w:r w:rsidRPr="00D66245">
        <w:rPr>
          <w:rFonts w:ascii="Palatino Linotype" w:hAnsi="Palatino Linotype"/>
          <w:lang w:val="es-ES"/>
        </w:rPr>
        <w:t>Todas las preguntas van dirigidas a demostrar la veracidad del argumento.</w:t>
      </w:r>
    </w:p>
    <w:p w14:paraId="6DAD9193" w14:textId="77777777" w:rsidR="008057F8" w:rsidRPr="00D66245" w:rsidRDefault="008057F8" w:rsidP="008057F8">
      <w:pPr>
        <w:pStyle w:val="Prrafodelista"/>
        <w:numPr>
          <w:ilvl w:val="3"/>
          <w:numId w:val="61"/>
        </w:numPr>
        <w:spacing w:before="120" w:after="200" w:line="240" w:lineRule="auto"/>
        <w:ind w:left="924" w:hanging="357"/>
        <w:contextualSpacing w:val="0"/>
        <w:jc w:val="both"/>
        <w:rPr>
          <w:rFonts w:ascii="Palatino Linotype" w:hAnsi="Palatino Linotype"/>
        </w:rPr>
      </w:pPr>
      <w:r w:rsidRPr="00D66245">
        <w:rPr>
          <w:rFonts w:ascii="Palatino Linotype" w:hAnsi="Palatino Linotype"/>
          <w:lang w:val="es-ES"/>
        </w:rPr>
        <w:t>Cada pregunta contiene una idea.</w:t>
      </w:r>
    </w:p>
    <w:p w14:paraId="36B695F6" w14:textId="77777777" w:rsidR="008057F8" w:rsidRPr="00D66245" w:rsidRDefault="008057F8" w:rsidP="008057F8">
      <w:pPr>
        <w:pStyle w:val="Prrafodelista"/>
        <w:numPr>
          <w:ilvl w:val="3"/>
          <w:numId w:val="61"/>
        </w:numPr>
        <w:spacing w:before="120" w:after="200" w:line="240" w:lineRule="auto"/>
        <w:ind w:left="924" w:hanging="357"/>
        <w:contextualSpacing w:val="0"/>
        <w:jc w:val="both"/>
        <w:rPr>
          <w:rFonts w:ascii="Palatino Linotype" w:hAnsi="Palatino Linotype"/>
        </w:rPr>
      </w:pPr>
      <w:r w:rsidRPr="00D66245">
        <w:rPr>
          <w:rFonts w:ascii="Palatino Linotype" w:hAnsi="Palatino Linotype"/>
          <w:lang w:val="es-ES"/>
        </w:rPr>
        <w:t>Las preguntas deben estar bien elaboradas</w:t>
      </w:r>
    </w:p>
    <w:p w14:paraId="15A3C507" w14:textId="77777777" w:rsidR="008057F8" w:rsidRPr="00D66245" w:rsidRDefault="008057F8" w:rsidP="008057F8">
      <w:pPr>
        <w:pStyle w:val="Prrafodelista"/>
        <w:numPr>
          <w:ilvl w:val="3"/>
          <w:numId w:val="61"/>
        </w:numPr>
        <w:spacing w:before="120" w:after="200" w:line="240" w:lineRule="auto"/>
        <w:ind w:left="924" w:hanging="357"/>
        <w:contextualSpacing w:val="0"/>
        <w:jc w:val="both"/>
        <w:rPr>
          <w:rFonts w:ascii="Palatino Linotype" w:hAnsi="Palatino Linotype"/>
        </w:rPr>
      </w:pPr>
      <w:r w:rsidRPr="00D66245">
        <w:rPr>
          <w:rFonts w:ascii="Palatino Linotype" w:hAnsi="Palatino Linotype"/>
          <w:lang w:val="es-ES"/>
        </w:rPr>
        <w:lastRenderedPageBreak/>
        <w:t>Se debe llevar el interrogatorio en forma cronológica</w:t>
      </w:r>
    </w:p>
    <w:p w14:paraId="46CA5C08" w14:textId="77777777" w:rsidR="008057F8" w:rsidRPr="00D66245" w:rsidRDefault="008057F8" w:rsidP="008057F8">
      <w:pPr>
        <w:pStyle w:val="Prrafodelista"/>
        <w:numPr>
          <w:ilvl w:val="3"/>
          <w:numId w:val="61"/>
        </w:numPr>
        <w:spacing w:before="120" w:after="200" w:line="240" w:lineRule="auto"/>
        <w:ind w:left="924" w:hanging="357"/>
        <w:contextualSpacing w:val="0"/>
        <w:jc w:val="both"/>
        <w:rPr>
          <w:rFonts w:ascii="Palatino Linotype" w:hAnsi="Palatino Linotype"/>
        </w:rPr>
      </w:pPr>
      <w:r w:rsidRPr="00D66245">
        <w:rPr>
          <w:rFonts w:ascii="Palatino Linotype" w:hAnsi="Palatino Linotype"/>
          <w:lang w:val="es-ES"/>
        </w:rPr>
        <w:t>Se debe ir ajustando de acuerdo con el comportamiento del testigo</w:t>
      </w:r>
    </w:p>
    <w:p w14:paraId="5C398B7A" w14:textId="77777777" w:rsidR="008057F8" w:rsidRPr="00D66245" w:rsidRDefault="008057F8" w:rsidP="008057F8">
      <w:pPr>
        <w:pStyle w:val="Prrafodelista"/>
        <w:numPr>
          <w:ilvl w:val="3"/>
          <w:numId w:val="61"/>
        </w:numPr>
        <w:spacing w:before="120" w:after="200" w:line="240" w:lineRule="auto"/>
        <w:ind w:left="924" w:hanging="357"/>
        <w:contextualSpacing w:val="0"/>
        <w:jc w:val="both"/>
        <w:rPr>
          <w:rFonts w:ascii="Palatino Linotype" w:hAnsi="Palatino Linotype"/>
        </w:rPr>
      </w:pPr>
      <w:r w:rsidRPr="00D66245">
        <w:rPr>
          <w:rFonts w:ascii="Palatino Linotype" w:hAnsi="Palatino Linotype"/>
          <w:lang w:val="es-ES"/>
        </w:rPr>
        <w:t xml:space="preserve">Se utilizan preguntas abiertas y cerradas </w:t>
      </w:r>
    </w:p>
    <w:p w14:paraId="26A8A8BB" w14:textId="77777777" w:rsidR="008057F8" w:rsidRPr="00D66245" w:rsidRDefault="008057F8" w:rsidP="008057F8">
      <w:pPr>
        <w:pStyle w:val="Prrafodelista"/>
        <w:numPr>
          <w:ilvl w:val="3"/>
          <w:numId w:val="61"/>
        </w:numPr>
        <w:spacing w:before="120" w:after="200" w:line="240" w:lineRule="auto"/>
        <w:ind w:left="924" w:hanging="357"/>
        <w:contextualSpacing w:val="0"/>
        <w:jc w:val="both"/>
        <w:rPr>
          <w:rFonts w:ascii="Palatino Linotype" w:hAnsi="Palatino Linotype"/>
        </w:rPr>
      </w:pPr>
      <w:r w:rsidRPr="00D66245">
        <w:rPr>
          <w:rFonts w:ascii="Palatino Linotype" w:hAnsi="Palatino Linotype"/>
          <w:lang w:val="es-ES"/>
        </w:rPr>
        <w:t>El interrogatorio es parte de la estrategia que desarrollamos en el caso.</w:t>
      </w:r>
    </w:p>
    <w:p w14:paraId="2F5DC681" w14:textId="77777777" w:rsidR="008057F8" w:rsidRPr="00D66245" w:rsidRDefault="008057F8" w:rsidP="008057F8">
      <w:pPr>
        <w:pStyle w:val="Prrafodelista"/>
        <w:numPr>
          <w:ilvl w:val="3"/>
          <w:numId w:val="61"/>
        </w:numPr>
        <w:spacing w:before="120" w:after="200" w:line="240" w:lineRule="auto"/>
        <w:ind w:left="924" w:hanging="357"/>
        <w:contextualSpacing w:val="0"/>
        <w:jc w:val="both"/>
        <w:rPr>
          <w:rFonts w:ascii="Palatino Linotype" w:hAnsi="Palatino Linotype"/>
        </w:rPr>
      </w:pPr>
      <w:r w:rsidRPr="00D66245">
        <w:rPr>
          <w:rFonts w:ascii="Palatino Linotype" w:hAnsi="Palatino Linotype"/>
          <w:lang w:val="es-ES"/>
        </w:rPr>
        <w:t>Se debe de interrogar con preguntas abiertas y cerradas</w:t>
      </w:r>
    </w:p>
    <w:p w14:paraId="3B952206" w14:textId="77777777" w:rsidR="008057F8" w:rsidRPr="00D66245" w:rsidRDefault="008057F8" w:rsidP="008057F8">
      <w:pPr>
        <w:spacing w:before="120" w:after="200" w:line="240" w:lineRule="auto"/>
        <w:jc w:val="both"/>
        <w:rPr>
          <w:rFonts w:ascii="Palatino Linotype" w:hAnsi="Palatino Linotype"/>
        </w:rPr>
      </w:pPr>
      <w:bookmarkStart w:id="25" w:name="_Hlk3928710"/>
      <w:r w:rsidRPr="00D66245">
        <w:rPr>
          <w:rFonts w:ascii="Palatino Linotype" w:hAnsi="Palatino Linotype"/>
          <w:b/>
        </w:rPr>
        <w:t>16.- LAS REGLAS DEL CONTRAINTERROGATORIO</w:t>
      </w:r>
      <w:bookmarkEnd w:id="25"/>
    </w:p>
    <w:p w14:paraId="63470DE1"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No solicite explicaciones</w:t>
      </w:r>
    </w:p>
    <w:p w14:paraId="37EC5871"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No haga una pregunta si no conoce la probable respuesta</w:t>
      </w:r>
    </w:p>
    <w:p w14:paraId="0109A984"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No repita el interrogatorio directo</w:t>
      </w:r>
    </w:p>
    <w:p w14:paraId="6AB8E4D9"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No discuta con el testigo</w:t>
      </w:r>
    </w:p>
    <w:p w14:paraId="52304601"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Concéntrese en el testigo y sus respuestas</w:t>
      </w:r>
    </w:p>
    <w:p w14:paraId="20FA6C42"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Desarrolle un sentido estratégico y de seguridad</w:t>
      </w:r>
    </w:p>
    <w:p w14:paraId="4217D5ED"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Sea breve</w:t>
      </w:r>
    </w:p>
    <w:p w14:paraId="2776B68C"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Mantenga el ritmo</w:t>
      </w:r>
    </w:p>
    <w:p w14:paraId="1045DD59"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Comience y termine con los puntos más fuertes</w:t>
      </w:r>
    </w:p>
    <w:p w14:paraId="6349538E" w14:textId="77777777" w:rsidR="008057F8" w:rsidRPr="00D66245" w:rsidRDefault="008057F8" w:rsidP="008057F8">
      <w:pPr>
        <w:spacing w:before="120" w:after="200" w:line="240" w:lineRule="auto"/>
        <w:jc w:val="both"/>
        <w:rPr>
          <w:rFonts w:ascii="Palatino Linotype" w:hAnsi="Palatino Linotype"/>
          <w:b/>
        </w:rPr>
      </w:pPr>
      <w:bookmarkStart w:id="26" w:name="_Hlk3928721"/>
      <w:r w:rsidRPr="00D66245">
        <w:rPr>
          <w:rFonts w:ascii="Palatino Linotype" w:hAnsi="Palatino Linotype"/>
          <w:b/>
        </w:rPr>
        <w:t>17.- CARACTERÍSTICAS DEL CONTRA INTERROGATORIO</w:t>
      </w:r>
      <w:bookmarkEnd w:id="26"/>
    </w:p>
    <w:p w14:paraId="0F175F95"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Tienden a disuadir de lo declarado por el testigo, que no nos conviene.</w:t>
      </w:r>
    </w:p>
    <w:p w14:paraId="0EBA8750"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Es mejor preguntas cerradas. Evite las preguntas abiertas.</w:t>
      </w:r>
    </w:p>
    <w:p w14:paraId="24E5B3AC"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Las preguntas son a partir de lo declarado.</w:t>
      </w:r>
    </w:p>
    <w:p w14:paraId="1B2A9C63"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Preguntas aclaratorias cuando conviene a nuestra tesis</w:t>
      </w:r>
    </w:p>
    <w:p w14:paraId="4CBE3FB5"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Debe de repreguntarse con una idea a la vez</w:t>
      </w:r>
    </w:p>
    <w:p w14:paraId="399ED001"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lastRenderedPageBreak/>
        <w:t>No repregunte a los mejores testigos de la contraparte…cuando no le han favorecido</w:t>
      </w:r>
    </w:p>
    <w:p w14:paraId="1C9E9A9F"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Introducir lo que se ha omitido el testigo que favorece a nuestro cliente.</w:t>
      </w:r>
    </w:p>
    <w:p w14:paraId="0B9E7A97"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Reforzar hechos positivos que favorecen nuestros argumentos.</w:t>
      </w:r>
    </w:p>
    <w:p w14:paraId="59D1A881"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Minimizar los hechos desfavorables para nuestro representado</w:t>
      </w:r>
    </w:p>
    <w:p w14:paraId="5B3A38CD" w14:textId="77777777" w:rsidR="008057F8" w:rsidRPr="00D66245" w:rsidRDefault="008057F8" w:rsidP="008057F8">
      <w:pPr>
        <w:spacing w:before="120" w:after="200" w:line="240" w:lineRule="auto"/>
        <w:jc w:val="both"/>
        <w:rPr>
          <w:rFonts w:ascii="Palatino Linotype" w:hAnsi="Palatino Linotype"/>
          <w:b/>
        </w:rPr>
      </w:pPr>
      <w:bookmarkStart w:id="27" w:name="_Hlk3928748"/>
      <w:r w:rsidRPr="00D66245">
        <w:rPr>
          <w:rFonts w:ascii="Palatino Linotype" w:hAnsi="Palatino Linotype"/>
          <w:b/>
          <w:bCs/>
        </w:rPr>
        <w:t>18.- CONTRAINTERROGATORIO O REPREGUNTAS</w:t>
      </w:r>
      <w:bookmarkEnd w:id="27"/>
    </w:p>
    <w:p w14:paraId="63A1E571" w14:textId="77777777" w:rsidR="008057F8" w:rsidRPr="00D66245" w:rsidRDefault="008057F8" w:rsidP="008057F8">
      <w:pPr>
        <w:pStyle w:val="Prrafodelista"/>
        <w:numPr>
          <w:ilvl w:val="0"/>
          <w:numId w:val="76"/>
        </w:numPr>
        <w:spacing w:before="120" w:after="200" w:line="240" w:lineRule="auto"/>
        <w:ind w:leftChars="150" w:left="687" w:hanging="357"/>
        <w:contextualSpacing w:val="0"/>
        <w:jc w:val="both"/>
        <w:rPr>
          <w:rFonts w:ascii="Palatino Linotype" w:hAnsi="Palatino Linotype"/>
        </w:rPr>
      </w:pPr>
      <w:r w:rsidRPr="00D66245">
        <w:rPr>
          <w:rFonts w:ascii="Palatino Linotype" w:hAnsi="Palatino Linotype"/>
          <w:bCs/>
          <w:lang w:val="es-ES_tradnl"/>
        </w:rPr>
        <w:t xml:space="preserve">Lo que se pretende es demostrarle al Tribunal que lo que dijo el testigo en el interrogatorio directo </w:t>
      </w:r>
      <w:r w:rsidRPr="00D66245">
        <w:rPr>
          <w:rFonts w:ascii="Palatino Linotype" w:hAnsi="Palatino Linotype"/>
          <w:bCs/>
          <w:u w:val="single"/>
          <w:lang w:val="es-ES_tradnl"/>
        </w:rPr>
        <w:t>no</w:t>
      </w:r>
      <w:r w:rsidRPr="00D66245">
        <w:rPr>
          <w:rFonts w:ascii="Palatino Linotype" w:hAnsi="Palatino Linotype"/>
          <w:bCs/>
          <w:lang w:val="es-ES_tradnl"/>
        </w:rPr>
        <w:t xml:space="preserve"> es tan grave como parece o que no merece credibilidad. </w:t>
      </w:r>
    </w:p>
    <w:p w14:paraId="54EBF924" w14:textId="77777777" w:rsidR="008057F8" w:rsidRPr="00D66245" w:rsidRDefault="008057F8" w:rsidP="008057F8">
      <w:pPr>
        <w:pStyle w:val="Prrafodelista"/>
        <w:numPr>
          <w:ilvl w:val="1"/>
          <w:numId w:val="76"/>
        </w:numPr>
        <w:spacing w:before="120" w:after="200" w:line="240" w:lineRule="auto"/>
        <w:ind w:leftChars="150" w:left="687" w:hanging="357"/>
        <w:contextualSpacing w:val="0"/>
        <w:jc w:val="both"/>
        <w:rPr>
          <w:rFonts w:ascii="Palatino Linotype" w:hAnsi="Palatino Linotype"/>
        </w:rPr>
      </w:pPr>
      <w:r w:rsidRPr="00D66245">
        <w:rPr>
          <w:rFonts w:ascii="Palatino Linotype" w:hAnsi="Palatino Linotype"/>
          <w:bCs/>
          <w:lang w:val="es-ES_tradnl"/>
        </w:rPr>
        <w:t>Desacreditar el testimonio desacreditando al testigo (escasa inteligencia, confundido, mentiroso, etc.)</w:t>
      </w:r>
    </w:p>
    <w:p w14:paraId="7BC1B2CA" w14:textId="77777777" w:rsidR="008057F8" w:rsidRPr="00D66245" w:rsidRDefault="008057F8" w:rsidP="008057F8">
      <w:pPr>
        <w:pStyle w:val="Prrafodelista"/>
        <w:numPr>
          <w:ilvl w:val="1"/>
          <w:numId w:val="76"/>
        </w:numPr>
        <w:spacing w:before="120" w:after="200" w:line="240" w:lineRule="auto"/>
        <w:ind w:leftChars="150" w:left="687" w:hanging="357"/>
        <w:contextualSpacing w:val="0"/>
        <w:jc w:val="both"/>
        <w:rPr>
          <w:rFonts w:ascii="Palatino Linotype" w:hAnsi="Palatino Linotype"/>
        </w:rPr>
      </w:pPr>
      <w:r w:rsidRPr="00D66245">
        <w:rPr>
          <w:rFonts w:ascii="Palatino Linotype" w:hAnsi="Palatino Linotype"/>
          <w:bCs/>
          <w:lang w:val="es-ES_tradnl"/>
        </w:rPr>
        <w:t>Desacreditar el testimonio, desacreditando el relato. (contradicción interna o con los hechos externos)</w:t>
      </w:r>
    </w:p>
    <w:p w14:paraId="50F4F1FB" w14:textId="77777777" w:rsidR="008057F8" w:rsidRPr="00D66245" w:rsidRDefault="008057F8" w:rsidP="008057F8">
      <w:pPr>
        <w:pStyle w:val="Prrafodelista"/>
        <w:numPr>
          <w:ilvl w:val="1"/>
          <w:numId w:val="76"/>
        </w:numPr>
        <w:spacing w:before="120" w:after="200" w:line="240" w:lineRule="auto"/>
        <w:ind w:leftChars="150" w:left="687" w:hanging="357"/>
        <w:contextualSpacing w:val="0"/>
        <w:jc w:val="both"/>
        <w:rPr>
          <w:rFonts w:ascii="Palatino Linotype" w:hAnsi="Palatino Linotype"/>
          <w:bCs/>
          <w:lang w:val="es-ES_tradnl"/>
        </w:rPr>
      </w:pPr>
      <w:r w:rsidRPr="00D66245">
        <w:rPr>
          <w:rFonts w:ascii="Palatino Linotype" w:hAnsi="Palatino Linotype"/>
          <w:bCs/>
          <w:lang w:val="es-ES_tradnl"/>
        </w:rPr>
        <w:t xml:space="preserve">Eventual contradicción con otras pruebas. </w:t>
      </w:r>
    </w:p>
    <w:p w14:paraId="5FF41B19" w14:textId="77777777" w:rsidR="008057F8" w:rsidRPr="00D66245" w:rsidRDefault="008057F8" w:rsidP="008057F8">
      <w:pPr>
        <w:pStyle w:val="Prrafodelista"/>
        <w:numPr>
          <w:ilvl w:val="1"/>
          <w:numId w:val="76"/>
        </w:numPr>
        <w:spacing w:before="120" w:after="200" w:line="240" w:lineRule="auto"/>
        <w:ind w:leftChars="150" w:left="687" w:hanging="357"/>
        <w:contextualSpacing w:val="0"/>
        <w:jc w:val="both"/>
        <w:rPr>
          <w:rFonts w:ascii="Palatino Linotype" w:hAnsi="Palatino Linotype"/>
        </w:rPr>
      </w:pPr>
      <w:r w:rsidRPr="00D66245">
        <w:rPr>
          <w:rFonts w:ascii="Palatino Linotype" w:hAnsi="Palatino Linotype"/>
          <w:bCs/>
          <w:lang w:val="es-ES_tradnl"/>
        </w:rPr>
        <w:t>Careo. En caso de contradicciones groseras</w:t>
      </w:r>
    </w:p>
    <w:p w14:paraId="32C08405" w14:textId="77777777" w:rsidR="008057F8" w:rsidRPr="00D66245" w:rsidRDefault="008057F8" w:rsidP="008057F8">
      <w:pPr>
        <w:spacing w:before="120" w:after="200" w:line="240" w:lineRule="auto"/>
        <w:jc w:val="both"/>
        <w:rPr>
          <w:rFonts w:ascii="Palatino Linotype" w:hAnsi="Palatino Linotype"/>
          <w:b/>
        </w:rPr>
      </w:pPr>
      <w:bookmarkStart w:id="28" w:name="_Hlk3928760"/>
      <w:r w:rsidRPr="00D66245">
        <w:rPr>
          <w:rFonts w:ascii="Palatino Linotype" w:hAnsi="Palatino Linotype"/>
          <w:b/>
        </w:rPr>
        <w:t>19.- TÉCNICAS DEL CONTRAINTERROGATORIO</w:t>
      </w:r>
      <w:bookmarkEnd w:id="28"/>
    </w:p>
    <w:p w14:paraId="1E9589E9"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bCs/>
        </w:rPr>
        <w:t>E</w:t>
      </w:r>
      <w:r w:rsidRPr="00D66245">
        <w:rPr>
          <w:rFonts w:ascii="Palatino Linotype" w:hAnsi="Palatino Linotype"/>
          <w:bCs/>
          <w:lang w:val="es-ES_tradnl"/>
        </w:rPr>
        <w:t>nfatizar los defectos que sobre el conocimiento total del caso tiene el testigo.</w:t>
      </w:r>
    </w:p>
    <w:p w14:paraId="69D87E2B" w14:textId="77777777" w:rsidR="008057F8" w:rsidRPr="00D66245" w:rsidRDefault="008057F8" w:rsidP="008057F8">
      <w:pPr>
        <w:pStyle w:val="Prrafodelista"/>
        <w:numPr>
          <w:ilvl w:val="0"/>
          <w:numId w:val="60"/>
        </w:numPr>
        <w:spacing w:before="120" w:after="200" w:line="240" w:lineRule="auto"/>
        <w:contextualSpacing w:val="0"/>
        <w:jc w:val="both"/>
        <w:rPr>
          <w:rFonts w:ascii="Palatino Linotype" w:hAnsi="Palatino Linotype"/>
        </w:rPr>
      </w:pPr>
      <w:r w:rsidRPr="00D66245">
        <w:rPr>
          <w:rFonts w:ascii="Palatino Linotype" w:hAnsi="Palatino Linotype"/>
          <w:bCs/>
          <w:lang w:val="es-ES_tradnl"/>
        </w:rPr>
        <w:t>Omisiones especiales</w:t>
      </w:r>
    </w:p>
    <w:p w14:paraId="316D1F40" w14:textId="77777777" w:rsidR="008057F8" w:rsidRPr="00D66245" w:rsidRDefault="008057F8" w:rsidP="008057F8">
      <w:pPr>
        <w:pStyle w:val="Prrafodelista"/>
        <w:numPr>
          <w:ilvl w:val="0"/>
          <w:numId w:val="60"/>
        </w:numPr>
        <w:spacing w:before="120" w:after="200" w:line="240" w:lineRule="auto"/>
        <w:contextualSpacing w:val="0"/>
        <w:jc w:val="both"/>
        <w:rPr>
          <w:rFonts w:ascii="Palatino Linotype" w:hAnsi="Palatino Linotype"/>
        </w:rPr>
      </w:pPr>
      <w:r w:rsidRPr="00D66245">
        <w:rPr>
          <w:rFonts w:ascii="Palatino Linotype" w:hAnsi="Palatino Linotype"/>
          <w:bCs/>
          <w:lang w:val="es-ES_tradnl"/>
        </w:rPr>
        <w:t xml:space="preserve">Omisiones en general de la declaración.  </w:t>
      </w:r>
    </w:p>
    <w:p w14:paraId="425495BE" w14:textId="77777777" w:rsidR="008057F8" w:rsidRPr="00D66245" w:rsidRDefault="008057F8" w:rsidP="008057F8">
      <w:pPr>
        <w:spacing w:before="120" w:after="200" w:line="240" w:lineRule="auto"/>
        <w:ind w:left="720"/>
        <w:jc w:val="both"/>
        <w:rPr>
          <w:rFonts w:ascii="Palatino Linotype" w:hAnsi="Palatino Linotype"/>
        </w:rPr>
      </w:pPr>
      <w:r w:rsidRPr="00D66245">
        <w:rPr>
          <w:rFonts w:ascii="Palatino Linotype" w:hAnsi="Palatino Linotype"/>
          <w:bCs/>
          <w:lang w:val="es-ES_tradnl"/>
        </w:rPr>
        <w:t>¿Usted dice que vio x, pero dice que no vio y?</w:t>
      </w:r>
    </w:p>
    <w:p w14:paraId="42017C68" w14:textId="77777777" w:rsidR="008057F8" w:rsidRPr="00D66245" w:rsidRDefault="008057F8" w:rsidP="008057F8">
      <w:pPr>
        <w:spacing w:before="120" w:after="200" w:line="240" w:lineRule="auto"/>
        <w:ind w:left="720"/>
        <w:jc w:val="both"/>
        <w:rPr>
          <w:rFonts w:ascii="Palatino Linotype" w:hAnsi="Palatino Linotype"/>
          <w:bCs/>
          <w:lang w:val="es-ES_tradnl"/>
        </w:rPr>
      </w:pPr>
      <w:r w:rsidRPr="00D66245">
        <w:rPr>
          <w:rFonts w:ascii="Palatino Linotype" w:hAnsi="Palatino Linotype"/>
          <w:bCs/>
          <w:lang w:val="es-ES_tradnl"/>
        </w:rPr>
        <w:t>¿Recuerda la marca, pero no el color del vehículo que conducía Adriana?</w:t>
      </w:r>
    </w:p>
    <w:p w14:paraId="4E0E6837" w14:textId="77777777" w:rsidR="008057F8" w:rsidRPr="00D66245" w:rsidRDefault="008057F8" w:rsidP="008057F8">
      <w:pPr>
        <w:spacing w:before="120" w:after="200" w:line="240" w:lineRule="auto"/>
        <w:jc w:val="both"/>
        <w:rPr>
          <w:rFonts w:ascii="Palatino Linotype" w:hAnsi="Palatino Linotype"/>
          <w:b/>
        </w:rPr>
      </w:pPr>
      <w:bookmarkStart w:id="29" w:name="_Hlk3928779"/>
      <w:r w:rsidRPr="00D66245">
        <w:rPr>
          <w:rFonts w:ascii="Palatino Linotype" w:hAnsi="Palatino Linotype"/>
          <w:b/>
          <w:bCs/>
        </w:rPr>
        <w:t>20.- TESTIGOS MENOS CREÍBLES</w:t>
      </w:r>
      <w:bookmarkEnd w:id="29"/>
      <w:r w:rsidRPr="00D66245">
        <w:rPr>
          <w:rFonts w:ascii="Palatino Linotype" w:hAnsi="Palatino Linotype"/>
          <w:b/>
          <w:bCs/>
        </w:rPr>
        <w:t>:</w:t>
      </w:r>
    </w:p>
    <w:p w14:paraId="19C0D5EE" w14:textId="77777777" w:rsidR="008057F8" w:rsidRPr="00D66245" w:rsidRDefault="008057F8" w:rsidP="008057F8">
      <w:pPr>
        <w:numPr>
          <w:ilvl w:val="0"/>
          <w:numId w:val="60"/>
        </w:numPr>
        <w:spacing w:before="120" w:after="200" w:line="240" w:lineRule="auto"/>
        <w:jc w:val="both"/>
        <w:rPr>
          <w:rFonts w:ascii="Palatino Linotype" w:hAnsi="Palatino Linotype"/>
          <w:bCs/>
        </w:rPr>
      </w:pPr>
      <w:r w:rsidRPr="00D66245">
        <w:rPr>
          <w:rFonts w:ascii="Palatino Linotype" w:hAnsi="Palatino Linotype"/>
          <w:bCs/>
        </w:rPr>
        <w:t>Los beneficiados directa o indirectamente</w:t>
      </w:r>
    </w:p>
    <w:p w14:paraId="15DBDE09" w14:textId="77777777" w:rsidR="008057F8" w:rsidRPr="00D66245" w:rsidRDefault="008057F8" w:rsidP="008057F8">
      <w:pPr>
        <w:numPr>
          <w:ilvl w:val="0"/>
          <w:numId w:val="60"/>
        </w:numPr>
        <w:spacing w:before="120" w:after="200" w:line="240" w:lineRule="auto"/>
        <w:jc w:val="both"/>
        <w:rPr>
          <w:rFonts w:ascii="Palatino Linotype" w:hAnsi="Palatino Linotype"/>
          <w:bCs/>
        </w:rPr>
      </w:pPr>
      <w:r w:rsidRPr="00D66245">
        <w:rPr>
          <w:rFonts w:ascii="Palatino Linotype" w:hAnsi="Palatino Linotype"/>
          <w:bCs/>
        </w:rPr>
        <w:lastRenderedPageBreak/>
        <w:t xml:space="preserve">Los confidentes </w:t>
      </w:r>
      <w:r w:rsidRPr="00D66245">
        <w:rPr>
          <w:rFonts w:ascii="Palatino Linotype" w:hAnsi="Palatino Linotype"/>
          <w:bCs/>
        </w:rPr>
        <w:tab/>
      </w:r>
      <w:r w:rsidRPr="00D66245">
        <w:rPr>
          <w:rFonts w:ascii="Palatino Linotype" w:hAnsi="Palatino Linotype"/>
          <w:bCs/>
        </w:rPr>
        <w:tab/>
      </w:r>
      <w:r w:rsidRPr="00D66245">
        <w:rPr>
          <w:rFonts w:ascii="Palatino Linotype" w:hAnsi="Palatino Linotype"/>
          <w:bCs/>
        </w:rPr>
        <w:tab/>
      </w:r>
      <w:r w:rsidRPr="00D66245">
        <w:rPr>
          <w:rFonts w:ascii="Palatino Linotype" w:hAnsi="Palatino Linotype"/>
          <w:bCs/>
        </w:rPr>
        <w:tab/>
      </w:r>
    </w:p>
    <w:p w14:paraId="2EE1B931" w14:textId="77777777" w:rsidR="008057F8" w:rsidRPr="00D66245" w:rsidRDefault="008057F8" w:rsidP="008057F8">
      <w:pPr>
        <w:numPr>
          <w:ilvl w:val="0"/>
          <w:numId w:val="60"/>
        </w:numPr>
        <w:spacing w:before="120" w:after="200" w:line="240" w:lineRule="auto"/>
        <w:jc w:val="both"/>
        <w:rPr>
          <w:rFonts w:ascii="Palatino Linotype" w:hAnsi="Palatino Linotype"/>
          <w:bCs/>
        </w:rPr>
      </w:pPr>
      <w:r w:rsidRPr="00D66245">
        <w:rPr>
          <w:rFonts w:ascii="Palatino Linotype" w:hAnsi="Palatino Linotype"/>
          <w:bCs/>
        </w:rPr>
        <w:t>Los arrepentidos</w:t>
      </w:r>
    </w:p>
    <w:p w14:paraId="248A4FF0" w14:textId="77777777" w:rsidR="008057F8" w:rsidRPr="00D66245" w:rsidRDefault="008057F8" w:rsidP="008057F8">
      <w:pPr>
        <w:numPr>
          <w:ilvl w:val="0"/>
          <w:numId w:val="60"/>
        </w:numPr>
        <w:spacing w:before="120" w:after="200" w:line="240" w:lineRule="auto"/>
        <w:jc w:val="both"/>
        <w:rPr>
          <w:rFonts w:ascii="Palatino Linotype" w:hAnsi="Palatino Linotype"/>
          <w:bCs/>
        </w:rPr>
      </w:pPr>
      <w:r w:rsidRPr="00D66245">
        <w:rPr>
          <w:rFonts w:ascii="Palatino Linotype" w:hAnsi="Palatino Linotype"/>
          <w:bCs/>
        </w:rPr>
        <w:t xml:space="preserve">Los de referencia o de oídas      </w:t>
      </w:r>
      <w:r w:rsidRPr="00D66245">
        <w:rPr>
          <w:rFonts w:ascii="Palatino Linotype" w:hAnsi="Palatino Linotype"/>
          <w:bCs/>
        </w:rPr>
        <w:tab/>
      </w:r>
      <w:r w:rsidRPr="00D66245">
        <w:rPr>
          <w:rFonts w:ascii="Palatino Linotype" w:hAnsi="Palatino Linotype"/>
          <w:bCs/>
        </w:rPr>
        <w:tab/>
      </w:r>
    </w:p>
    <w:p w14:paraId="69297A6F" w14:textId="77777777" w:rsidR="008057F8" w:rsidRPr="00D66245" w:rsidRDefault="008057F8" w:rsidP="008057F8">
      <w:pPr>
        <w:numPr>
          <w:ilvl w:val="0"/>
          <w:numId w:val="60"/>
        </w:numPr>
        <w:spacing w:before="120" w:after="200" w:line="240" w:lineRule="auto"/>
        <w:jc w:val="both"/>
        <w:rPr>
          <w:rFonts w:ascii="Palatino Linotype" w:hAnsi="Palatino Linotype"/>
          <w:bCs/>
        </w:rPr>
      </w:pPr>
      <w:r w:rsidRPr="00D66245">
        <w:rPr>
          <w:rFonts w:ascii="Palatino Linotype" w:hAnsi="Palatino Linotype"/>
          <w:bCs/>
        </w:rPr>
        <w:t>Los testigos profesionales</w:t>
      </w:r>
    </w:p>
    <w:p w14:paraId="774AE2C4" w14:textId="77777777" w:rsidR="008057F8" w:rsidRPr="00D66245" w:rsidRDefault="008057F8" w:rsidP="008057F8">
      <w:pPr>
        <w:numPr>
          <w:ilvl w:val="0"/>
          <w:numId w:val="60"/>
        </w:numPr>
        <w:spacing w:before="120" w:after="200" w:line="240" w:lineRule="auto"/>
        <w:jc w:val="both"/>
        <w:rPr>
          <w:rFonts w:ascii="Palatino Linotype" w:hAnsi="Palatino Linotype"/>
          <w:bCs/>
        </w:rPr>
      </w:pPr>
      <w:r w:rsidRPr="00D66245">
        <w:rPr>
          <w:rFonts w:ascii="Palatino Linotype" w:hAnsi="Palatino Linotype"/>
          <w:bCs/>
        </w:rPr>
        <w:t>Los imprecisos</w:t>
      </w:r>
      <w:r w:rsidRPr="00D66245">
        <w:rPr>
          <w:rFonts w:ascii="Palatino Linotype" w:hAnsi="Palatino Linotype"/>
          <w:bCs/>
        </w:rPr>
        <w:tab/>
      </w:r>
      <w:r w:rsidRPr="00D66245">
        <w:rPr>
          <w:rFonts w:ascii="Palatino Linotype" w:hAnsi="Palatino Linotype"/>
          <w:bCs/>
        </w:rPr>
        <w:tab/>
      </w:r>
      <w:r w:rsidRPr="00D66245">
        <w:rPr>
          <w:rFonts w:ascii="Palatino Linotype" w:hAnsi="Palatino Linotype"/>
          <w:bCs/>
        </w:rPr>
        <w:tab/>
      </w:r>
      <w:r w:rsidRPr="00D66245">
        <w:rPr>
          <w:rFonts w:ascii="Palatino Linotype" w:hAnsi="Palatino Linotype"/>
          <w:bCs/>
        </w:rPr>
        <w:tab/>
      </w:r>
    </w:p>
    <w:p w14:paraId="0EEA6F5E" w14:textId="77777777" w:rsidR="008057F8" w:rsidRPr="00D66245" w:rsidRDefault="008057F8" w:rsidP="008057F8">
      <w:pPr>
        <w:numPr>
          <w:ilvl w:val="0"/>
          <w:numId w:val="60"/>
        </w:numPr>
        <w:spacing w:before="120" w:after="200" w:line="240" w:lineRule="auto"/>
        <w:jc w:val="both"/>
        <w:rPr>
          <w:rFonts w:ascii="Palatino Linotype" w:hAnsi="Palatino Linotype"/>
          <w:bCs/>
        </w:rPr>
      </w:pPr>
      <w:r w:rsidRPr="00D66245">
        <w:rPr>
          <w:rFonts w:ascii="Palatino Linotype" w:hAnsi="Palatino Linotype"/>
          <w:bCs/>
        </w:rPr>
        <w:t>Los que susurran</w:t>
      </w:r>
    </w:p>
    <w:p w14:paraId="52BF2DDB" w14:textId="77777777" w:rsidR="008057F8" w:rsidRPr="00D66245" w:rsidRDefault="008057F8" w:rsidP="008057F8">
      <w:pPr>
        <w:numPr>
          <w:ilvl w:val="0"/>
          <w:numId w:val="60"/>
        </w:numPr>
        <w:spacing w:before="120" w:after="200" w:line="240" w:lineRule="auto"/>
        <w:jc w:val="both"/>
        <w:rPr>
          <w:rFonts w:ascii="Palatino Linotype" w:hAnsi="Palatino Linotype"/>
          <w:bCs/>
        </w:rPr>
      </w:pPr>
      <w:r w:rsidRPr="00D66245">
        <w:rPr>
          <w:rFonts w:ascii="Palatino Linotype" w:hAnsi="Palatino Linotype"/>
          <w:bCs/>
        </w:rPr>
        <w:t>Los que no se sabe si dicen sí o no</w:t>
      </w:r>
    </w:p>
    <w:p w14:paraId="0B4F1A0E" w14:textId="77777777" w:rsidR="008057F8" w:rsidRPr="00D66245" w:rsidRDefault="008057F8" w:rsidP="008057F8">
      <w:pPr>
        <w:numPr>
          <w:ilvl w:val="0"/>
          <w:numId w:val="60"/>
        </w:numPr>
        <w:spacing w:before="120" w:after="200" w:line="240" w:lineRule="auto"/>
        <w:jc w:val="both"/>
        <w:rPr>
          <w:rFonts w:ascii="Palatino Linotype" w:hAnsi="Palatino Linotype"/>
          <w:bCs/>
        </w:rPr>
      </w:pPr>
      <w:r w:rsidRPr="00D66245">
        <w:rPr>
          <w:rFonts w:ascii="Palatino Linotype" w:hAnsi="Palatino Linotype"/>
          <w:bCs/>
        </w:rPr>
        <w:t>Los que se acuerdan de muchos detalles, lo que les interesa</w:t>
      </w:r>
    </w:p>
    <w:p w14:paraId="74A74959" w14:textId="77777777" w:rsidR="008057F8" w:rsidRPr="00D66245" w:rsidRDefault="008057F8" w:rsidP="008057F8">
      <w:pPr>
        <w:numPr>
          <w:ilvl w:val="0"/>
          <w:numId w:val="60"/>
        </w:numPr>
        <w:spacing w:before="120" w:after="200" w:line="240" w:lineRule="auto"/>
        <w:jc w:val="both"/>
        <w:rPr>
          <w:rFonts w:ascii="Palatino Linotype" w:hAnsi="Palatino Linotype"/>
          <w:bCs/>
        </w:rPr>
      </w:pPr>
      <w:r w:rsidRPr="00D66245">
        <w:rPr>
          <w:rFonts w:ascii="Palatino Linotype" w:hAnsi="Palatino Linotype"/>
          <w:bCs/>
        </w:rPr>
        <w:t>Los menores de edad: manipulables</w:t>
      </w:r>
    </w:p>
    <w:p w14:paraId="50B5D95C" w14:textId="77777777" w:rsidR="008057F8" w:rsidRPr="00D66245" w:rsidRDefault="008057F8" w:rsidP="008057F8">
      <w:pPr>
        <w:numPr>
          <w:ilvl w:val="0"/>
          <w:numId w:val="60"/>
        </w:numPr>
        <w:spacing w:before="120" w:after="200" w:line="240" w:lineRule="auto"/>
        <w:jc w:val="both"/>
        <w:rPr>
          <w:rFonts w:ascii="Palatino Linotype" w:hAnsi="Palatino Linotype"/>
          <w:bCs/>
        </w:rPr>
      </w:pPr>
      <w:r w:rsidRPr="00D66245">
        <w:rPr>
          <w:rFonts w:ascii="Palatino Linotype" w:hAnsi="Palatino Linotype"/>
          <w:bCs/>
        </w:rPr>
        <w:t>Los que tienen algún trastorno psíquico</w:t>
      </w:r>
    </w:p>
    <w:p w14:paraId="6B608C57" w14:textId="77777777" w:rsidR="008057F8" w:rsidRPr="00D66245" w:rsidRDefault="008057F8" w:rsidP="008057F8">
      <w:pPr>
        <w:numPr>
          <w:ilvl w:val="0"/>
          <w:numId w:val="60"/>
        </w:numPr>
        <w:spacing w:before="120" w:after="200" w:line="240" w:lineRule="auto"/>
        <w:jc w:val="both"/>
        <w:rPr>
          <w:rFonts w:ascii="Palatino Linotype" w:hAnsi="Palatino Linotype"/>
          <w:bCs/>
        </w:rPr>
      </w:pPr>
      <w:r w:rsidRPr="00D66245">
        <w:rPr>
          <w:rFonts w:ascii="Palatino Linotype" w:hAnsi="Palatino Linotype"/>
          <w:bCs/>
        </w:rPr>
        <w:t>Los que aparecen a última hora</w:t>
      </w:r>
    </w:p>
    <w:p w14:paraId="71F4D15A" w14:textId="77777777" w:rsidR="008057F8" w:rsidRPr="00D66245" w:rsidRDefault="008057F8" w:rsidP="008057F8">
      <w:pPr>
        <w:numPr>
          <w:ilvl w:val="0"/>
          <w:numId w:val="60"/>
        </w:numPr>
        <w:spacing w:before="120" w:after="200" w:line="240" w:lineRule="auto"/>
        <w:jc w:val="both"/>
        <w:rPr>
          <w:rFonts w:ascii="Palatino Linotype" w:hAnsi="Palatino Linotype"/>
          <w:bCs/>
        </w:rPr>
      </w:pPr>
      <w:r w:rsidRPr="00D66245">
        <w:rPr>
          <w:rFonts w:ascii="Palatino Linotype" w:hAnsi="Palatino Linotype"/>
          <w:bCs/>
        </w:rPr>
        <w:t>Los que dicen lo mismo, en el mismo orden, con las mismas palabras</w:t>
      </w:r>
    </w:p>
    <w:p w14:paraId="58104B53" w14:textId="77777777" w:rsidR="008057F8" w:rsidRPr="00D66245" w:rsidRDefault="008057F8" w:rsidP="008057F8">
      <w:pPr>
        <w:numPr>
          <w:ilvl w:val="0"/>
          <w:numId w:val="60"/>
        </w:numPr>
        <w:spacing w:before="120" w:after="200" w:line="240" w:lineRule="auto"/>
        <w:jc w:val="both"/>
        <w:rPr>
          <w:rFonts w:ascii="Palatino Linotype" w:hAnsi="Palatino Linotype"/>
          <w:bCs/>
        </w:rPr>
      </w:pPr>
      <w:r w:rsidRPr="00D66245">
        <w:rPr>
          <w:rFonts w:ascii="Palatino Linotype" w:hAnsi="Palatino Linotype"/>
          <w:bCs/>
        </w:rPr>
        <w:t>Los incoherentes</w:t>
      </w:r>
      <w:r w:rsidRPr="00D66245">
        <w:rPr>
          <w:rFonts w:ascii="Palatino Linotype" w:hAnsi="Palatino Linotype"/>
          <w:bCs/>
        </w:rPr>
        <w:tab/>
      </w:r>
      <w:r w:rsidRPr="00D66245">
        <w:rPr>
          <w:rFonts w:ascii="Palatino Linotype" w:hAnsi="Palatino Linotype"/>
          <w:bCs/>
        </w:rPr>
        <w:tab/>
      </w:r>
    </w:p>
    <w:p w14:paraId="0426A312" w14:textId="77777777" w:rsidR="008057F8" w:rsidRPr="00D66245" w:rsidRDefault="008057F8" w:rsidP="008057F8">
      <w:pPr>
        <w:numPr>
          <w:ilvl w:val="0"/>
          <w:numId w:val="60"/>
        </w:numPr>
        <w:spacing w:before="120" w:after="200" w:line="240" w:lineRule="auto"/>
        <w:jc w:val="both"/>
        <w:rPr>
          <w:rFonts w:ascii="Palatino Linotype" w:hAnsi="Palatino Linotype"/>
          <w:bCs/>
        </w:rPr>
      </w:pPr>
      <w:r w:rsidRPr="00D66245">
        <w:rPr>
          <w:rFonts w:ascii="Palatino Linotype" w:hAnsi="Palatino Linotype"/>
          <w:bCs/>
        </w:rPr>
        <w:t>Los enemistados con una parte</w:t>
      </w:r>
    </w:p>
    <w:p w14:paraId="594A9CF0" w14:textId="77777777" w:rsidR="008057F8" w:rsidRPr="00D66245" w:rsidRDefault="008057F8" w:rsidP="008057F8">
      <w:pPr>
        <w:numPr>
          <w:ilvl w:val="0"/>
          <w:numId w:val="60"/>
        </w:numPr>
        <w:spacing w:before="120" w:after="200" w:line="240" w:lineRule="auto"/>
        <w:jc w:val="both"/>
        <w:rPr>
          <w:rFonts w:ascii="Palatino Linotype" w:hAnsi="Palatino Linotype"/>
          <w:bCs/>
        </w:rPr>
      </w:pPr>
      <w:r w:rsidRPr="00D66245">
        <w:rPr>
          <w:rFonts w:ascii="Palatino Linotype" w:hAnsi="Palatino Linotype"/>
          <w:bCs/>
        </w:rPr>
        <w:t>Los que declaran para la prensa y se ponen guapos. 5 minutos</w:t>
      </w:r>
    </w:p>
    <w:p w14:paraId="1E739442" w14:textId="77777777" w:rsidR="008057F8" w:rsidRPr="00D66245" w:rsidRDefault="008057F8" w:rsidP="008057F8">
      <w:pPr>
        <w:numPr>
          <w:ilvl w:val="0"/>
          <w:numId w:val="60"/>
        </w:numPr>
        <w:spacing w:before="120" w:after="200" w:line="240" w:lineRule="auto"/>
        <w:jc w:val="both"/>
        <w:rPr>
          <w:rFonts w:ascii="Palatino Linotype" w:hAnsi="Palatino Linotype"/>
          <w:bCs/>
        </w:rPr>
      </w:pPr>
      <w:r w:rsidRPr="00D66245">
        <w:rPr>
          <w:rFonts w:ascii="Palatino Linotype" w:hAnsi="Palatino Linotype"/>
          <w:bCs/>
        </w:rPr>
        <w:t>Los “simpáticos” o graciosos</w:t>
      </w:r>
    </w:p>
    <w:p w14:paraId="530B5F1F" w14:textId="77777777" w:rsidR="008057F8" w:rsidRPr="00D66245" w:rsidRDefault="008057F8" w:rsidP="008057F8">
      <w:pPr>
        <w:spacing w:before="120" w:after="200" w:line="240" w:lineRule="auto"/>
        <w:jc w:val="both"/>
        <w:rPr>
          <w:rFonts w:ascii="Palatino Linotype" w:hAnsi="Palatino Linotype"/>
          <w:b/>
        </w:rPr>
      </w:pPr>
      <w:bookmarkStart w:id="30" w:name="_Hlk3928795"/>
      <w:r w:rsidRPr="00D66245">
        <w:rPr>
          <w:rFonts w:ascii="Palatino Linotype" w:hAnsi="Palatino Linotype"/>
          <w:b/>
          <w:bCs/>
        </w:rPr>
        <w:t>21.- TÉCNICAS FRENTE A UN TESTIGO SOSPECHOSO</w:t>
      </w:r>
      <w:bookmarkEnd w:id="30"/>
    </w:p>
    <w:p w14:paraId="764D1C79"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Comprender que los testigos, pueden modificar  parte del conocimiento que poseen,  para protegerse o a conocidos.</w:t>
      </w:r>
    </w:p>
    <w:p w14:paraId="074A4399" w14:textId="77777777" w:rsidR="008057F8" w:rsidRPr="00D66245" w:rsidRDefault="008057F8" w:rsidP="008057F8">
      <w:pPr>
        <w:spacing w:before="120" w:after="200" w:line="240" w:lineRule="auto"/>
        <w:ind w:left="720"/>
        <w:jc w:val="both"/>
        <w:rPr>
          <w:rFonts w:ascii="Palatino Linotype" w:hAnsi="Palatino Linotype"/>
        </w:rPr>
      </w:pPr>
      <w:r w:rsidRPr="00D66245">
        <w:rPr>
          <w:rFonts w:ascii="Palatino Linotype" w:hAnsi="Palatino Linotype"/>
          <w:lang w:val="es-ES_tradnl"/>
        </w:rPr>
        <w:t xml:space="preserve">Por ejemplo: </w:t>
      </w:r>
    </w:p>
    <w:p w14:paraId="470FFEF3" w14:textId="77777777" w:rsidR="008057F8" w:rsidRPr="00D66245" w:rsidRDefault="008057F8" w:rsidP="008057F8">
      <w:pPr>
        <w:pStyle w:val="Prrafodelista"/>
        <w:numPr>
          <w:ilvl w:val="2"/>
          <w:numId w:val="60"/>
        </w:numPr>
        <w:spacing w:before="120" w:after="200" w:line="240" w:lineRule="auto"/>
        <w:contextualSpacing w:val="0"/>
        <w:jc w:val="both"/>
        <w:rPr>
          <w:rFonts w:ascii="Palatino Linotype" w:hAnsi="Palatino Linotype"/>
          <w:lang w:val="es-ES_tradnl"/>
        </w:rPr>
      </w:pPr>
      <w:r w:rsidRPr="00D66245">
        <w:rPr>
          <w:rFonts w:ascii="Palatino Linotype" w:hAnsi="Palatino Linotype"/>
          <w:lang w:val="es-ES_tradnl"/>
        </w:rPr>
        <w:t xml:space="preserve">Los de respuestas evasivas </w:t>
      </w:r>
    </w:p>
    <w:p w14:paraId="4BB49D39" w14:textId="77777777" w:rsidR="008057F8" w:rsidRPr="00D66245" w:rsidRDefault="008057F8" w:rsidP="008057F8">
      <w:pPr>
        <w:pStyle w:val="Prrafodelista"/>
        <w:numPr>
          <w:ilvl w:val="0"/>
          <w:numId w:val="64"/>
        </w:numPr>
        <w:spacing w:before="120" w:after="200" w:line="240" w:lineRule="auto"/>
        <w:contextualSpacing w:val="0"/>
        <w:jc w:val="both"/>
        <w:rPr>
          <w:rFonts w:ascii="Palatino Linotype" w:hAnsi="Palatino Linotype"/>
          <w:lang w:val="es-ES_tradnl"/>
        </w:rPr>
      </w:pPr>
      <w:r w:rsidRPr="00D66245">
        <w:rPr>
          <w:rFonts w:ascii="Palatino Linotype" w:hAnsi="Palatino Linotype"/>
          <w:lang w:val="es-ES_tradnl"/>
        </w:rPr>
        <w:t xml:space="preserve">Respuestas vagas </w:t>
      </w:r>
    </w:p>
    <w:p w14:paraId="6B007197" w14:textId="77777777" w:rsidR="008057F8" w:rsidRPr="00D66245" w:rsidRDefault="008057F8" w:rsidP="008057F8">
      <w:pPr>
        <w:pStyle w:val="Prrafodelista"/>
        <w:numPr>
          <w:ilvl w:val="0"/>
          <w:numId w:val="64"/>
        </w:numPr>
        <w:spacing w:before="120" w:after="200" w:line="240" w:lineRule="auto"/>
        <w:contextualSpacing w:val="0"/>
        <w:jc w:val="both"/>
        <w:rPr>
          <w:rFonts w:ascii="Palatino Linotype" w:hAnsi="Palatino Linotype"/>
          <w:lang w:val="es-ES_tradnl"/>
        </w:rPr>
      </w:pPr>
      <w:r w:rsidRPr="00D66245">
        <w:rPr>
          <w:rFonts w:ascii="Palatino Linotype" w:hAnsi="Palatino Linotype"/>
          <w:lang w:val="es-ES_tradnl"/>
        </w:rPr>
        <w:t xml:space="preserve">Remitir a otras fuentes </w:t>
      </w:r>
    </w:p>
    <w:p w14:paraId="0B129E8D" w14:textId="77777777" w:rsidR="008057F8" w:rsidRPr="00D66245" w:rsidRDefault="008057F8" w:rsidP="008057F8">
      <w:pPr>
        <w:pStyle w:val="Prrafodelista"/>
        <w:numPr>
          <w:ilvl w:val="0"/>
          <w:numId w:val="64"/>
        </w:numPr>
        <w:spacing w:before="120" w:after="200" w:line="240" w:lineRule="auto"/>
        <w:contextualSpacing w:val="0"/>
        <w:jc w:val="both"/>
        <w:rPr>
          <w:rFonts w:ascii="Palatino Linotype" w:hAnsi="Palatino Linotype"/>
        </w:rPr>
      </w:pPr>
      <w:r w:rsidRPr="00D66245">
        <w:rPr>
          <w:rFonts w:ascii="Palatino Linotype" w:hAnsi="Palatino Linotype"/>
          <w:lang w:val="es-ES_tradnl"/>
        </w:rPr>
        <w:lastRenderedPageBreak/>
        <w:t>Inconsistencias intencionales</w:t>
      </w:r>
    </w:p>
    <w:p w14:paraId="645941E4"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Apartar de la mente las respuestas complacientes y emotivas cuando el testigo las diga.</w:t>
      </w:r>
    </w:p>
    <w:p w14:paraId="4F41AA49"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 xml:space="preserve"> No enfurecerse al escucharlas </w:t>
      </w:r>
    </w:p>
    <w:p w14:paraId="252E7FEC"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Animar al deponente a declarar, pero no presionarlo.</w:t>
      </w:r>
    </w:p>
    <w:p w14:paraId="03EE4C91"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Denotar interés en lo que cuenta el testigo.</w:t>
      </w:r>
    </w:p>
    <w:p w14:paraId="67FC0342"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No darle a entender al deponente, que se porfía de su deposición.</w:t>
      </w:r>
    </w:p>
    <w:p w14:paraId="4A15D7BD"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Ante la hostilidad del testigo, tratar de reinstaurar la relación cordial cuando hay riesgo de perder el vínculo ya creado.</w:t>
      </w:r>
    </w:p>
    <w:p w14:paraId="4302428E"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lang w:val="es-ES_tradnl"/>
        </w:rPr>
        <w:t>Antes que usted trate de pedir información a un testigo, hay que estar seguro de que entendió lo que se le dijo.</w:t>
      </w:r>
    </w:p>
    <w:p w14:paraId="01E7F3B9" w14:textId="77777777" w:rsidR="008057F8" w:rsidRPr="00D66245" w:rsidRDefault="008057F8" w:rsidP="008057F8">
      <w:pPr>
        <w:spacing w:before="120" w:after="200" w:line="240" w:lineRule="auto"/>
        <w:jc w:val="both"/>
        <w:rPr>
          <w:rFonts w:ascii="Palatino Linotype" w:hAnsi="Palatino Linotype"/>
          <w:b/>
        </w:rPr>
      </w:pPr>
      <w:bookmarkStart w:id="31" w:name="_Hlk3928811"/>
      <w:r w:rsidRPr="00D66245">
        <w:rPr>
          <w:rFonts w:ascii="Palatino Linotype" w:hAnsi="Palatino Linotype"/>
          <w:b/>
          <w:bCs/>
          <w:lang w:val="es-MX"/>
        </w:rPr>
        <w:t>22.- TÉCNICAS PARA SACAR UN TESTIGO MENTIROSO</w:t>
      </w:r>
      <w:bookmarkEnd w:id="31"/>
    </w:p>
    <w:p w14:paraId="3A7DA7D8"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b/>
          <w:bCs/>
        </w:rPr>
        <w:t>Dislocación de la secuencia temporal del evento:</w:t>
      </w:r>
      <w:r w:rsidRPr="00D66245">
        <w:rPr>
          <w:rFonts w:ascii="Palatino Linotype" w:hAnsi="Palatino Linotype"/>
        </w:rPr>
        <w:t xml:space="preserve"> Por medio de preguntas, se avanza y se retrocede en el tiempo. </w:t>
      </w:r>
    </w:p>
    <w:p w14:paraId="019CE6B0" w14:textId="77777777" w:rsidR="008057F8" w:rsidRPr="00D66245" w:rsidRDefault="008057F8" w:rsidP="008057F8">
      <w:pPr>
        <w:pStyle w:val="Prrafodelista"/>
        <w:numPr>
          <w:ilvl w:val="0"/>
          <w:numId w:val="65"/>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 xml:space="preserve">Se abandona un punto y se vuelve al mismo más tarde. Con ello, se busca confundir a un deponente falso, que sólo maneja una versión lineal de los hechos. </w:t>
      </w:r>
    </w:p>
    <w:p w14:paraId="7B4A908D" w14:textId="77777777" w:rsidR="008057F8" w:rsidRPr="00D66245" w:rsidRDefault="008057F8" w:rsidP="008057F8">
      <w:pPr>
        <w:pStyle w:val="Prrafodelista"/>
        <w:numPr>
          <w:ilvl w:val="0"/>
          <w:numId w:val="65"/>
        </w:numPr>
        <w:spacing w:before="120" w:after="200" w:line="240" w:lineRule="auto"/>
        <w:ind w:left="1208" w:hanging="357"/>
        <w:contextualSpacing w:val="0"/>
        <w:jc w:val="both"/>
        <w:rPr>
          <w:rFonts w:ascii="Palatino Linotype" w:hAnsi="Palatino Linotype"/>
        </w:rPr>
      </w:pPr>
      <w:r w:rsidRPr="00D66245">
        <w:rPr>
          <w:rFonts w:ascii="Palatino Linotype" w:hAnsi="Palatino Linotype"/>
          <w:lang w:val="es-ES"/>
        </w:rPr>
        <w:t xml:space="preserve">Se pretende poner en entredicho la consistencia de un testimonio memorizado. </w:t>
      </w:r>
    </w:p>
    <w:p w14:paraId="76986E47"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b/>
          <w:bCs/>
        </w:rPr>
        <w:t>Relevamiento de detalles necesarios:</w:t>
      </w:r>
      <w:r w:rsidRPr="00D66245">
        <w:rPr>
          <w:rFonts w:ascii="Palatino Linotype" w:hAnsi="Palatino Linotype"/>
        </w:rPr>
        <w:t xml:space="preserve"> Se bombardea al testigo con preguntas acerca de los detalles secundarios. </w:t>
      </w:r>
    </w:p>
    <w:p w14:paraId="50CB8550" w14:textId="77777777" w:rsidR="008057F8" w:rsidRPr="00D66245" w:rsidRDefault="008057F8" w:rsidP="008057F8">
      <w:pPr>
        <w:numPr>
          <w:ilvl w:val="0"/>
          <w:numId w:val="60"/>
        </w:numPr>
        <w:spacing w:before="120" w:after="200" w:line="240" w:lineRule="auto"/>
        <w:ind w:left="1208" w:hanging="357"/>
        <w:jc w:val="both"/>
        <w:rPr>
          <w:rFonts w:ascii="Palatino Linotype" w:hAnsi="Palatino Linotype"/>
        </w:rPr>
      </w:pPr>
      <w:r w:rsidRPr="00D66245">
        <w:rPr>
          <w:rFonts w:ascii="Palatino Linotype" w:hAnsi="Palatino Linotype"/>
        </w:rPr>
        <w:t>El declarante que no los sepa o los confunda, suele quedar en evidencia.</w:t>
      </w:r>
    </w:p>
    <w:p w14:paraId="2AC64114" w14:textId="77777777" w:rsidR="008057F8" w:rsidRPr="00D66245" w:rsidRDefault="008057F8" w:rsidP="008057F8">
      <w:pPr>
        <w:numPr>
          <w:ilvl w:val="0"/>
          <w:numId w:val="60"/>
        </w:numPr>
        <w:spacing w:before="120" w:after="200" w:line="240" w:lineRule="auto"/>
        <w:ind w:left="1208" w:hanging="357"/>
        <w:jc w:val="both"/>
        <w:rPr>
          <w:rFonts w:ascii="Palatino Linotype" w:hAnsi="Palatino Linotype"/>
        </w:rPr>
      </w:pPr>
      <w:r w:rsidRPr="00D66245">
        <w:rPr>
          <w:rFonts w:ascii="Palatino Linotype" w:hAnsi="Palatino Linotype"/>
        </w:rPr>
        <w:t xml:space="preserve"> La idea, es mostrar que un testigo falso, tiene baja capacidad de expresar los abundantes detalles sensoriales que deja una experiencia real y tenga que acudir a detalles imaginarios y de origen interno.</w:t>
      </w:r>
    </w:p>
    <w:p w14:paraId="12BB6F24"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b/>
          <w:bCs/>
        </w:rPr>
        <w:lastRenderedPageBreak/>
        <w:t>Cambios de velocidad:</w:t>
      </w:r>
      <w:r w:rsidRPr="00D66245">
        <w:rPr>
          <w:rFonts w:ascii="Palatino Linotype" w:hAnsi="Palatino Linotype"/>
        </w:rPr>
        <w:t xml:space="preserve"> A la hora de lanzar las preguntas, existe un ritmo. Los testigos se toman un tiempo para estructurar su respuesta. </w:t>
      </w:r>
    </w:p>
    <w:p w14:paraId="3BA36782" w14:textId="77777777" w:rsidR="008057F8" w:rsidRPr="00D66245" w:rsidRDefault="008057F8" w:rsidP="008057F8">
      <w:pPr>
        <w:numPr>
          <w:ilvl w:val="0"/>
          <w:numId w:val="60"/>
        </w:numPr>
        <w:spacing w:before="120" w:after="200" w:line="240" w:lineRule="auto"/>
        <w:ind w:left="1208" w:hanging="357"/>
        <w:jc w:val="both"/>
        <w:rPr>
          <w:rFonts w:ascii="Palatino Linotype" w:hAnsi="Palatino Linotype"/>
        </w:rPr>
      </w:pPr>
      <w:r w:rsidRPr="00D66245">
        <w:rPr>
          <w:rFonts w:ascii="Palatino Linotype" w:hAnsi="Palatino Linotype"/>
        </w:rPr>
        <w:t xml:space="preserve">Conforme avanza el interrogatorio, se sube la velocidad a la que se plantean las preguntas. </w:t>
      </w:r>
    </w:p>
    <w:p w14:paraId="06C6BF3F" w14:textId="77777777" w:rsidR="008057F8" w:rsidRPr="00D66245" w:rsidRDefault="008057F8" w:rsidP="008057F8">
      <w:pPr>
        <w:numPr>
          <w:ilvl w:val="0"/>
          <w:numId w:val="60"/>
        </w:numPr>
        <w:spacing w:before="120" w:after="200" w:line="240" w:lineRule="auto"/>
        <w:ind w:left="1208" w:hanging="357"/>
        <w:jc w:val="both"/>
        <w:rPr>
          <w:rFonts w:ascii="Palatino Linotype" w:hAnsi="Palatino Linotype"/>
        </w:rPr>
      </w:pPr>
      <w:r w:rsidRPr="00D66245">
        <w:rPr>
          <w:rFonts w:ascii="Palatino Linotype" w:hAnsi="Palatino Linotype"/>
        </w:rPr>
        <w:t>Al acortar los tiempos, un testigo falso tiene una oportunidad mucho menor de inventar una respuesta falaz.</w:t>
      </w:r>
    </w:p>
    <w:p w14:paraId="11A37F46" w14:textId="77777777" w:rsidR="008057F8" w:rsidRPr="00D66245" w:rsidRDefault="008057F8" w:rsidP="008057F8">
      <w:pPr>
        <w:spacing w:before="120" w:after="200" w:line="240" w:lineRule="auto"/>
        <w:jc w:val="both"/>
        <w:rPr>
          <w:rFonts w:ascii="Palatino Linotype" w:hAnsi="Palatino Linotype"/>
          <w:b/>
        </w:rPr>
      </w:pPr>
      <w:bookmarkStart w:id="32" w:name="_Hlk3928829"/>
      <w:r w:rsidRPr="00D66245">
        <w:rPr>
          <w:rFonts w:ascii="Palatino Linotype" w:hAnsi="Palatino Linotype"/>
          <w:b/>
          <w:bCs/>
        </w:rPr>
        <w:t>23.- ERRORES MÁS COMUNES EN EL INTERROGATORIO DIRECTO</w:t>
      </w:r>
      <w:bookmarkEnd w:id="32"/>
    </w:p>
    <w:p w14:paraId="48565A6D"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No haber entrevistado previo al testigo o no “saber lo que sabe”</w:t>
      </w:r>
    </w:p>
    <w:p w14:paraId="33D7D1B4"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Afirmar en vez de interrogar</w:t>
      </w:r>
    </w:p>
    <w:p w14:paraId="7994B284"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Tener escritas y leer las preguntas</w:t>
      </w:r>
    </w:p>
    <w:p w14:paraId="589160C5"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Preguntar sin conocer la respuesta. Tenerla asegurada</w:t>
      </w:r>
    </w:p>
    <w:p w14:paraId="5C3A5848"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 xml:space="preserve">Repetir preguntar  </w:t>
      </w:r>
      <w:r w:rsidRPr="00D66245">
        <w:rPr>
          <w:rFonts w:ascii="Palatino Linotype" w:hAnsi="Palatino Linotype"/>
        </w:rPr>
        <w:tab/>
      </w:r>
    </w:p>
    <w:p w14:paraId="45599F84"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Olvidar temas claves</w:t>
      </w:r>
    </w:p>
    <w:p w14:paraId="1A49713C"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No mirar al interrogado</w:t>
      </w:r>
    </w:p>
    <w:p w14:paraId="0E89BBF4"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Preguntar para lo que no fue ofrecido</w:t>
      </w:r>
    </w:p>
    <w:p w14:paraId="54FC391C"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No emplear el tono de voz adecuado</w:t>
      </w:r>
    </w:p>
    <w:p w14:paraId="6B27CD39"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No parar a tiempo</w:t>
      </w:r>
    </w:p>
    <w:p w14:paraId="70F8ECAE"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No controlar al interrogado</w:t>
      </w:r>
    </w:p>
    <w:p w14:paraId="189CBB7C"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No protestar el rechazo de preguntas fundamentales. O reformular</w:t>
      </w:r>
    </w:p>
    <w:p w14:paraId="4FD149A8"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Desafiar al juez</w:t>
      </w:r>
    </w:p>
    <w:p w14:paraId="2B03820E"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Prestar poca atención a las respuestas</w:t>
      </w:r>
    </w:p>
    <w:p w14:paraId="40A12CA0"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Tutear al interrogado</w:t>
      </w:r>
    </w:p>
    <w:p w14:paraId="0239D24A" w14:textId="2F49943E" w:rsidR="008057F8"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Correr con el interrogatorio</w:t>
      </w:r>
    </w:p>
    <w:p w14:paraId="34C8EAFC" w14:textId="77777777" w:rsidR="00BE4897" w:rsidRPr="00D66245" w:rsidRDefault="00BE4897" w:rsidP="008057F8">
      <w:pPr>
        <w:numPr>
          <w:ilvl w:val="0"/>
          <w:numId w:val="60"/>
        </w:numPr>
        <w:spacing w:before="120" w:after="200" w:line="240" w:lineRule="auto"/>
        <w:jc w:val="both"/>
        <w:rPr>
          <w:rFonts w:ascii="Palatino Linotype" w:hAnsi="Palatino Linotype"/>
        </w:rPr>
      </w:pPr>
    </w:p>
    <w:p w14:paraId="7F452464" w14:textId="77777777" w:rsidR="008057F8" w:rsidRPr="00D66245" w:rsidRDefault="008057F8" w:rsidP="008057F8">
      <w:pPr>
        <w:spacing w:before="120" w:after="200" w:line="240" w:lineRule="auto"/>
        <w:jc w:val="both"/>
        <w:rPr>
          <w:rFonts w:ascii="Palatino Linotype" w:hAnsi="Palatino Linotype"/>
          <w:b/>
        </w:rPr>
      </w:pPr>
      <w:bookmarkStart w:id="33" w:name="_Hlk3928918"/>
      <w:bookmarkStart w:id="34" w:name="_Hlk3928873"/>
      <w:r w:rsidRPr="00D66245">
        <w:rPr>
          <w:rFonts w:ascii="Palatino Linotype" w:hAnsi="Palatino Linotype"/>
          <w:b/>
        </w:rPr>
        <w:lastRenderedPageBreak/>
        <w:t>24.- ESTRUCTURA GRAMATICAL DEL INTERROGATORIO</w:t>
      </w:r>
      <w:bookmarkEnd w:id="33"/>
    </w:p>
    <w:bookmarkEnd w:id="34"/>
    <w:p w14:paraId="1A92036C" w14:textId="77777777" w:rsidR="008057F8" w:rsidRPr="00D66245" w:rsidRDefault="008057F8" w:rsidP="008057F8">
      <w:pPr>
        <w:spacing w:before="120" w:after="200" w:line="240" w:lineRule="auto"/>
        <w:ind w:firstLine="360"/>
        <w:jc w:val="both"/>
        <w:rPr>
          <w:rFonts w:ascii="Palatino Linotype" w:hAnsi="Palatino Linotype"/>
          <w:b/>
        </w:rPr>
      </w:pPr>
      <w:r w:rsidRPr="00D66245">
        <w:rPr>
          <w:rFonts w:ascii="Palatino Linotype" w:hAnsi="Palatino Linotype"/>
          <w:b/>
          <w:bCs/>
        </w:rPr>
        <w:t xml:space="preserve">Preguntas con pronombres interrogativos al inicio: </w:t>
      </w:r>
    </w:p>
    <w:p w14:paraId="6E9A10C9"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 xml:space="preserve">La estructura gramatical es más sencilla </w:t>
      </w:r>
    </w:p>
    <w:p w14:paraId="2782E4F5"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Es más amplia y puede dar pie a que la respuesta sea imprecisa</w:t>
      </w:r>
    </w:p>
    <w:p w14:paraId="6396613F" w14:textId="77777777" w:rsidR="008057F8" w:rsidRPr="00D66245" w:rsidRDefault="008057F8" w:rsidP="008057F8">
      <w:pPr>
        <w:numPr>
          <w:ilvl w:val="1"/>
          <w:numId w:val="60"/>
        </w:numPr>
        <w:spacing w:before="120" w:after="200" w:line="240" w:lineRule="auto"/>
        <w:jc w:val="both"/>
        <w:rPr>
          <w:rFonts w:ascii="Palatino Linotype" w:hAnsi="Palatino Linotype"/>
        </w:rPr>
      </w:pPr>
      <w:r w:rsidRPr="00D66245">
        <w:rPr>
          <w:rFonts w:ascii="Palatino Linotype" w:hAnsi="Palatino Linotype"/>
        </w:rPr>
        <w:t xml:space="preserve">¿Qué hizo usted con la propiedad?   </w:t>
      </w:r>
    </w:p>
    <w:p w14:paraId="1B1D8A5A" w14:textId="77777777" w:rsidR="008057F8" w:rsidRPr="00D66245" w:rsidRDefault="008057F8" w:rsidP="008057F8">
      <w:pPr>
        <w:numPr>
          <w:ilvl w:val="1"/>
          <w:numId w:val="60"/>
        </w:numPr>
        <w:spacing w:before="120" w:after="200" w:line="240" w:lineRule="auto"/>
        <w:jc w:val="both"/>
        <w:rPr>
          <w:rFonts w:ascii="Palatino Linotype" w:hAnsi="Palatino Linotype"/>
        </w:rPr>
      </w:pPr>
      <w:r w:rsidRPr="00D66245">
        <w:rPr>
          <w:rFonts w:ascii="Palatino Linotype" w:hAnsi="Palatino Linotype"/>
        </w:rPr>
        <w:t>¿Quién firmó el contrato por su compañía?</w:t>
      </w:r>
    </w:p>
    <w:p w14:paraId="575157B7" w14:textId="77777777" w:rsidR="008057F8" w:rsidRPr="00D66245" w:rsidRDefault="008057F8" w:rsidP="008057F8">
      <w:pPr>
        <w:numPr>
          <w:ilvl w:val="1"/>
          <w:numId w:val="60"/>
        </w:numPr>
        <w:spacing w:before="120" w:after="200" w:line="240" w:lineRule="auto"/>
        <w:jc w:val="both"/>
        <w:rPr>
          <w:rFonts w:ascii="Palatino Linotype" w:hAnsi="Palatino Linotype"/>
        </w:rPr>
      </w:pPr>
      <w:r w:rsidRPr="00D66245">
        <w:rPr>
          <w:rFonts w:ascii="Palatino Linotype" w:hAnsi="Palatino Linotype"/>
        </w:rPr>
        <w:t>(qué, cómo, cuándo, dónde, quién, quiénes. Explique. Describa)</w:t>
      </w:r>
    </w:p>
    <w:p w14:paraId="669EEA16" w14:textId="77777777" w:rsidR="008057F8" w:rsidRPr="00D66245" w:rsidRDefault="008057F8" w:rsidP="008057F8">
      <w:pPr>
        <w:spacing w:before="120" w:after="200" w:line="240" w:lineRule="auto"/>
        <w:ind w:firstLine="360"/>
        <w:jc w:val="both"/>
        <w:rPr>
          <w:rFonts w:ascii="Palatino Linotype" w:hAnsi="Palatino Linotype"/>
          <w:b/>
        </w:rPr>
      </w:pPr>
      <w:r w:rsidRPr="00D66245">
        <w:rPr>
          <w:rFonts w:ascii="Palatino Linotype" w:hAnsi="Palatino Linotype"/>
          <w:b/>
          <w:bCs/>
        </w:rPr>
        <w:t>Preguntas con oraciones afirmativas:</w:t>
      </w:r>
    </w:p>
    <w:p w14:paraId="79872954"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Movilizar el verbo al inicio.</w:t>
      </w:r>
    </w:p>
    <w:p w14:paraId="51496577"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Es más específica: de sí o no -cerrada-</w:t>
      </w:r>
    </w:p>
    <w:p w14:paraId="07C65A14"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 xml:space="preserve">Estructura sintáctica: Verbo, sujeto y complemento(s) </w:t>
      </w:r>
      <w:r w:rsidRPr="00D66245">
        <w:rPr>
          <w:rFonts w:ascii="Palatino Linotype" w:hAnsi="Palatino Linotype"/>
        </w:rPr>
        <w:tab/>
      </w:r>
    </w:p>
    <w:p w14:paraId="5F7A6E8E"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Asegura claridad, concisión y sencillez</w:t>
      </w:r>
    </w:p>
    <w:p w14:paraId="76F02DC0" w14:textId="77777777" w:rsidR="008057F8" w:rsidRPr="00D66245" w:rsidRDefault="008057F8" w:rsidP="008057F8">
      <w:pPr>
        <w:spacing w:before="120" w:after="200" w:line="240" w:lineRule="auto"/>
        <w:ind w:left="720"/>
        <w:jc w:val="both"/>
        <w:rPr>
          <w:rFonts w:ascii="Palatino Linotype" w:hAnsi="Palatino Linotype"/>
          <w:b/>
        </w:rPr>
      </w:pPr>
      <w:r w:rsidRPr="00D66245">
        <w:rPr>
          <w:rFonts w:ascii="Palatino Linotype" w:hAnsi="Palatino Linotype"/>
          <w:bCs/>
        </w:rPr>
        <w:t>Ejemplo:</w:t>
      </w:r>
    </w:p>
    <w:p w14:paraId="77181BBA" w14:textId="77777777" w:rsidR="008057F8" w:rsidRPr="00D66245" w:rsidRDefault="008057F8" w:rsidP="008057F8">
      <w:pPr>
        <w:pStyle w:val="Prrafodelista"/>
        <w:numPr>
          <w:ilvl w:val="0"/>
          <w:numId w:val="77"/>
        </w:numPr>
        <w:spacing w:before="120" w:after="200" w:line="240" w:lineRule="auto"/>
        <w:ind w:left="1208" w:hanging="357"/>
        <w:contextualSpacing w:val="0"/>
        <w:jc w:val="both"/>
        <w:rPr>
          <w:rFonts w:ascii="Palatino Linotype" w:hAnsi="Palatino Linotype"/>
        </w:rPr>
      </w:pPr>
      <w:r w:rsidRPr="00D66245">
        <w:rPr>
          <w:rFonts w:ascii="Palatino Linotype" w:hAnsi="Palatino Linotype"/>
        </w:rPr>
        <w:t xml:space="preserve">¿Vendió usted la propiedad?  </w:t>
      </w:r>
    </w:p>
    <w:p w14:paraId="72ECADDF" w14:textId="77777777" w:rsidR="008057F8" w:rsidRPr="00D66245" w:rsidRDefault="008057F8" w:rsidP="008057F8">
      <w:pPr>
        <w:pStyle w:val="Prrafodelista"/>
        <w:numPr>
          <w:ilvl w:val="0"/>
          <w:numId w:val="77"/>
        </w:numPr>
        <w:spacing w:before="120" w:after="200" w:line="240" w:lineRule="auto"/>
        <w:ind w:left="1208" w:hanging="357"/>
        <w:contextualSpacing w:val="0"/>
        <w:jc w:val="both"/>
        <w:rPr>
          <w:rFonts w:ascii="Palatino Linotype" w:hAnsi="Palatino Linotype"/>
        </w:rPr>
      </w:pPr>
      <w:r w:rsidRPr="00D66245">
        <w:rPr>
          <w:rFonts w:ascii="Palatino Linotype" w:hAnsi="Palatino Linotype"/>
        </w:rPr>
        <w:t xml:space="preserve">¿Ordenó usted correr la cerca?  </w:t>
      </w:r>
    </w:p>
    <w:p w14:paraId="7CD7353A" w14:textId="77777777" w:rsidR="008057F8" w:rsidRPr="00D66245" w:rsidRDefault="008057F8" w:rsidP="008057F8">
      <w:pPr>
        <w:pStyle w:val="Prrafodelista"/>
        <w:numPr>
          <w:ilvl w:val="0"/>
          <w:numId w:val="77"/>
        </w:numPr>
        <w:spacing w:before="120" w:after="200" w:line="240" w:lineRule="auto"/>
        <w:ind w:left="1208" w:hanging="357"/>
        <w:contextualSpacing w:val="0"/>
        <w:jc w:val="both"/>
        <w:rPr>
          <w:rFonts w:ascii="Palatino Linotype" w:hAnsi="Palatino Linotype"/>
          <w:b/>
        </w:rPr>
      </w:pPr>
      <w:r w:rsidRPr="00D66245">
        <w:rPr>
          <w:rFonts w:ascii="Palatino Linotype" w:hAnsi="Palatino Linotype"/>
        </w:rPr>
        <w:t xml:space="preserve">Vio – Se enteró – oyó – etc. </w:t>
      </w:r>
    </w:p>
    <w:p w14:paraId="6721DD97" w14:textId="77777777" w:rsidR="008057F8" w:rsidRPr="00D66245" w:rsidRDefault="008057F8" w:rsidP="008057F8">
      <w:pPr>
        <w:spacing w:before="120" w:after="200" w:line="240" w:lineRule="auto"/>
        <w:ind w:firstLine="360"/>
        <w:jc w:val="both"/>
        <w:rPr>
          <w:rFonts w:ascii="Palatino Linotype" w:hAnsi="Palatino Linotype"/>
          <w:b/>
        </w:rPr>
      </w:pPr>
      <w:r w:rsidRPr="00D66245">
        <w:rPr>
          <w:rFonts w:ascii="Palatino Linotype" w:hAnsi="Palatino Linotype"/>
          <w:b/>
        </w:rPr>
        <w:t>El interrogatorio ideal debe combinar ambas formas</w:t>
      </w:r>
    </w:p>
    <w:p w14:paraId="193EDCE0"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 xml:space="preserve">Ser progresiva-cronológico </w:t>
      </w:r>
    </w:p>
    <w:p w14:paraId="1BAC29E3" w14:textId="77777777" w:rsidR="008057F8" w:rsidRPr="00D66245" w:rsidRDefault="008057F8" w:rsidP="008057F8">
      <w:pPr>
        <w:numPr>
          <w:ilvl w:val="0"/>
          <w:numId w:val="60"/>
        </w:numPr>
        <w:spacing w:before="120" w:after="200" w:line="240" w:lineRule="auto"/>
        <w:jc w:val="both"/>
        <w:rPr>
          <w:rFonts w:ascii="Palatino Linotype" w:hAnsi="Palatino Linotype"/>
        </w:rPr>
      </w:pPr>
      <w:r w:rsidRPr="00D66245">
        <w:rPr>
          <w:rFonts w:ascii="Palatino Linotype" w:hAnsi="Palatino Linotype"/>
        </w:rPr>
        <w:t>De temas generales a particulares:</w:t>
      </w:r>
    </w:p>
    <w:p w14:paraId="36CF98E5" w14:textId="77777777" w:rsidR="008057F8" w:rsidRPr="00D66245" w:rsidRDefault="008057F8" w:rsidP="008057F8">
      <w:pPr>
        <w:spacing w:before="120" w:after="200" w:line="240" w:lineRule="auto"/>
        <w:ind w:left="360" w:firstLine="348"/>
        <w:jc w:val="both"/>
        <w:rPr>
          <w:rFonts w:ascii="Palatino Linotype" w:hAnsi="Palatino Linotype"/>
        </w:rPr>
      </w:pPr>
      <w:r w:rsidRPr="00D66245">
        <w:rPr>
          <w:rFonts w:ascii="Palatino Linotype" w:hAnsi="Palatino Linotype"/>
        </w:rPr>
        <w:t>Ejemplos:</w:t>
      </w:r>
    </w:p>
    <w:p w14:paraId="55296235" w14:textId="77777777" w:rsidR="008057F8" w:rsidRPr="00D66245" w:rsidRDefault="008057F8" w:rsidP="008057F8">
      <w:pPr>
        <w:numPr>
          <w:ilvl w:val="0"/>
          <w:numId w:val="60"/>
        </w:numPr>
        <w:spacing w:before="120" w:after="200" w:line="240" w:lineRule="auto"/>
        <w:ind w:left="1208" w:hanging="357"/>
        <w:jc w:val="both"/>
        <w:rPr>
          <w:rFonts w:ascii="Palatino Linotype" w:hAnsi="Palatino Linotype"/>
        </w:rPr>
      </w:pPr>
      <w:r w:rsidRPr="00D66245">
        <w:rPr>
          <w:rFonts w:ascii="Palatino Linotype" w:hAnsi="Palatino Linotype"/>
        </w:rPr>
        <w:t xml:space="preserve">¿Para qué era el crédito que solicitó? </w:t>
      </w:r>
    </w:p>
    <w:p w14:paraId="2FA95D01" w14:textId="77777777" w:rsidR="008057F8" w:rsidRPr="00D66245" w:rsidRDefault="008057F8" w:rsidP="008057F8">
      <w:pPr>
        <w:numPr>
          <w:ilvl w:val="0"/>
          <w:numId w:val="60"/>
        </w:numPr>
        <w:spacing w:before="120" w:after="200" w:line="240" w:lineRule="auto"/>
        <w:ind w:left="1208" w:hanging="357"/>
        <w:jc w:val="both"/>
        <w:rPr>
          <w:rFonts w:ascii="Palatino Linotype" w:hAnsi="Palatino Linotype"/>
        </w:rPr>
      </w:pPr>
      <w:r w:rsidRPr="00D66245">
        <w:rPr>
          <w:rFonts w:ascii="Palatino Linotype" w:hAnsi="Palatino Linotype"/>
        </w:rPr>
        <w:t xml:space="preserve">¿Solicitó usted un crédito para compra de vehículo? </w:t>
      </w:r>
    </w:p>
    <w:p w14:paraId="0F61A95C" w14:textId="77777777" w:rsidR="008057F8" w:rsidRPr="00D66245" w:rsidRDefault="008057F8" w:rsidP="008057F8">
      <w:pPr>
        <w:numPr>
          <w:ilvl w:val="0"/>
          <w:numId w:val="60"/>
        </w:numPr>
        <w:spacing w:before="120" w:after="200" w:line="240" w:lineRule="auto"/>
        <w:ind w:left="1208" w:hanging="357"/>
        <w:jc w:val="both"/>
        <w:rPr>
          <w:rFonts w:ascii="Palatino Linotype" w:hAnsi="Palatino Linotype"/>
        </w:rPr>
      </w:pPr>
      <w:r w:rsidRPr="00D66245">
        <w:rPr>
          <w:rFonts w:ascii="Palatino Linotype" w:hAnsi="Palatino Linotype"/>
        </w:rPr>
        <w:lastRenderedPageBreak/>
        <w:t>¿Usó usted también el crédito para ir a Rusia al Mundial de futbol?</w:t>
      </w:r>
    </w:p>
    <w:p w14:paraId="30AAF887" w14:textId="77777777" w:rsidR="008057F8" w:rsidRPr="00D66245" w:rsidRDefault="008057F8" w:rsidP="008057F8">
      <w:pPr>
        <w:spacing w:before="120" w:after="200" w:line="240" w:lineRule="auto"/>
        <w:jc w:val="both"/>
        <w:rPr>
          <w:rFonts w:ascii="Palatino Linotype" w:hAnsi="Palatino Linotype"/>
          <w:b/>
        </w:rPr>
      </w:pPr>
      <w:bookmarkStart w:id="35" w:name="_Hlk3928936"/>
      <w:r w:rsidRPr="00D66245">
        <w:rPr>
          <w:rFonts w:ascii="Palatino Linotype" w:hAnsi="Palatino Linotype"/>
          <w:b/>
        </w:rPr>
        <w:t>25.- LA VOZ EN LA SALA DE AUDIENCIAS</w:t>
      </w:r>
      <w:bookmarkEnd w:id="35"/>
    </w:p>
    <w:p w14:paraId="2A0D1F2C"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b/>
          <w:bCs/>
          <w:lang w:val="es-MX"/>
        </w:rPr>
        <w:t xml:space="preserve">Volumen y tono de la voz:  </w:t>
      </w:r>
    </w:p>
    <w:p w14:paraId="5471A370"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Cs/>
          <w:lang w:val="es-MX"/>
        </w:rPr>
        <w:t xml:space="preserve">   </w:t>
      </w:r>
      <w:r w:rsidRPr="00D66245">
        <w:rPr>
          <w:rFonts w:ascii="Palatino Linotype" w:hAnsi="Palatino Linotype"/>
          <w:bCs/>
          <w:lang w:val="es-MX"/>
        </w:rPr>
        <w:tab/>
      </w:r>
      <w:r w:rsidRPr="00D66245">
        <w:rPr>
          <w:rFonts w:ascii="Palatino Linotype" w:hAnsi="Palatino Linotype"/>
          <w:b/>
          <w:bCs/>
          <w:lang w:val="es-MX"/>
        </w:rPr>
        <w:t>a)</w:t>
      </w:r>
      <w:r w:rsidRPr="00D66245">
        <w:rPr>
          <w:rFonts w:ascii="Palatino Linotype" w:hAnsi="Palatino Linotype"/>
          <w:bCs/>
          <w:lang w:val="es-MX"/>
        </w:rPr>
        <w:t xml:space="preserve"> </w:t>
      </w:r>
      <w:r w:rsidRPr="00D66245">
        <w:rPr>
          <w:rFonts w:ascii="Palatino Linotype" w:hAnsi="Palatino Linotype"/>
          <w:lang w:val="es-MX"/>
        </w:rPr>
        <w:t>El aire con fuerza</w:t>
      </w:r>
    </w:p>
    <w:p w14:paraId="2697F254"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Cs/>
          <w:lang w:val="es-MX"/>
        </w:rPr>
        <w:t xml:space="preserve"> </w:t>
      </w:r>
      <w:r w:rsidRPr="00D66245">
        <w:rPr>
          <w:rFonts w:ascii="Palatino Linotype" w:hAnsi="Palatino Linotype"/>
          <w:bCs/>
          <w:lang w:val="es-MX"/>
        </w:rPr>
        <w:tab/>
      </w:r>
      <w:r w:rsidRPr="00D66245">
        <w:rPr>
          <w:rFonts w:ascii="Palatino Linotype" w:hAnsi="Palatino Linotype"/>
          <w:b/>
          <w:bCs/>
          <w:lang w:val="es-MX"/>
        </w:rPr>
        <w:t>b)</w:t>
      </w:r>
      <w:r w:rsidRPr="00D66245">
        <w:rPr>
          <w:rFonts w:ascii="Palatino Linotype" w:hAnsi="Palatino Linotype"/>
          <w:lang w:val="es-MX"/>
        </w:rPr>
        <w:t xml:space="preserve"> Use la boca</w:t>
      </w:r>
    </w:p>
    <w:p w14:paraId="2E3856E9"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Cs/>
          <w:lang w:val="es-MX"/>
        </w:rPr>
        <w:tab/>
      </w:r>
      <w:r w:rsidRPr="00D66245">
        <w:rPr>
          <w:rFonts w:ascii="Palatino Linotype" w:hAnsi="Palatino Linotype"/>
          <w:b/>
          <w:bCs/>
          <w:lang w:val="es-MX"/>
        </w:rPr>
        <w:t>c)</w:t>
      </w:r>
      <w:r w:rsidRPr="00D66245">
        <w:rPr>
          <w:rFonts w:ascii="Palatino Linotype" w:hAnsi="Palatino Linotype"/>
          <w:lang w:val="es-MX"/>
        </w:rPr>
        <w:t xml:space="preserve"> No grite, no susurre</w:t>
      </w:r>
    </w:p>
    <w:p w14:paraId="426AECAE"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Cs/>
          <w:lang w:val="es-MX"/>
        </w:rPr>
        <w:tab/>
      </w:r>
      <w:r w:rsidRPr="00D66245">
        <w:rPr>
          <w:rFonts w:ascii="Palatino Linotype" w:hAnsi="Palatino Linotype"/>
          <w:b/>
          <w:bCs/>
          <w:lang w:val="es-MX"/>
        </w:rPr>
        <w:t>d)</w:t>
      </w:r>
      <w:r w:rsidRPr="00D66245">
        <w:rPr>
          <w:rFonts w:ascii="Palatino Linotype" w:hAnsi="Palatino Linotype"/>
          <w:bCs/>
          <w:lang w:val="es-MX"/>
        </w:rPr>
        <w:t xml:space="preserve"> </w:t>
      </w:r>
      <w:r w:rsidRPr="00D66245">
        <w:rPr>
          <w:rFonts w:ascii="Palatino Linotype" w:hAnsi="Palatino Linotype"/>
          <w:lang w:val="es-MX"/>
        </w:rPr>
        <w:t>La intensidad de la voz</w:t>
      </w:r>
    </w:p>
    <w:p w14:paraId="1B06A65B"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b/>
          <w:bCs/>
          <w:lang w:val="es-MX"/>
        </w:rPr>
        <w:t xml:space="preserve">Velocidad: </w:t>
      </w:r>
    </w:p>
    <w:p w14:paraId="6928AE0C"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Cs/>
          <w:lang w:val="es-MX"/>
        </w:rPr>
        <w:tab/>
      </w:r>
      <w:r w:rsidRPr="00D66245">
        <w:rPr>
          <w:rFonts w:ascii="Palatino Linotype" w:hAnsi="Palatino Linotype"/>
          <w:b/>
          <w:bCs/>
          <w:lang w:val="es-MX"/>
        </w:rPr>
        <w:t>a)</w:t>
      </w:r>
      <w:r w:rsidRPr="00D66245">
        <w:rPr>
          <w:rFonts w:ascii="Palatino Linotype" w:hAnsi="Palatino Linotype"/>
          <w:lang w:val="es-MX"/>
        </w:rPr>
        <w:t xml:space="preserve"> No corra</w:t>
      </w:r>
    </w:p>
    <w:p w14:paraId="58A9FD04"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Cs/>
          <w:lang w:val="es-MX"/>
        </w:rPr>
        <w:tab/>
      </w:r>
      <w:r w:rsidRPr="00D66245">
        <w:rPr>
          <w:rFonts w:ascii="Palatino Linotype" w:hAnsi="Palatino Linotype"/>
          <w:b/>
          <w:bCs/>
          <w:lang w:val="es-MX"/>
        </w:rPr>
        <w:t>b)</w:t>
      </w:r>
      <w:r w:rsidRPr="00D66245">
        <w:rPr>
          <w:rFonts w:ascii="Palatino Linotype" w:hAnsi="Palatino Linotype"/>
          <w:lang w:val="es-MX"/>
        </w:rPr>
        <w:t xml:space="preserve"> Valor óptimo es de 150 a 185 palabras por minuto</w:t>
      </w:r>
    </w:p>
    <w:p w14:paraId="0C5C698F"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b/>
          <w:bCs/>
          <w:lang w:val="es-MX"/>
        </w:rPr>
        <w:t>Ritmo y pausas:</w:t>
      </w:r>
    </w:p>
    <w:p w14:paraId="504A4407"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Cs/>
          <w:lang w:val="es-MX"/>
        </w:rPr>
        <w:tab/>
      </w:r>
      <w:r w:rsidRPr="00D66245">
        <w:rPr>
          <w:rFonts w:ascii="Palatino Linotype" w:hAnsi="Palatino Linotype"/>
          <w:b/>
          <w:bCs/>
          <w:lang w:val="es-MX"/>
        </w:rPr>
        <w:t>a)</w:t>
      </w:r>
      <w:r w:rsidRPr="00D66245">
        <w:rPr>
          <w:rFonts w:ascii="Palatino Linotype" w:hAnsi="Palatino Linotype"/>
          <w:bCs/>
          <w:lang w:val="es-MX"/>
        </w:rPr>
        <w:t xml:space="preserve"> </w:t>
      </w:r>
      <w:r w:rsidRPr="00D66245">
        <w:rPr>
          <w:rFonts w:ascii="Palatino Linotype" w:hAnsi="Palatino Linotype"/>
          <w:lang w:val="es-MX"/>
        </w:rPr>
        <w:t>Pausas y recesos</w:t>
      </w:r>
    </w:p>
    <w:p w14:paraId="4C209968"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Cs/>
          <w:lang w:val="es-MX"/>
        </w:rPr>
        <w:tab/>
      </w:r>
      <w:r w:rsidRPr="00D66245">
        <w:rPr>
          <w:rFonts w:ascii="Palatino Linotype" w:hAnsi="Palatino Linotype"/>
          <w:b/>
          <w:bCs/>
          <w:lang w:val="es-MX"/>
        </w:rPr>
        <w:t>b)</w:t>
      </w:r>
      <w:r w:rsidRPr="00D66245">
        <w:rPr>
          <w:rFonts w:ascii="Palatino Linotype" w:hAnsi="Palatino Linotype"/>
          <w:lang w:val="es-MX"/>
        </w:rPr>
        <w:t xml:space="preserve"> Varían de longitud y frecuencia</w:t>
      </w:r>
    </w:p>
    <w:p w14:paraId="19AA14F5" w14:textId="77777777" w:rsidR="008057F8" w:rsidRPr="00D66245" w:rsidRDefault="008057F8" w:rsidP="008057F8">
      <w:pPr>
        <w:spacing w:before="120" w:after="200" w:line="240" w:lineRule="auto"/>
        <w:jc w:val="both"/>
        <w:rPr>
          <w:rFonts w:ascii="Palatino Linotype" w:hAnsi="Palatino Linotype"/>
        </w:rPr>
      </w:pPr>
      <w:r w:rsidRPr="00D66245">
        <w:rPr>
          <w:rFonts w:ascii="Palatino Linotype" w:hAnsi="Palatino Linotype"/>
          <w:bCs/>
          <w:lang w:val="es-MX"/>
        </w:rPr>
        <w:tab/>
      </w:r>
      <w:r w:rsidRPr="00D66245">
        <w:rPr>
          <w:rFonts w:ascii="Palatino Linotype" w:hAnsi="Palatino Linotype"/>
          <w:b/>
          <w:bCs/>
          <w:lang w:val="es-MX"/>
        </w:rPr>
        <w:t>c)</w:t>
      </w:r>
      <w:r w:rsidRPr="00D66245">
        <w:rPr>
          <w:rFonts w:ascii="Palatino Linotype" w:hAnsi="Palatino Linotype"/>
          <w:lang w:val="es-MX"/>
        </w:rPr>
        <w:t xml:space="preserve"> Un buen orador las controla y usa para crear impacto</w:t>
      </w:r>
    </w:p>
    <w:p w14:paraId="2CF2BD3E" w14:textId="77777777" w:rsidR="008057F8" w:rsidRPr="00D66245" w:rsidRDefault="008057F8" w:rsidP="008057F8">
      <w:pPr>
        <w:spacing w:before="120" w:after="200" w:line="240" w:lineRule="auto"/>
        <w:jc w:val="both"/>
        <w:rPr>
          <w:rFonts w:ascii="Palatino Linotype" w:hAnsi="Palatino Linotype"/>
          <w:b/>
        </w:rPr>
      </w:pPr>
      <w:r w:rsidRPr="00D66245">
        <w:rPr>
          <w:rFonts w:ascii="Palatino Linotype" w:hAnsi="Palatino Linotype"/>
          <w:b/>
          <w:bCs/>
          <w:lang w:val="es-MX"/>
        </w:rPr>
        <w:t xml:space="preserve">Énfasis, entonación y dinamismo </w:t>
      </w:r>
    </w:p>
    <w:p w14:paraId="7752BCE0" w14:textId="77777777" w:rsidR="008057F8" w:rsidRPr="00D66245" w:rsidRDefault="008057F8" w:rsidP="008057F8">
      <w:pPr>
        <w:spacing w:before="120" w:after="200" w:line="240" w:lineRule="auto"/>
        <w:ind w:left="708"/>
        <w:jc w:val="both"/>
        <w:rPr>
          <w:rFonts w:ascii="Palatino Linotype" w:hAnsi="Palatino Linotype"/>
        </w:rPr>
      </w:pPr>
      <w:r w:rsidRPr="00D66245">
        <w:rPr>
          <w:rFonts w:ascii="Palatino Linotype" w:hAnsi="Palatino Linotype"/>
          <w:b/>
          <w:bCs/>
          <w:lang w:val="es-MX"/>
        </w:rPr>
        <w:t>a)</w:t>
      </w:r>
      <w:r w:rsidRPr="00D66245">
        <w:rPr>
          <w:rFonts w:ascii="Palatino Linotype" w:hAnsi="Palatino Linotype"/>
          <w:bCs/>
          <w:lang w:val="es-MX"/>
        </w:rPr>
        <w:t xml:space="preserve"> </w:t>
      </w:r>
      <w:r w:rsidRPr="00D66245">
        <w:rPr>
          <w:rFonts w:ascii="Palatino Linotype" w:hAnsi="Palatino Linotype"/>
          <w:lang w:val="es-MX"/>
        </w:rPr>
        <w:t>Destacar las palabras claves e ideas principales</w:t>
      </w:r>
    </w:p>
    <w:p w14:paraId="3C24D6E9" w14:textId="77777777" w:rsidR="008057F8" w:rsidRPr="00D66245" w:rsidRDefault="008057F8" w:rsidP="008057F8">
      <w:pPr>
        <w:spacing w:before="120" w:after="200" w:line="240" w:lineRule="auto"/>
        <w:ind w:left="708"/>
        <w:jc w:val="both"/>
        <w:rPr>
          <w:rFonts w:ascii="Palatino Linotype" w:hAnsi="Palatino Linotype"/>
        </w:rPr>
      </w:pPr>
      <w:r w:rsidRPr="00D66245">
        <w:rPr>
          <w:rFonts w:ascii="Palatino Linotype" w:hAnsi="Palatino Linotype"/>
          <w:b/>
          <w:bCs/>
          <w:lang w:val="es-MX"/>
        </w:rPr>
        <w:t>b)</w:t>
      </w:r>
      <w:r w:rsidRPr="00D66245">
        <w:rPr>
          <w:rFonts w:ascii="Palatino Linotype" w:hAnsi="Palatino Linotype"/>
          <w:lang w:val="es-MX"/>
        </w:rPr>
        <w:t xml:space="preserve"> Pausas y énfasis en palabras claves destaca conceptos</w:t>
      </w:r>
    </w:p>
    <w:p w14:paraId="6C557418" w14:textId="19BF6913" w:rsidR="008057F8" w:rsidRPr="00D66245" w:rsidRDefault="008057F8" w:rsidP="008057F8">
      <w:pPr>
        <w:spacing w:before="120" w:after="200" w:line="240" w:lineRule="auto"/>
        <w:ind w:left="708"/>
        <w:jc w:val="both"/>
        <w:rPr>
          <w:rFonts w:ascii="Palatino Linotype" w:hAnsi="Palatino Linotype"/>
          <w:lang w:val="es-MX"/>
        </w:rPr>
      </w:pPr>
      <w:r w:rsidRPr="00D66245">
        <w:rPr>
          <w:rFonts w:ascii="Palatino Linotype" w:hAnsi="Palatino Linotype"/>
          <w:b/>
          <w:bCs/>
          <w:lang w:val="es-MX"/>
        </w:rPr>
        <w:t>c)</w:t>
      </w:r>
      <w:r w:rsidRPr="00D66245">
        <w:rPr>
          <w:rFonts w:ascii="Palatino Linotype" w:hAnsi="Palatino Linotype"/>
          <w:lang w:val="es-MX"/>
        </w:rPr>
        <w:t xml:space="preserve"> Cambiar el volumen, tono o patronos de pausas</w:t>
      </w:r>
    </w:p>
    <w:p w14:paraId="5F2EB6D9" w14:textId="77777777" w:rsidR="00BE6A34" w:rsidRPr="00D66245" w:rsidRDefault="00BE6A34" w:rsidP="008057F8">
      <w:pPr>
        <w:spacing w:before="120" w:after="200" w:line="240" w:lineRule="auto"/>
        <w:ind w:left="708"/>
        <w:jc w:val="both"/>
        <w:rPr>
          <w:rFonts w:ascii="Palatino Linotype" w:hAnsi="Palatino Linotype"/>
        </w:rPr>
      </w:pPr>
    </w:p>
    <w:p w14:paraId="2553B98D" w14:textId="77777777" w:rsidR="008057F8" w:rsidRPr="00D66245" w:rsidRDefault="008057F8" w:rsidP="008057F8">
      <w:pPr>
        <w:spacing w:before="120" w:after="200" w:line="240" w:lineRule="auto"/>
        <w:jc w:val="both"/>
        <w:rPr>
          <w:rFonts w:ascii="Palatino Linotype" w:hAnsi="Palatino Linotype"/>
          <w:b/>
        </w:rPr>
      </w:pPr>
      <w:bookmarkStart w:id="36" w:name="_Hlk3928953"/>
      <w:r w:rsidRPr="00D66245">
        <w:rPr>
          <w:rFonts w:ascii="Palatino Linotype" w:hAnsi="Palatino Linotype"/>
          <w:b/>
        </w:rPr>
        <w:t>26.- EL LENGUAJE CORPORAL</w:t>
      </w:r>
      <w:bookmarkEnd w:id="36"/>
    </w:p>
    <w:p w14:paraId="18022161" w14:textId="77777777" w:rsidR="008057F8" w:rsidRPr="00D66245" w:rsidRDefault="008057F8" w:rsidP="008057F8">
      <w:pPr>
        <w:numPr>
          <w:ilvl w:val="0"/>
          <w:numId w:val="79"/>
        </w:numPr>
        <w:spacing w:before="120" w:after="200" w:line="240" w:lineRule="auto"/>
        <w:jc w:val="both"/>
        <w:rPr>
          <w:rFonts w:ascii="Palatino Linotype" w:hAnsi="Palatino Linotype"/>
        </w:rPr>
      </w:pPr>
      <w:r w:rsidRPr="00D66245">
        <w:rPr>
          <w:rFonts w:ascii="Palatino Linotype" w:hAnsi="Palatino Linotype"/>
        </w:rPr>
        <w:t>La mirada y alternar miradas: declarante y juez</w:t>
      </w:r>
    </w:p>
    <w:p w14:paraId="24C740D6" w14:textId="77777777" w:rsidR="008057F8" w:rsidRPr="00D66245" w:rsidRDefault="008057F8" w:rsidP="008057F8">
      <w:pPr>
        <w:numPr>
          <w:ilvl w:val="0"/>
          <w:numId w:val="79"/>
        </w:numPr>
        <w:spacing w:before="120" w:after="200" w:line="240" w:lineRule="auto"/>
        <w:jc w:val="both"/>
        <w:rPr>
          <w:rFonts w:ascii="Palatino Linotype" w:hAnsi="Palatino Linotype"/>
        </w:rPr>
      </w:pPr>
      <w:r w:rsidRPr="00D66245">
        <w:rPr>
          <w:rFonts w:ascii="Palatino Linotype" w:hAnsi="Palatino Linotype"/>
        </w:rPr>
        <w:t>La cortesía. El saludo</w:t>
      </w:r>
    </w:p>
    <w:p w14:paraId="0B0F06DF" w14:textId="77777777" w:rsidR="008057F8" w:rsidRPr="00D66245" w:rsidRDefault="008057F8" w:rsidP="008057F8">
      <w:pPr>
        <w:numPr>
          <w:ilvl w:val="0"/>
          <w:numId w:val="79"/>
        </w:numPr>
        <w:spacing w:before="120" w:after="200" w:line="240" w:lineRule="auto"/>
        <w:jc w:val="both"/>
        <w:rPr>
          <w:rFonts w:ascii="Palatino Linotype" w:hAnsi="Palatino Linotype"/>
        </w:rPr>
      </w:pPr>
      <w:r w:rsidRPr="00D66245">
        <w:rPr>
          <w:rFonts w:ascii="Palatino Linotype" w:hAnsi="Palatino Linotype"/>
        </w:rPr>
        <w:lastRenderedPageBreak/>
        <w:t>Expresiones faciales: gestos, ojos, boca, mirada, sonrisa, cejas</w:t>
      </w:r>
    </w:p>
    <w:p w14:paraId="5A87442B" w14:textId="77777777" w:rsidR="008057F8" w:rsidRPr="00D66245" w:rsidRDefault="008057F8" w:rsidP="008057F8">
      <w:pPr>
        <w:numPr>
          <w:ilvl w:val="0"/>
          <w:numId w:val="79"/>
        </w:numPr>
        <w:spacing w:before="120" w:after="200" w:line="240" w:lineRule="auto"/>
        <w:jc w:val="both"/>
        <w:rPr>
          <w:rFonts w:ascii="Palatino Linotype" w:hAnsi="Palatino Linotype"/>
        </w:rPr>
      </w:pPr>
      <w:r w:rsidRPr="00D66245">
        <w:rPr>
          <w:rFonts w:ascii="Palatino Linotype" w:hAnsi="Palatino Linotype"/>
        </w:rPr>
        <w:t>La postura en estrado</w:t>
      </w:r>
    </w:p>
    <w:p w14:paraId="124F1771" w14:textId="77777777" w:rsidR="008057F8" w:rsidRPr="00D66245" w:rsidRDefault="008057F8" w:rsidP="008057F8">
      <w:pPr>
        <w:numPr>
          <w:ilvl w:val="0"/>
          <w:numId w:val="79"/>
        </w:numPr>
        <w:spacing w:before="120" w:after="200" w:line="240" w:lineRule="auto"/>
        <w:jc w:val="both"/>
        <w:rPr>
          <w:rFonts w:ascii="Palatino Linotype" w:hAnsi="Palatino Linotype"/>
        </w:rPr>
      </w:pPr>
      <w:r w:rsidRPr="00D66245">
        <w:rPr>
          <w:rFonts w:ascii="Palatino Linotype" w:hAnsi="Palatino Linotype"/>
        </w:rPr>
        <w:t>Las manos</w:t>
      </w:r>
    </w:p>
    <w:p w14:paraId="7F42FA27" w14:textId="77777777" w:rsidR="008057F8" w:rsidRPr="00D66245" w:rsidRDefault="008057F8" w:rsidP="008057F8">
      <w:pPr>
        <w:numPr>
          <w:ilvl w:val="0"/>
          <w:numId w:val="79"/>
        </w:numPr>
        <w:spacing w:before="120" w:after="200" w:line="240" w:lineRule="auto"/>
        <w:jc w:val="both"/>
        <w:rPr>
          <w:rFonts w:ascii="Palatino Linotype" w:hAnsi="Palatino Linotype"/>
        </w:rPr>
      </w:pPr>
      <w:r w:rsidRPr="00D66245">
        <w:rPr>
          <w:rFonts w:ascii="Palatino Linotype" w:hAnsi="Palatino Linotype"/>
        </w:rPr>
        <w:t>Aspecto exterior</w:t>
      </w:r>
    </w:p>
    <w:p w14:paraId="47839B89" w14:textId="77777777" w:rsidR="008057F8" w:rsidRPr="00D66245" w:rsidRDefault="008057F8" w:rsidP="008057F8">
      <w:pPr>
        <w:numPr>
          <w:ilvl w:val="0"/>
          <w:numId w:val="79"/>
        </w:numPr>
        <w:spacing w:before="120" w:after="200" w:line="240" w:lineRule="auto"/>
        <w:jc w:val="both"/>
        <w:rPr>
          <w:rFonts w:ascii="Palatino Linotype" w:hAnsi="Palatino Linotype"/>
        </w:rPr>
      </w:pPr>
      <w:r w:rsidRPr="00D66245">
        <w:rPr>
          <w:rFonts w:ascii="Palatino Linotype" w:hAnsi="Palatino Linotype"/>
        </w:rPr>
        <w:t>Sudoración</w:t>
      </w:r>
    </w:p>
    <w:p w14:paraId="1EF2A9DE" w14:textId="77777777" w:rsidR="008057F8" w:rsidRPr="00D66245" w:rsidRDefault="008057F8" w:rsidP="008057F8">
      <w:pPr>
        <w:numPr>
          <w:ilvl w:val="0"/>
          <w:numId w:val="79"/>
        </w:numPr>
        <w:spacing w:before="120" w:after="200" w:line="240" w:lineRule="auto"/>
        <w:jc w:val="both"/>
        <w:rPr>
          <w:rFonts w:ascii="Palatino Linotype" w:hAnsi="Palatino Linotype"/>
        </w:rPr>
      </w:pPr>
      <w:r w:rsidRPr="00D66245">
        <w:rPr>
          <w:rFonts w:ascii="Palatino Linotype" w:hAnsi="Palatino Linotype"/>
        </w:rPr>
        <w:t>La tembladera</w:t>
      </w:r>
    </w:p>
    <w:p w14:paraId="5E6B6DFB" w14:textId="77777777" w:rsidR="008057F8" w:rsidRPr="00D66245" w:rsidRDefault="008057F8" w:rsidP="008057F8">
      <w:pPr>
        <w:numPr>
          <w:ilvl w:val="0"/>
          <w:numId w:val="79"/>
        </w:numPr>
        <w:spacing w:before="120" w:after="200" w:line="240" w:lineRule="auto"/>
        <w:jc w:val="both"/>
        <w:rPr>
          <w:rFonts w:ascii="Palatino Linotype" w:hAnsi="Palatino Linotype"/>
        </w:rPr>
      </w:pPr>
      <w:r w:rsidRPr="00D66245">
        <w:rPr>
          <w:rFonts w:ascii="Palatino Linotype" w:hAnsi="Palatino Linotype"/>
        </w:rPr>
        <w:t>El quiebre de la voz</w:t>
      </w:r>
    </w:p>
    <w:p w14:paraId="5A672932" w14:textId="77777777" w:rsidR="008057F8" w:rsidRPr="00D66245" w:rsidRDefault="008057F8" w:rsidP="008057F8">
      <w:pPr>
        <w:numPr>
          <w:ilvl w:val="0"/>
          <w:numId w:val="79"/>
        </w:numPr>
        <w:spacing w:before="120" w:after="200" w:line="240" w:lineRule="auto"/>
        <w:jc w:val="both"/>
        <w:rPr>
          <w:rFonts w:ascii="Palatino Linotype" w:hAnsi="Palatino Linotype"/>
        </w:rPr>
      </w:pPr>
      <w:r w:rsidRPr="00D66245">
        <w:rPr>
          <w:rFonts w:ascii="Palatino Linotype" w:hAnsi="Palatino Linotype"/>
        </w:rPr>
        <w:t>El enfado</w:t>
      </w:r>
    </w:p>
    <w:p w14:paraId="42A45C66" w14:textId="77777777" w:rsidR="008057F8" w:rsidRPr="00D66245" w:rsidRDefault="008057F8" w:rsidP="008057F8">
      <w:pPr>
        <w:numPr>
          <w:ilvl w:val="0"/>
          <w:numId w:val="79"/>
        </w:numPr>
        <w:spacing w:before="120" w:after="200" w:line="240" w:lineRule="auto"/>
        <w:jc w:val="both"/>
        <w:rPr>
          <w:rFonts w:ascii="Palatino Linotype" w:hAnsi="Palatino Linotype"/>
        </w:rPr>
      </w:pPr>
      <w:r w:rsidRPr="00D66245">
        <w:rPr>
          <w:rFonts w:ascii="Palatino Linotype" w:hAnsi="Palatino Linotype"/>
        </w:rPr>
        <w:t>Cuando el juez o declarante “no escucha” o está distraído</w:t>
      </w:r>
    </w:p>
    <w:p w14:paraId="36798AD9" w14:textId="77777777" w:rsidR="008057F8" w:rsidRPr="00D66245" w:rsidRDefault="008057F8" w:rsidP="008057F8">
      <w:pPr>
        <w:numPr>
          <w:ilvl w:val="0"/>
          <w:numId w:val="79"/>
        </w:numPr>
        <w:spacing w:before="120" w:after="200" w:line="240" w:lineRule="auto"/>
        <w:jc w:val="both"/>
        <w:rPr>
          <w:rFonts w:ascii="Palatino Linotype" w:hAnsi="Palatino Linotype"/>
        </w:rPr>
      </w:pPr>
      <w:r w:rsidRPr="00D66245">
        <w:rPr>
          <w:rFonts w:ascii="Palatino Linotype" w:hAnsi="Palatino Linotype"/>
        </w:rPr>
        <w:t>Contradicción del lenguaje corporal y verbal</w:t>
      </w:r>
    </w:p>
    <w:p w14:paraId="6FD07FD8" w14:textId="77777777" w:rsidR="008057F8" w:rsidRPr="00D66245" w:rsidRDefault="008057F8" w:rsidP="008057F8">
      <w:pPr>
        <w:numPr>
          <w:ilvl w:val="0"/>
          <w:numId w:val="79"/>
        </w:numPr>
        <w:spacing w:before="120" w:after="200" w:line="240" w:lineRule="auto"/>
        <w:jc w:val="both"/>
        <w:rPr>
          <w:rFonts w:ascii="Palatino Linotype" w:hAnsi="Palatino Linotype"/>
        </w:rPr>
      </w:pPr>
      <w:r w:rsidRPr="00D66245">
        <w:rPr>
          <w:rFonts w:ascii="Palatino Linotype" w:hAnsi="Palatino Linotype"/>
        </w:rPr>
        <w:t>“Ya tengo suficiente”: el cuerpo y los gestos lo dicen.  Acabemos</w:t>
      </w:r>
    </w:p>
    <w:p w14:paraId="2CC57995" w14:textId="77777777" w:rsidR="008057F8" w:rsidRPr="00D66245" w:rsidRDefault="008057F8" w:rsidP="008057F8">
      <w:pPr>
        <w:spacing w:before="120" w:after="200" w:line="240" w:lineRule="auto"/>
        <w:jc w:val="both"/>
        <w:rPr>
          <w:rFonts w:ascii="Palatino Linotype" w:hAnsi="Palatino Linotype"/>
          <w:b/>
        </w:rPr>
      </w:pPr>
      <w:bookmarkStart w:id="37" w:name="_Hlk3928969"/>
      <w:r w:rsidRPr="00D66245">
        <w:rPr>
          <w:rFonts w:ascii="Palatino Linotype" w:hAnsi="Palatino Linotype"/>
          <w:b/>
        </w:rPr>
        <w:t>27.- EL LENGUAJE VERBAL</w:t>
      </w:r>
      <w:bookmarkEnd w:id="37"/>
    </w:p>
    <w:p w14:paraId="2ED60333" w14:textId="77777777" w:rsidR="008057F8" w:rsidRPr="00D66245" w:rsidRDefault="008057F8" w:rsidP="008057F8">
      <w:pPr>
        <w:pStyle w:val="Prrafodelista"/>
        <w:numPr>
          <w:ilvl w:val="0"/>
          <w:numId w:val="80"/>
        </w:numPr>
        <w:spacing w:before="120" w:after="200" w:line="240" w:lineRule="auto"/>
        <w:ind w:left="0" w:firstLine="0"/>
        <w:contextualSpacing w:val="0"/>
        <w:jc w:val="both"/>
        <w:rPr>
          <w:rFonts w:ascii="Palatino Linotype" w:hAnsi="Palatino Linotype"/>
        </w:rPr>
      </w:pPr>
      <w:r w:rsidRPr="00D66245">
        <w:rPr>
          <w:rFonts w:ascii="Palatino Linotype" w:hAnsi="Palatino Linotype"/>
        </w:rPr>
        <w:t>Técnico:</w:t>
      </w:r>
      <w:r w:rsidRPr="00D66245">
        <w:rPr>
          <w:rFonts w:ascii="Palatino Linotype" w:hAnsi="Palatino Linotype"/>
          <w:bCs/>
        </w:rPr>
        <w:t xml:space="preserve">  </w:t>
      </w:r>
      <w:r w:rsidRPr="00D66245">
        <w:rPr>
          <w:rFonts w:ascii="Palatino Linotype" w:hAnsi="Palatino Linotype"/>
        </w:rPr>
        <w:t>Alegar jurídica y correctamente</w:t>
      </w:r>
    </w:p>
    <w:p w14:paraId="63458C99" w14:textId="77777777" w:rsidR="008057F8" w:rsidRPr="00D66245" w:rsidRDefault="008057F8" w:rsidP="008057F8">
      <w:pPr>
        <w:pStyle w:val="Prrafodelista"/>
        <w:numPr>
          <w:ilvl w:val="0"/>
          <w:numId w:val="80"/>
        </w:numPr>
        <w:spacing w:before="120" w:after="200" w:line="240" w:lineRule="auto"/>
        <w:ind w:left="0" w:firstLine="0"/>
        <w:contextualSpacing w:val="0"/>
        <w:jc w:val="both"/>
        <w:rPr>
          <w:rFonts w:ascii="Palatino Linotype" w:hAnsi="Palatino Linotype"/>
        </w:rPr>
      </w:pPr>
      <w:r w:rsidRPr="00D66245">
        <w:rPr>
          <w:rFonts w:ascii="Palatino Linotype" w:hAnsi="Palatino Linotype"/>
        </w:rPr>
        <w:t>Adecuado: Al fin que se persigue, conducencia</w:t>
      </w:r>
    </w:p>
    <w:p w14:paraId="7E2FB7F3" w14:textId="77777777" w:rsidR="008057F8" w:rsidRPr="00D66245" w:rsidRDefault="008057F8" w:rsidP="008057F8">
      <w:pPr>
        <w:pStyle w:val="Prrafodelista"/>
        <w:numPr>
          <w:ilvl w:val="0"/>
          <w:numId w:val="80"/>
        </w:numPr>
        <w:spacing w:before="120" w:after="200" w:line="240" w:lineRule="auto"/>
        <w:ind w:left="0" w:firstLine="0"/>
        <w:contextualSpacing w:val="0"/>
        <w:jc w:val="both"/>
        <w:rPr>
          <w:rFonts w:ascii="Palatino Linotype" w:hAnsi="Palatino Linotype"/>
        </w:rPr>
      </w:pPr>
      <w:r w:rsidRPr="00D66245">
        <w:rPr>
          <w:rFonts w:ascii="Palatino Linotype" w:hAnsi="Palatino Linotype"/>
        </w:rPr>
        <w:t>Sencillo: No complejo o incomprensible</w:t>
      </w:r>
    </w:p>
    <w:p w14:paraId="07B0D47A" w14:textId="77777777" w:rsidR="008057F8" w:rsidRPr="00D66245" w:rsidRDefault="008057F8" w:rsidP="008057F8">
      <w:pPr>
        <w:pStyle w:val="Prrafodelista"/>
        <w:numPr>
          <w:ilvl w:val="0"/>
          <w:numId w:val="80"/>
        </w:numPr>
        <w:spacing w:before="120" w:after="200" w:line="240" w:lineRule="auto"/>
        <w:ind w:left="0" w:firstLine="0"/>
        <w:contextualSpacing w:val="0"/>
        <w:jc w:val="both"/>
        <w:rPr>
          <w:rFonts w:ascii="Palatino Linotype" w:hAnsi="Palatino Linotype"/>
        </w:rPr>
      </w:pPr>
      <w:r w:rsidRPr="00D66245">
        <w:rPr>
          <w:rFonts w:ascii="Palatino Linotype" w:hAnsi="Palatino Linotype"/>
        </w:rPr>
        <w:t>Breve: El mejor abogado no es el más habla, sino el que mejor habla</w:t>
      </w:r>
    </w:p>
    <w:p w14:paraId="25D3EEB7" w14:textId="77777777" w:rsidR="008057F8" w:rsidRPr="00D66245" w:rsidRDefault="008057F8" w:rsidP="008057F8">
      <w:pPr>
        <w:pStyle w:val="Prrafodelista"/>
        <w:numPr>
          <w:ilvl w:val="0"/>
          <w:numId w:val="80"/>
        </w:numPr>
        <w:spacing w:before="120" w:after="200" w:line="240" w:lineRule="auto"/>
        <w:ind w:left="0" w:firstLine="0"/>
        <w:contextualSpacing w:val="0"/>
        <w:jc w:val="both"/>
        <w:rPr>
          <w:rFonts w:ascii="Palatino Linotype" w:hAnsi="Palatino Linotype"/>
        </w:rPr>
      </w:pPr>
      <w:r w:rsidRPr="00D66245">
        <w:rPr>
          <w:rFonts w:ascii="Palatino Linotype" w:hAnsi="Palatino Linotype"/>
        </w:rPr>
        <w:t>Argumentativo: Lógico, apoyado en base legal y sostenible</w:t>
      </w:r>
    </w:p>
    <w:p w14:paraId="4E79A444" w14:textId="77777777" w:rsidR="008057F8" w:rsidRPr="00D66245" w:rsidRDefault="008057F8" w:rsidP="008057F8">
      <w:pPr>
        <w:pStyle w:val="Prrafodelista"/>
        <w:numPr>
          <w:ilvl w:val="0"/>
          <w:numId w:val="80"/>
        </w:numPr>
        <w:spacing w:before="120" w:after="200" w:line="240" w:lineRule="auto"/>
        <w:ind w:left="0" w:firstLine="0"/>
        <w:contextualSpacing w:val="0"/>
        <w:jc w:val="both"/>
        <w:rPr>
          <w:rFonts w:ascii="Palatino Linotype" w:hAnsi="Palatino Linotype"/>
        </w:rPr>
      </w:pPr>
      <w:r w:rsidRPr="00D66245">
        <w:rPr>
          <w:rFonts w:ascii="Palatino Linotype" w:hAnsi="Palatino Linotype"/>
        </w:rPr>
        <w:t>Coherente: Sin contradicciones internas u otros argumentos</w:t>
      </w:r>
    </w:p>
    <w:p w14:paraId="2B9FB0FA" w14:textId="77777777" w:rsidR="008057F8" w:rsidRPr="00D66245" w:rsidRDefault="008057F8" w:rsidP="008057F8">
      <w:pPr>
        <w:pStyle w:val="Prrafodelista"/>
        <w:numPr>
          <w:ilvl w:val="0"/>
          <w:numId w:val="80"/>
        </w:numPr>
        <w:spacing w:before="120" w:after="200" w:line="240" w:lineRule="auto"/>
        <w:ind w:left="0" w:firstLine="0"/>
        <w:contextualSpacing w:val="0"/>
        <w:jc w:val="both"/>
        <w:rPr>
          <w:rFonts w:ascii="Palatino Linotype" w:hAnsi="Palatino Linotype"/>
        </w:rPr>
      </w:pPr>
      <w:r w:rsidRPr="00D66245">
        <w:rPr>
          <w:rFonts w:ascii="Palatino Linotype" w:hAnsi="Palatino Linotype"/>
        </w:rPr>
        <w:t>Ordenado: Metódico y sistemático</w:t>
      </w:r>
    </w:p>
    <w:p w14:paraId="28552C5B" w14:textId="77777777" w:rsidR="008057F8" w:rsidRPr="00D66245" w:rsidRDefault="008057F8" w:rsidP="008057F8">
      <w:pPr>
        <w:pStyle w:val="Prrafodelista"/>
        <w:numPr>
          <w:ilvl w:val="0"/>
          <w:numId w:val="80"/>
        </w:numPr>
        <w:spacing w:before="120" w:after="200" w:line="240" w:lineRule="auto"/>
        <w:ind w:left="0" w:firstLine="0"/>
        <w:contextualSpacing w:val="0"/>
        <w:jc w:val="both"/>
        <w:rPr>
          <w:rFonts w:ascii="Palatino Linotype" w:hAnsi="Palatino Linotype"/>
        </w:rPr>
      </w:pPr>
      <w:r w:rsidRPr="00D66245">
        <w:rPr>
          <w:rFonts w:ascii="Palatino Linotype" w:hAnsi="Palatino Linotype"/>
        </w:rPr>
        <w:t>Claridad: No confuso</w:t>
      </w:r>
    </w:p>
    <w:p w14:paraId="6693681D" w14:textId="77777777" w:rsidR="008057F8" w:rsidRPr="00D66245" w:rsidRDefault="008057F8" w:rsidP="008057F8">
      <w:pPr>
        <w:pStyle w:val="Prrafodelista"/>
        <w:numPr>
          <w:ilvl w:val="0"/>
          <w:numId w:val="80"/>
        </w:numPr>
        <w:spacing w:before="120" w:after="200" w:line="240" w:lineRule="auto"/>
        <w:ind w:left="0" w:firstLine="0"/>
        <w:contextualSpacing w:val="0"/>
        <w:jc w:val="both"/>
        <w:rPr>
          <w:rFonts w:ascii="Palatino Linotype" w:hAnsi="Palatino Linotype"/>
        </w:rPr>
      </w:pPr>
      <w:r w:rsidRPr="00D66245">
        <w:rPr>
          <w:rFonts w:ascii="Palatino Linotype" w:hAnsi="Palatino Linotype"/>
        </w:rPr>
        <w:t xml:space="preserve">Dominio del tema: </w:t>
      </w:r>
      <w:r w:rsidRPr="00D66245">
        <w:rPr>
          <w:rFonts w:ascii="Palatino Linotype" w:hAnsi="Palatino Linotype"/>
        </w:rPr>
        <w:tab/>
        <w:t>No mostrar desconocimiento</w:t>
      </w:r>
    </w:p>
    <w:p w14:paraId="400DFE32" w14:textId="77777777" w:rsidR="008057F8" w:rsidRPr="00D66245" w:rsidRDefault="008057F8" w:rsidP="008057F8">
      <w:pPr>
        <w:pStyle w:val="Prrafodelista"/>
        <w:numPr>
          <w:ilvl w:val="0"/>
          <w:numId w:val="80"/>
        </w:numPr>
        <w:spacing w:before="120" w:after="200" w:line="240" w:lineRule="auto"/>
        <w:ind w:left="0" w:firstLine="0"/>
        <w:contextualSpacing w:val="0"/>
        <w:jc w:val="both"/>
        <w:rPr>
          <w:rFonts w:ascii="Palatino Linotype" w:hAnsi="Palatino Linotype"/>
        </w:rPr>
      </w:pPr>
      <w:r w:rsidRPr="00D66245">
        <w:rPr>
          <w:rFonts w:ascii="Palatino Linotype" w:hAnsi="Palatino Linotype"/>
        </w:rPr>
        <w:t>Precisión:</w:t>
      </w:r>
      <w:r w:rsidRPr="00D66245">
        <w:rPr>
          <w:rFonts w:ascii="Palatino Linotype" w:hAnsi="Palatino Linotype"/>
        </w:rPr>
        <w:tab/>
        <w:t>Al punto. “Una palabra bien escogida economiza 100”</w:t>
      </w:r>
    </w:p>
    <w:p w14:paraId="73DD9FF3" w14:textId="77777777" w:rsidR="008057F8" w:rsidRPr="00D66245" w:rsidRDefault="008057F8" w:rsidP="008057F8">
      <w:pPr>
        <w:pStyle w:val="Prrafodelista"/>
        <w:numPr>
          <w:ilvl w:val="0"/>
          <w:numId w:val="80"/>
        </w:numPr>
        <w:spacing w:before="120" w:after="200" w:line="240" w:lineRule="auto"/>
        <w:ind w:left="0" w:firstLine="0"/>
        <w:contextualSpacing w:val="0"/>
        <w:jc w:val="both"/>
        <w:rPr>
          <w:rFonts w:ascii="Palatino Linotype" w:hAnsi="Palatino Linotype"/>
        </w:rPr>
      </w:pPr>
      <w:r w:rsidRPr="00D66245">
        <w:rPr>
          <w:rFonts w:ascii="Palatino Linotype" w:hAnsi="Palatino Linotype"/>
        </w:rPr>
        <w:lastRenderedPageBreak/>
        <w:t>Con objetivos: Para lograr algo.  enfocarse y dirigirse</w:t>
      </w:r>
    </w:p>
    <w:p w14:paraId="184E1AAD" w14:textId="77777777" w:rsidR="008057F8" w:rsidRPr="00D66245" w:rsidRDefault="008057F8" w:rsidP="008057F8">
      <w:pPr>
        <w:pStyle w:val="Prrafodelista"/>
        <w:numPr>
          <w:ilvl w:val="0"/>
          <w:numId w:val="80"/>
        </w:numPr>
        <w:spacing w:before="120" w:after="200" w:line="240" w:lineRule="auto"/>
        <w:ind w:left="0" w:firstLine="0"/>
        <w:contextualSpacing w:val="0"/>
        <w:jc w:val="both"/>
        <w:rPr>
          <w:rFonts w:ascii="Palatino Linotype" w:hAnsi="Palatino Linotype"/>
        </w:rPr>
      </w:pPr>
      <w:r w:rsidRPr="00D66245">
        <w:rPr>
          <w:rFonts w:ascii="Palatino Linotype" w:hAnsi="Palatino Linotype"/>
        </w:rPr>
        <w:t>Qué resultados persigo: Preciso, no disperso, no pescar</w:t>
      </w:r>
    </w:p>
    <w:p w14:paraId="076219D2" w14:textId="77777777" w:rsidR="008057F8" w:rsidRPr="00D66245" w:rsidRDefault="008057F8" w:rsidP="008057F8">
      <w:pPr>
        <w:pStyle w:val="Prrafodelista"/>
        <w:numPr>
          <w:ilvl w:val="0"/>
          <w:numId w:val="80"/>
        </w:numPr>
        <w:spacing w:before="120" w:after="200" w:line="240" w:lineRule="auto"/>
        <w:ind w:left="0" w:firstLine="0"/>
        <w:contextualSpacing w:val="0"/>
        <w:jc w:val="both"/>
        <w:rPr>
          <w:rFonts w:ascii="Palatino Linotype" w:hAnsi="Palatino Linotype"/>
        </w:rPr>
      </w:pPr>
      <w:r w:rsidRPr="00D66245">
        <w:rPr>
          <w:rFonts w:ascii="Palatino Linotype" w:hAnsi="Palatino Linotype"/>
        </w:rPr>
        <w:t xml:space="preserve">Apoyo: En </w:t>
      </w:r>
      <w:r w:rsidRPr="00D66245">
        <w:rPr>
          <w:rFonts w:ascii="Palatino Linotype" w:hAnsi="Palatino Linotype"/>
          <w:u w:val="single"/>
        </w:rPr>
        <w:t>hechos</w:t>
      </w:r>
      <w:r w:rsidRPr="00D66245">
        <w:rPr>
          <w:rFonts w:ascii="Palatino Linotype" w:hAnsi="Palatino Linotype"/>
        </w:rPr>
        <w:t>, pruebas y argumentos que apoyen mi punto.</w:t>
      </w:r>
    </w:p>
    <w:p w14:paraId="59853EE4" w14:textId="77777777" w:rsidR="008057F8" w:rsidRPr="00D66245" w:rsidRDefault="008057F8" w:rsidP="008057F8">
      <w:pPr>
        <w:pStyle w:val="Prrafodelista"/>
        <w:spacing w:before="120" w:after="200" w:line="240" w:lineRule="auto"/>
        <w:ind w:left="0"/>
        <w:contextualSpacing w:val="0"/>
        <w:jc w:val="both"/>
        <w:rPr>
          <w:rFonts w:ascii="Palatino Linotype" w:hAnsi="Palatino Linotype"/>
        </w:rPr>
      </w:pPr>
    </w:p>
    <w:p w14:paraId="67CA941B" w14:textId="77777777" w:rsidR="008057F8" w:rsidRPr="00D66245" w:rsidRDefault="008057F8" w:rsidP="008057F8">
      <w:pPr>
        <w:tabs>
          <w:tab w:val="left" w:pos="709"/>
          <w:tab w:val="left" w:pos="851"/>
        </w:tabs>
        <w:spacing w:before="120" w:after="200" w:line="240" w:lineRule="auto"/>
        <w:jc w:val="center"/>
        <w:rPr>
          <w:rFonts w:ascii="Palatino Linotype" w:hAnsi="Palatino Linotype"/>
          <w:b/>
          <w:spacing w:val="-4"/>
        </w:rPr>
      </w:pPr>
      <w:bookmarkStart w:id="38" w:name="_Hlk3964392"/>
      <w:r w:rsidRPr="00D66245">
        <w:rPr>
          <w:rFonts w:ascii="Palatino Linotype" w:hAnsi="Palatino Linotype"/>
          <w:b/>
          <w:spacing w:val="-4"/>
        </w:rPr>
        <w:t>BIBLIOGRAFÍA GENERAL</w:t>
      </w:r>
      <w:bookmarkEnd w:id="38"/>
    </w:p>
    <w:p w14:paraId="61A0C37F" w14:textId="77777777" w:rsidR="008057F8" w:rsidRPr="00D66245" w:rsidRDefault="008057F8" w:rsidP="008057F8">
      <w:pPr>
        <w:spacing w:after="0" w:line="240" w:lineRule="auto"/>
        <w:jc w:val="both"/>
        <w:rPr>
          <w:rFonts w:ascii="Palatino Linotype" w:hAnsi="Palatino Linotype"/>
          <w:lang w:val="es-CR"/>
        </w:rPr>
      </w:pPr>
      <w:r w:rsidRPr="00D66245">
        <w:rPr>
          <w:rFonts w:ascii="Palatino Linotype" w:hAnsi="Palatino Linotype"/>
          <w:b/>
          <w:lang w:val="es-CR"/>
        </w:rPr>
        <w:t xml:space="preserve">Artavia Sergio. </w:t>
      </w:r>
      <w:r w:rsidRPr="00D66245">
        <w:rPr>
          <w:rFonts w:ascii="Palatino Linotype" w:hAnsi="Palatino Linotype"/>
          <w:lang w:val="es-CR"/>
        </w:rPr>
        <w:t xml:space="preserve">Litigación civil, </w:t>
      </w:r>
    </w:p>
    <w:p w14:paraId="6F78CA5B"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lang w:val="es-CR"/>
        </w:rPr>
        <w:t>Artavia Sergio</w:t>
      </w:r>
      <w:r w:rsidRPr="00D66245">
        <w:rPr>
          <w:rFonts w:ascii="Palatino Linotype" w:hAnsi="Palatino Linotype"/>
          <w:lang w:val="es-CR"/>
        </w:rPr>
        <w:t xml:space="preserve">. </w:t>
      </w:r>
      <w:r w:rsidRPr="00D66245">
        <w:rPr>
          <w:rFonts w:ascii="Palatino Linotype" w:hAnsi="Palatino Linotype"/>
        </w:rPr>
        <w:t xml:space="preserve">Teoría general del proceso, Edit. Jurídica Faro, 4ª edición, 2017.  </w:t>
      </w:r>
    </w:p>
    <w:p w14:paraId="07F8027E"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 xml:space="preserve">Atienza Manuel.  </w:t>
      </w:r>
      <w:r w:rsidRPr="00D66245">
        <w:rPr>
          <w:rFonts w:ascii="Palatino Linotype" w:hAnsi="Palatino Linotype"/>
        </w:rPr>
        <w:t>El derecho como argumentación, España, 3ª reimpresión, 2016.</w:t>
      </w:r>
    </w:p>
    <w:p w14:paraId="508451F2"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Bailey F Lee</w:t>
      </w:r>
      <w:r w:rsidRPr="00D66245">
        <w:rPr>
          <w:rFonts w:ascii="Palatino Linotype" w:hAnsi="Palatino Linotype"/>
        </w:rPr>
        <w:t>. Como se ganan juicios, trad. de José Hurtado Vega, México, Limusa, 2002.</w:t>
      </w:r>
    </w:p>
    <w:p w14:paraId="7F489743"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Baytelman Andres-Duce Mauricio</w:t>
      </w:r>
      <w:r w:rsidRPr="00D66245">
        <w:rPr>
          <w:rFonts w:ascii="Palatino Linotype" w:hAnsi="Palatino Linotype"/>
        </w:rPr>
        <w:t>. Litigación oral en juicios orales’ 2° Edición, Universidad Diego Portales, Santiago de Chile, 2011.</w:t>
      </w:r>
    </w:p>
    <w:p w14:paraId="1EDFEA31"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Baytelman Andres-Duce Mauricio</w:t>
      </w:r>
      <w:r w:rsidRPr="00D66245">
        <w:rPr>
          <w:rFonts w:ascii="Palatino Linotype" w:hAnsi="Palatino Linotype"/>
        </w:rPr>
        <w:t>: Litigación penal, Juicio oral y prueba, Lima, Alternativas, 2005.</w:t>
      </w:r>
    </w:p>
    <w:p w14:paraId="0F280F3A"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Benavente Chorres Hesbert</w:t>
      </w:r>
      <w:r w:rsidRPr="00D66245">
        <w:rPr>
          <w:rFonts w:ascii="Palatino Linotype" w:hAnsi="Palatino Linotype"/>
        </w:rPr>
        <w:t>. Guía práctica de la defensa penal (II). Juicio oral y ejecución de sentencia, Lima, Gaceta Jurídica, 2008.</w:t>
      </w:r>
    </w:p>
    <w:p w14:paraId="0EDCEB1B"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Bergman Paul</w:t>
      </w:r>
      <w:r w:rsidRPr="00D66245">
        <w:rPr>
          <w:rFonts w:ascii="Palatino Linotype" w:hAnsi="Palatino Linotype"/>
        </w:rPr>
        <w:t>. La Defensa en juicio. La Defensa penal y la oralidad, 2° edic. Buenos Aires, 1989.</w:t>
      </w:r>
    </w:p>
    <w:p w14:paraId="4C3425C7"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Blanco Suárez Rafael; Decap Fernández Mauricio; Moreno Holman Leonardo; Rojas Corral Hugo</w:t>
      </w:r>
      <w:r w:rsidRPr="00D66245">
        <w:rPr>
          <w:rFonts w:ascii="Palatino Linotype" w:hAnsi="Palatino Linotype"/>
        </w:rPr>
        <w:t>. Litigación estratégica en el nuevo proceso penal, Lexis Nexis, Santiago, 2005.</w:t>
      </w:r>
    </w:p>
    <w:p w14:paraId="079A1B43"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Calonje Concha.</w:t>
      </w:r>
      <w:r w:rsidRPr="00D66245">
        <w:rPr>
          <w:rFonts w:ascii="Palatino Linotype" w:hAnsi="Palatino Linotype"/>
        </w:rPr>
        <w:t xml:space="preserve">  Técnica de la argumentación jurídica, España, 2014.</w:t>
      </w:r>
    </w:p>
    <w:p w14:paraId="3E149642"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 xml:space="preserve">Cano Carlos Arturo.  </w:t>
      </w:r>
      <w:r w:rsidRPr="00D66245">
        <w:rPr>
          <w:rFonts w:ascii="Palatino Linotype" w:hAnsi="Palatino Linotype"/>
        </w:rPr>
        <w:t>Oralidad, debate y argumentación, Colombia, 2ª reimpresión, 2007.</w:t>
      </w:r>
    </w:p>
    <w:p w14:paraId="36D52F4E"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Carnelutti Francesco</w:t>
      </w:r>
      <w:r w:rsidRPr="00D66245">
        <w:rPr>
          <w:rFonts w:ascii="Palatino Linotype" w:hAnsi="Palatino Linotype"/>
        </w:rPr>
        <w:t xml:space="preserve">. Cómo se hace un proceso, trad. Sentís Melendo, Bogotá, 1997. </w:t>
      </w:r>
    </w:p>
    <w:p w14:paraId="2B848832"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Carofiglio Gianrico</w:t>
      </w:r>
      <w:r w:rsidRPr="00D66245">
        <w:rPr>
          <w:rFonts w:ascii="Palatino Linotype" w:hAnsi="Palatino Linotype"/>
        </w:rPr>
        <w:t>. El arte de la duda, Madrid, 2010.</w:t>
      </w:r>
    </w:p>
    <w:p w14:paraId="1669BD3C"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Chiovenda José</w:t>
      </w:r>
      <w:r w:rsidRPr="00D66245">
        <w:rPr>
          <w:rFonts w:ascii="Palatino Linotype" w:hAnsi="Palatino Linotype"/>
        </w:rPr>
        <w:t>. Principios de derecho Procesal civil, Madrid, 1944.</w:t>
      </w:r>
    </w:p>
    <w:p w14:paraId="718D5CD1" w14:textId="77777777" w:rsidR="008057F8" w:rsidRPr="00D66245" w:rsidRDefault="008057F8" w:rsidP="008057F8">
      <w:pPr>
        <w:spacing w:after="0" w:line="240" w:lineRule="auto"/>
        <w:jc w:val="both"/>
        <w:rPr>
          <w:rFonts w:ascii="Palatino Linotype" w:hAnsi="Palatino Linotype"/>
          <w:lang w:val="en-US"/>
        </w:rPr>
      </w:pPr>
      <w:r w:rsidRPr="00D66245">
        <w:rPr>
          <w:rFonts w:ascii="Palatino Linotype" w:hAnsi="Palatino Linotype"/>
          <w:b/>
          <w:lang w:val="en-US"/>
        </w:rPr>
        <w:t>Clark, Ronald / Dekle, George Y Bailey, William</w:t>
      </w:r>
      <w:r w:rsidRPr="00D66245">
        <w:rPr>
          <w:rFonts w:ascii="Palatino Linotype" w:hAnsi="Palatino Linotype"/>
          <w:lang w:val="en-US"/>
        </w:rPr>
        <w:t>.  Cross examination handbook</w:t>
      </w:r>
    </w:p>
    <w:p w14:paraId="572EBCB4"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lang w:val="en-US"/>
        </w:rPr>
        <w:t>Couture Eduardo</w:t>
      </w:r>
      <w:r w:rsidRPr="00D66245">
        <w:rPr>
          <w:rFonts w:ascii="Palatino Linotype" w:hAnsi="Palatino Linotype"/>
          <w:lang w:val="en-US"/>
        </w:rPr>
        <w:t xml:space="preserve">. </w:t>
      </w:r>
      <w:r w:rsidRPr="00D66245">
        <w:rPr>
          <w:rFonts w:ascii="Palatino Linotype" w:hAnsi="Palatino Linotype"/>
        </w:rPr>
        <w:t>Estudios de Derecho Procesal Civil, t. I, Buenos Aires, 1978.</w:t>
      </w:r>
    </w:p>
    <w:p w14:paraId="370A2C1E"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lastRenderedPageBreak/>
        <w:t>Decastro Alejandro</w:t>
      </w:r>
      <w:r w:rsidRPr="00D66245">
        <w:rPr>
          <w:rFonts w:ascii="Palatino Linotype" w:hAnsi="Palatino Linotype"/>
        </w:rPr>
        <w:t>.  El contrainterrogatorio, Colombia, 2005.</w:t>
      </w:r>
    </w:p>
    <w:p w14:paraId="1C4B55DD"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Deshazo Andrea</w:t>
      </w:r>
      <w:r w:rsidRPr="00D66245">
        <w:rPr>
          <w:rFonts w:ascii="Palatino Linotype" w:hAnsi="Palatino Linotype"/>
        </w:rPr>
        <w:t>.  Una guía práctica para defensores penales, Chile, 2007.</w:t>
      </w:r>
    </w:p>
    <w:p w14:paraId="1129C665"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Döring Erich</w:t>
      </w:r>
      <w:r w:rsidRPr="00D66245">
        <w:rPr>
          <w:rFonts w:ascii="Palatino Linotype" w:hAnsi="Palatino Linotype"/>
        </w:rPr>
        <w:t>.  La prueba, su práctica y apreciación, Buenos Aires, 1996.</w:t>
      </w:r>
    </w:p>
    <w:p w14:paraId="0AACD2A2"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Duce Mauricio</w:t>
      </w:r>
      <w:r w:rsidRPr="00D66245">
        <w:rPr>
          <w:rFonts w:ascii="Palatino Linotype" w:hAnsi="Palatino Linotype"/>
        </w:rPr>
        <w:t>.  La prueba pericial, Argentina, 2017.</w:t>
      </w:r>
    </w:p>
    <w:p w14:paraId="23193E56"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Estalella Jordi</w:t>
      </w:r>
      <w:r w:rsidRPr="00D66245">
        <w:rPr>
          <w:rFonts w:ascii="Palatino Linotype" w:hAnsi="Palatino Linotype"/>
        </w:rPr>
        <w:t>.  El abogado eficaz.  Cómo convencer, persuadir e influir en los juicios, España, 3ª edic., 2012.</w:t>
      </w:r>
    </w:p>
    <w:p w14:paraId="1A792689"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Falcón Enrique</w:t>
      </w:r>
      <w:r w:rsidRPr="00D66245">
        <w:rPr>
          <w:rFonts w:ascii="Palatino Linotype" w:hAnsi="Palatino Linotype"/>
        </w:rPr>
        <w:t>. Como se ofrece y se produce la prueba. Buenos Aires, 2001.</w:t>
      </w:r>
    </w:p>
    <w:p w14:paraId="34C81F93"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Fernández-Figares Ma. José</w:t>
      </w:r>
      <w:r w:rsidRPr="00D66245">
        <w:rPr>
          <w:rFonts w:ascii="Palatino Linotype" w:hAnsi="Palatino Linotype"/>
        </w:rPr>
        <w:t>.  Estrategia de litigación eficaz, Valencia, 2012.</w:t>
      </w:r>
    </w:p>
    <w:p w14:paraId="7C702104"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 xml:space="preserve">Fernández Alberto.   </w:t>
      </w:r>
      <w:r w:rsidRPr="00D66245">
        <w:rPr>
          <w:rFonts w:ascii="Palatino Linotype" w:hAnsi="Palatino Linotype"/>
        </w:rPr>
        <w:t xml:space="preserve">Arte de la persuasión oral, Buenos Aires, 2001. </w:t>
      </w:r>
    </w:p>
    <w:p w14:paraId="74AF95C1"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Fernández Óscar</w:t>
      </w:r>
      <w:r w:rsidRPr="00D66245">
        <w:rPr>
          <w:rFonts w:ascii="Palatino Linotype" w:hAnsi="Palatino Linotype"/>
        </w:rPr>
        <w:t>.  Arte y técnica del interrogatorio, España, 2017.</w:t>
      </w:r>
    </w:p>
    <w:p w14:paraId="0F10FE55"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Fernández Óscar</w:t>
      </w:r>
      <w:r w:rsidRPr="00D66245">
        <w:rPr>
          <w:rFonts w:ascii="Palatino Linotype" w:hAnsi="Palatino Linotype"/>
        </w:rPr>
        <w:t>.  Arte y técnica del alegato en juicio, España, 2018.</w:t>
      </w:r>
    </w:p>
    <w:p w14:paraId="19F9C80A"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Ferrer Jordi</w:t>
      </w:r>
      <w:r w:rsidRPr="00D66245">
        <w:rPr>
          <w:rFonts w:ascii="Palatino Linotype" w:hAnsi="Palatino Linotype"/>
        </w:rPr>
        <w:t>.  Valoración de la prueba, Madrid, 2007.</w:t>
      </w:r>
    </w:p>
    <w:p w14:paraId="1E7BF436"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Fontanet Julio</w:t>
      </w:r>
      <w:r w:rsidRPr="00D66245">
        <w:rPr>
          <w:rFonts w:ascii="Palatino Linotype" w:hAnsi="Palatino Linotype"/>
        </w:rPr>
        <w:t>.  Principios y técnicas de la práctica forense, San Juan de Puerto Rico, 2002.</w:t>
      </w:r>
    </w:p>
    <w:p w14:paraId="14548786"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García Julio</w:t>
      </w:r>
      <w:r w:rsidRPr="00D66245">
        <w:rPr>
          <w:rFonts w:ascii="Palatino Linotype" w:hAnsi="Palatino Linotype"/>
        </w:rPr>
        <w:t>.  Estrategia de oratoria práctica para abogados, Madrid, 2013.</w:t>
      </w:r>
    </w:p>
    <w:p w14:paraId="09DFD33C"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García Julio, Romero Luis y García Florentino</w:t>
      </w:r>
      <w:r w:rsidRPr="00D66245">
        <w:rPr>
          <w:rFonts w:ascii="Palatino Linotype" w:hAnsi="Palatino Linotype"/>
        </w:rPr>
        <w:t>.  La técnica del interrogatorio, Madrid, 3ª edic., 2012.</w:t>
      </w:r>
    </w:p>
    <w:p w14:paraId="6AB75712"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Goldberg Steven</w:t>
      </w:r>
      <w:r w:rsidRPr="00D66245">
        <w:rPr>
          <w:rFonts w:ascii="Palatino Linotype" w:hAnsi="Palatino Linotype"/>
        </w:rPr>
        <w:t>.  Litigación y defensa en juicio. Estudios reunidos, trad. de Carmen Ruiz Baltazar, Lima, 2014.</w:t>
      </w:r>
    </w:p>
    <w:p w14:paraId="1694492C" w14:textId="77777777" w:rsidR="008057F8" w:rsidRPr="00D66245" w:rsidRDefault="008057F8" w:rsidP="008057F8">
      <w:pPr>
        <w:spacing w:after="0" w:line="240" w:lineRule="auto"/>
        <w:jc w:val="both"/>
        <w:rPr>
          <w:rFonts w:ascii="Palatino Linotype" w:hAnsi="Palatino Linotype"/>
          <w:lang w:val="en-US"/>
        </w:rPr>
      </w:pPr>
      <w:r w:rsidRPr="00D66245">
        <w:rPr>
          <w:rFonts w:ascii="Palatino Linotype" w:hAnsi="Palatino Linotype"/>
          <w:b/>
        </w:rPr>
        <w:t>González Lagier Daniel</w:t>
      </w:r>
      <w:r w:rsidRPr="00D66245">
        <w:rPr>
          <w:rFonts w:ascii="Palatino Linotype" w:hAnsi="Palatino Linotype"/>
        </w:rPr>
        <w:t xml:space="preserve">. Quaestio faci. Ensayos sobre la prueba, causalidad y acción, Edit. </w:t>
      </w:r>
      <w:r w:rsidRPr="00D66245">
        <w:rPr>
          <w:rFonts w:ascii="Palatino Linotype" w:hAnsi="Palatino Linotype"/>
          <w:lang w:val="en-US"/>
        </w:rPr>
        <w:t>Fontamara, Madrid, 2013.</w:t>
      </w:r>
    </w:p>
    <w:p w14:paraId="51C7EB95" w14:textId="77777777" w:rsidR="008057F8" w:rsidRPr="00D66245" w:rsidRDefault="008057F8" w:rsidP="008057F8">
      <w:pPr>
        <w:spacing w:after="0" w:line="240" w:lineRule="auto"/>
        <w:jc w:val="both"/>
        <w:rPr>
          <w:rFonts w:ascii="Palatino Linotype" w:hAnsi="Palatino Linotype"/>
          <w:lang w:val="en-US"/>
        </w:rPr>
      </w:pPr>
      <w:r w:rsidRPr="00D66245">
        <w:rPr>
          <w:rFonts w:ascii="Palatino Linotype" w:hAnsi="Palatino Linotype"/>
          <w:b/>
          <w:lang w:val="en-US"/>
        </w:rPr>
        <w:t>Graham Duffy</w:t>
      </w:r>
      <w:r w:rsidRPr="00D66245">
        <w:rPr>
          <w:rFonts w:ascii="Palatino Linotype" w:hAnsi="Palatino Linotype"/>
          <w:lang w:val="en-US"/>
        </w:rPr>
        <w:t>.  The consciousness of the litigador, Michigan, The University of Michigan Press, 2008.</w:t>
      </w:r>
    </w:p>
    <w:p w14:paraId="7DA5A1B8"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Lorenzo Leticia y Maclean Enrique</w:t>
      </w:r>
      <w:r w:rsidRPr="00D66245">
        <w:rPr>
          <w:rFonts w:ascii="Palatino Linotype" w:hAnsi="Palatino Linotype"/>
        </w:rPr>
        <w:t>.  Manual de litigación penal en audiencias de la etapa preparatoria, Bolivia, 2009.</w:t>
      </w:r>
    </w:p>
    <w:p w14:paraId="563A13F1"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Martineau Francois</w:t>
      </w:r>
      <w:r w:rsidRPr="00D66245">
        <w:rPr>
          <w:rFonts w:ascii="Palatino Linotype" w:hAnsi="Palatino Linotype"/>
        </w:rPr>
        <w:t>. Argumentación judicial del abogado, Barcelona, 2009.</w:t>
      </w:r>
    </w:p>
    <w:p w14:paraId="0D1BE762"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Mauet Thomas A</w:t>
      </w:r>
      <w:r w:rsidRPr="00D66245">
        <w:rPr>
          <w:rFonts w:ascii="Palatino Linotype" w:hAnsi="Palatino Linotype"/>
        </w:rPr>
        <w:t>. Estudios de técnicas de litigación, Lima, 2007.</w:t>
      </w:r>
    </w:p>
    <w:p w14:paraId="0288647C"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Merayo Arturo</w:t>
      </w:r>
      <w:r w:rsidRPr="00D66245">
        <w:rPr>
          <w:rFonts w:ascii="Palatino Linotype" w:hAnsi="Palatino Linotype"/>
        </w:rPr>
        <w:t>.  Curso práctico de técnicas comunicación oral, España, reimpresión, 2018.</w:t>
      </w:r>
    </w:p>
    <w:p w14:paraId="4583A045"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 xml:space="preserve">Moreno Holman Leonardo.  </w:t>
      </w:r>
      <w:r w:rsidRPr="00D66245">
        <w:rPr>
          <w:rFonts w:ascii="Palatino Linotype" w:hAnsi="Palatino Linotype"/>
        </w:rPr>
        <w:t>Teoría del caso, Buenos Aires, 2012.</w:t>
      </w:r>
    </w:p>
    <w:p w14:paraId="65A84BE3"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Muñoz Sabaté Luis</w:t>
      </w:r>
      <w:r w:rsidRPr="00D66245">
        <w:rPr>
          <w:rFonts w:ascii="Palatino Linotype" w:hAnsi="Palatino Linotype"/>
        </w:rPr>
        <w:t>. Técnica Probatoria, 4° edic., Barcelona, 1999</w:t>
      </w:r>
    </w:p>
    <w:p w14:paraId="047425A0"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Neyra Flores Jose</w:t>
      </w:r>
      <w:r w:rsidRPr="00D66245">
        <w:rPr>
          <w:rFonts w:ascii="Palatino Linotype" w:hAnsi="Palatino Linotype"/>
        </w:rPr>
        <w:t>. Manual de juzgamiento, prueba y litigación oral en el nuevo modelo procesal penal, Academia de la Magistratura, Lima s/f.</w:t>
      </w:r>
    </w:p>
    <w:p w14:paraId="76D41CA6"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Oré Guardia Arsenio y Loza Ávalos Giulliana</w:t>
      </w:r>
      <w:r w:rsidRPr="00D66245">
        <w:rPr>
          <w:rFonts w:ascii="Palatino Linotype" w:hAnsi="Palatino Linotype"/>
        </w:rPr>
        <w:t>. Teoría del caso, Lima Instituto de Ciencia Procesal Penal, s/f.</w:t>
      </w:r>
    </w:p>
    <w:p w14:paraId="425C0EFB"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Parra Jairo</w:t>
      </w:r>
      <w:r w:rsidRPr="00D66245">
        <w:rPr>
          <w:rFonts w:ascii="Palatino Linotype" w:hAnsi="Palatino Linotype"/>
        </w:rPr>
        <w:t>. Tratado de la prueba judicial, t. II, 4ª edic. 2001.</w:t>
      </w:r>
    </w:p>
    <w:p w14:paraId="60B784A1"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Perelman Chaim</w:t>
      </w:r>
      <w:r w:rsidRPr="00D66245">
        <w:rPr>
          <w:rFonts w:ascii="Palatino Linotype" w:hAnsi="Palatino Linotype"/>
        </w:rPr>
        <w:t>. Tratado de la argumentación, Madrid, 1989.</w:t>
      </w:r>
    </w:p>
    <w:p w14:paraId="7B67FF55"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lastRenderedPageBreak/>
        <w:t xml:space="preserve">Perpiñá Conxa (Coord).  </w:t>
      </w:r>
      <w:r w:rsidRPr="00D66245">
        <w:rPr>
          <w:rFonts w:ascii="Palatino Linotype" w:hAnsi="Palatino Linotype"/>
        </w:rPr>
        <w:t>Manual de la entrevista psicológica, Madrid, 2014.</w:t>
      </w:r>
    </w:p>
    <w:p w14:paraId="5FBB60D4"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Pérez Julio</w:t>
      </w:r>
      <w:r w:rsidRPr="00D66245">
        <w:rPr>
          <w:rFonts w:ascii="Palatino Linotype" w:hAnsi="Palatino Linotype"/>
        </w:rPr>
        <w:t>. El conocimiento científico en el proceso civil, Valencia, 2010.</w:t>
      </w:r>
    </w:p>
    <w:p w14:paraId="327E9615"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Picado Carlos – Calderón Ana</w:t>
      </w:r>
      <w:r w:rsidRPr="00D66245">
        <w:rPr>
          <w:rFonts w:ascii="Palatino Linotype" w:hAnsi="Palatino Linotype"/>
        </w:rPr>
        <w:t>. Técnica y estrategia procesal, San José, 2015.</w:t>
      </w:r>
    </w:p>
    <w:p w14:paraId="3D508124"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Quiñones Héctor</w:t>
      </w:r>
      <w:r w:rsidRPr="00D66245">
        <w:rPr>
          <w:rFonts w:ascii="Palatino Linotype" w:hAnsi="Palatino Linotype"/>
        </w:rPr>
        <w:t>.  Las técnicas de litigación oral en el proceso penal salvadoreño, San Salvador, 2003.</w:t>
      </w:r>
    </w:p>
    <w:p w14:paraId="54770FED"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Quiroz William</w:t>
      </w:r>
      <w:r w:rsidRPr="00D66245">
        <w:rPr>
          <w:rFonts w:ascii="Palatino Linotype" w:hAnsi="Palatino Linotype"/>
        </w:rPr>
        <w:t>.  El interrogatorio cruzado en el modelo procesal acusatorio, San José, 2013.</w:t>
      </w:r>
    </w:p>
    <w:p w14:paraId="76AAECBB"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Reyes César</w:t>
      </w:r>
      <w:r w:rsidRPr="00D66245">
        <w:rPr>
          <w:rFonts w:ascii="Palatino Linotype" w:hAnsi="Palatino Linotype"/>
        </w:rPr>
        <w:t>.  Técnicas del proceso oral: En el sistema penal acusatorio colombiano, Bogotá, 2009.</w:t>
      </w:r>
    </w:p>
    <w:p w14:paraId="1648C8E2"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Reyna Alfaro Luis M</w:t>
      </w:r>
      <w:r w:rsidRPr="00D66245">
        <w:rPr>
          <w:rFonts w:ascii="Palatino Linotype" w:hAnsi="Palatino Linotype"/>
        </w:rPr>
        <w:t>. Tratado integral de litigación estratégica, Lima, 2012.</w:t>
      </w:r>
    </w:p>
    <w:p w14:paraId="014F3ED4"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Rua Gonzalo</w:t>
      </w:r>
      <w:r w:rsidRPr="00D66245">
        <w:rPr>
          <w:rFonts w:ascii="Palatino Linotype" w:hAnsi="Palatino Linotype"/>
        </w:rPr>
        <w:t>.  Contraexamen de testigos, Argentina, 2014.</w:t>
      </w:r>
    </w:p>
    <w:p w14:paraId="5829EB62"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Rua Gonzalo</w:t>
      </w:r>
      <w:r w:rsidRPr="00D66245">
        <w:rPr>
          <w:rFonts w:ascii="Palatino Linotype" w:hAnsi="Palatino Linotype"/>
        </w:rPr>
        <w:t>.  Examen directo de testigos, Argentina, 2015.</w:t>
      </w:r>
    </w:p>
    <w:p w14:paraId="5B37FA6C"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Said Alberto</w:t>
      </w:r>
      <w:r w:rsidRPr="00D66245">
        <w:rPr>
          <w:rFonts w:ascii="Palatino Linotype" w:hAnsi="Palatino Linotype"/>
        </w:rPr>
        <w:t>. Los Alegatos, México. 2004.</w:t>
      </w:r>
    </w:p>
    <w:p w14:paraId="0D8EF527"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Schopenhauer Arthur</w:t>
      </w:r>
      <w:r w:rsidRPr="00D66245">
        <w:rPr>
          <w:rFonts w:ascii="Palatino Linotype" w:hAnsi="Palatino Linotype"/>
        </w:rPr>
        <w:t>.  El arte de tener razón, España, 7ª reimpresión, 2018.</w:t>
      </w:r>
    </w:p>
    <w:p w14:paraId="405F8C92"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Suárez Carina</w:t>
      </w:r>
      <w:r w:rsidRPr="00D66245">
        <w:rPr>
          <w:rFonts w:ascii="Palatino Linotype" w:hAnsi="Palatino Linotype"/>
        </w:rPr>
        <w:t>.  Cómo plantear, resolver y argumentar un caso, Argentina, 2011.</w:t>
      </w:r>
    </w:p>
    <w:p w14:paraId="2CA087BE"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Sun Tzu.</w:t>
      </w:r>
      <w:r w:rsidRPr="00D66245">
        <w:rPr>
          <w:rFonts w:ascii="Palatino Linotype" w:hAnsi="Palatino Linotype"/>
        </w:rPr>
        <w:t xml:space="preserve"> El arte de la guerra, Madrid, 1998.</w:t>
      </w:r>
    </w:p>
    <w:p w14:paraId="25846189"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Taruffo Michele</w:t>
      </w:r>
      <w:r w:rsidRPr="00D66245">
        <w:rPr>
          <w:rFonts w:ascii="Palatino Linotype" w:hAnsi="Palatino Linotype"/>
        </w:rPr>
        <w:t>.  La prueba, trad. de Laura Manríquez y Jordi Ferrer, Madrid, 2008.</w:t>
      </w:r>
    </w:p>
    <w:p w14:paraId="629E929E"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lang w:val="it-IT"/>
        </w:rPr>
        <w:t>Traversi Alessandro</w:t>
      </w:r>
      <w:r w:rsidRPr="00D66245">
        <w:rPr>
          <w:rFonts w:ascii="Palatino Linotype" w:hAnsi="Palatino Linotype"/>
          <w:lang w:val="it-IT"/>
        </w:rPr>
        <w:t xml:space="preserve">.  La defensa penal. </w:t>
      </w:r>
      <w:r w:rsidRPr="00D66245">
        <w:rPr>
          <w:rFonts w:ascii="Palatino Linotype" w:hAnsi="Palatino Linotype"/>
        </w:rPr>
        <w:t>Técnicas argumentativas y oratorias, trad. de María Gómez, Navarra, 2005.</w:t>
      </w:r>
    </w:p>
    <w:p w14:paraId="786BAD08"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Tsu Sun</w:t>
      </w:r>
      <w:r w:rsidRPr="00D66245">
        <w:rPr>
          <w:rFonts w:ascii="Palatino Linotype" w:hAnsi="Palatino Linotype"/>
        </w:rPr>
        <w:t>.  El arte de la guerra, trad. de Elisabeth Courbet, Barcelona, Edicomunicacion, 1999.</w:t>
      </w:r>
    </w:p>
    <w:p w14:paraId="55DA12DA"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USAID</w:t>
      </w:r>
      <w:r w:rsidRPr="00D66245">
        <w:rPr>
          <w:rFonts w:ascii="Palatino Linotype" w:hAnsi="Palatino Linotype"/>
        </w:rPr>
        <w:t>. Técnicas del proceso oral en el sistema oral colombiano. Módulo instruccional para defensores, Bogotá, 2003.</w:t>
      </w:r>
    </w:p>
    <w:p w14:paraId="2A121448"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Vial Pelayo</w:t>
      </w:r>
      <w:r w:rsidRPr="00D66245">
        <w:rPr>
          <w:rFonts w:ascii="Palatino Linotype" w:hAnsi="Palatino Linotype"/>
        </w:rPr>
        <w:t xml:space="preserve">. Técnicas y fundamentos del contraexamen en el proceso penal chileno, s.l.e, s.f.e. </w:t>
      </w:r>
    </w:p>
    <w:p w14:paraId="12A0D4E4"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rPr>
        <w:t xml:space="preserve">Wellman Francis.  </w:t>
      </w:r>
      <w:r w:rsidRPr="00D66245">
        <w:rPr>
          <w:rFonts w:ascii="Palatino Linotype" w:hAnsi="Palatino Linotype"/>
        </w:rPr>
        <w:t>Cómo ganar juicios, Argentina, 2018.</w:t>
      </w:r>
    </w:p>
    <w:p w14:paraId="3F13F449" w14:textId="77777777" w:rsidR="008057F8" w:rsidRPr="00D66245" w:rsidRDefault="008057F8" w:rsidP="008057F8">
      <w:pPr>
        <w:spacing w:after="0" w:line="240" w:lineRule="auto"/>
        <w:jc w:val="both"/>
        <w:rPr>
          <w:rFonts w:ascii="Palatino Linotype" w:hAnsi="Palatino Linotype"/>
        </w:rPr>
      </w:pPr>
      <w:r w:rsidRPr="00D66245">
        <w:rPr>
          <w:rFonts w:ascii="Palatino Linotype" w:hAnsi="Palatino Linotype"/>
          <w:b/>
          <w:lang w:val="en-US"/>
        </w:rPr>
        <w:t xml:space="preserve">Wellman Francis.  </w:t>
      </w:r>
      <w:r w:rsidRPr="00D66245">
        <w:rPr>
          <w:rFonts w:ascii="Palatino Linotype" w:hAnsi="Palatino Linotype"/>
          <w:lang w:val="en-US"/>
        </w:rPr>
        <w:t xml:space="preserve">Success in court.  </w:t>
      </w:r>
      <w:r w:rsidRPr="00D66245">
        <w:rPr>
          <w:rFonts w:ascii="Palatino Linotype" w:hAnsi="Palatino Linotype"/>
        </w:rPr>
        <w:t>New York, 1941.</w:t>
      </w:r>
    </w:p>
    <w:p w14:paraId="7B8F7CF7" w14:textId="77777777" w:rsidR="008057F8" w:rsidRPr="00D66245" w:rsidRDefault="008057F8" w:rsidP="008057F8">
      <w:pPr>
        <w:pStyle w:val="Prrafodelista"/>
        <w:spacing w:after="0" w:line="240" w:lineRule="auto"/>
        <w:ind w:left="0"/>
        <w:contextualSpacing w:val="0"/>
        <w:jc w:val="both"/>
        <w:rPr>
          <w:rFonts w:ascii="Palatino Linotype" w:hAnsi="Palatino Linotype"/>
        </w:rPr>
      </w:pPr>
      <w:r w:rsidRPr="00D66245">
        <w:rPr>
          <w:rFonts w:ascii="Palatino Linotype" w:hAnsi="Palatino Linotype"/>
          <w:b/>
        </w:rPr>
        <w:t>Young Tomás</w:t>
      </w:r>
      <w:r w:rsidRPr="00D66245">
        <w:rPr>
          <w:rFonts w:ascii="Palatino Linotype" w:hAnsi="Palatino Linotype"/>
        </w:rPr>
        <w:t>. Técnica de interrogación de testigo, Buenos Aires, 2001.</w:t>
      </w:r>
    </w:p>
    <w:p w14:paraId="6032C7DC" w14:textId="1AEBA4EF" w:rsidR="008057F8" w:rsidRDefault="008057F8" w:rsidP="008057F8">
      <w:pPr>
        <w:spacing w:before="120" w:after="200"/>
        <w:rPr>
          <w:rFonts w:ascii="Palatino Linotype" w:hAnsi="Palatino Linotype"/>
          <w:b/>
          <w:shd w:val="clear" w:color="auto" w:fill="FFFFFF"/>
          <w:lang w:val="es-ES_tradnl"/>
        </w:rPr>
      </w:pPr>
    </w:p>
    <w:p w14:paraId="5D232111" w14:textId="27B86484" w:rsidR="00BE4897" w:rsidRDefault="00BE4897" w:rsidP="008057F8">
      <w:pPr>
        <w:spacing w:before="120" w:after="200"/>
        <w:rPr>
          <w:rFonts w:ascii="Palatino Linotype" w:hAnsi="Palatino Linotype"/>
          <w:b/>
          <w:shd w:val="clear" w:color="auto" w:fill="FFFFFF"/>
          <w:lang w:val="es-ES_tradnl"/>
        </w:rPr>
      </w:pPr>
    </w:p>
    <w:p w14:paraId="38648EBC" w14:textId="77777777" w:rsidR="00BE4897" w:rsidRDefault="00BE4897" w:rsidP="008057F8">
      <w:pPr>
        <w:spacing w:before="120" w:after="200"/>
        <w:ind w:firstLine="708"/>
        <w:jc w:val="center"/>
        <w:rPr>
          <w:rFonts w:ascii="Palatino Linotype" w:hAnsi="Palatino Linotype"/>
          <w:b/>
          <w:shd w:val="clear" w:color="auto" w:fill="FFFFFF"/>
          <w:lang w:val="es-ES_tradnl"/>
        </w:rPr>
        <w:sectPr w:rsidR="00BE4897" w:rsidSect="00BA1B42">
          <w:headerReference w:type="even" r:id="rId39"/>
          <w:type w:val="nextColumn"/>
          <w:pgSz w:w="12242" w:h="15842" w:code="1"/>
          <w:pgMar w:top="1474" w:right="2098" w:bottom="1021" w:left="2778" w:header="851" w:footer="2835" w:gutter="0"/>
          <w:cols w:space="708"/>
          <w:titlePg/>
          <w:docGrid w:linePitch="360"/>
        </w:sectPr>
      </w:pPr>
    </w:p>
    <w:p w14:paraId="471E453A" w14:textId="04C49459" w:rsidR="008057F8" w:rsidRDefault="008057F8" w:rsidP="008057F8">
      <w:pPr>
        <w:spacing w:before="120" w:after="200"/>
        <w:ind w:firstLine="708"/>
        <w:jc w:val="center"/>
        <w:rPr>
          <w:rFonts w:ascii="Palatino Linotype" w:hAnsi="Palatino Linotype"/>
          <w:b/>
          <w:shd w:val="clear" w:color="auto" w:fill="FFFFFF"/>
          <w:lang w:val="es-ES_tradnl"/>
        </w:rPr>
      </w:pPr>
    </w:p>
    <w:p w14:paraId="6F529490" w14:textId="51ECC99B" w:rsidR="008057F8" w:rsidRPr="0027447C" w:rsidRDefault="0027447C" w:rsidP="008057F8">
      <w:pPr>
        <w:spacing w:before="120" w:after="200"/>
        <w:ind w:firstLine="708"/>
        <w:jc w:val="center"/>
        <w:rPr>
          <w:rFonts w:ascii="Palatino Linotype" w:hAnsi="Palatino Linotype"/>
          <w:b/>
          <w:i/>
          <w:shd w:val="clear" w:color="auto" w:fill="FFFFFF"/>
          <w:lang w:val="es-ES_tradnl"/>
        </w:rPr>
      </w:pPr>
      <w:r w:rsidRPr="0027447C">
        <w:rPr>
          <w:rFonts w:ascii="Palatino Linotype" w:hAnsi="Palatino Linotype"/>
          <w:b/>
          <w:i/>
          <w:shd w:val="clear" w:color="auto" w:fill="FFFFFF"/>
          <w:lang w:val="es-ES_tradnl"/>
        </w:rPr>
        <w:t>REPENSANDO LA INICIATIVA PROBATORIA DEL ÓRGANO JURISDICCIONAL</w:t>
      </w:r>
    </w:p>
    <w:p w14:paraId="2D3C0A46" w14:textId="77777777" w:rsidR="0045124B" w:rsidRDefault="0045124B" w:rsidP="0045124B">
      <w:pPr>
        <w:rPr>
          <w:rFonts w:ascii="Palatino Linotype" w:hAnsi="Palatino Linotype"/>
          <w:b/>
          <w:lang w:val="es-CR"/>
        </w:rPr>
      </w:pPr>
    </w:p>
    <w:p w14:paraId="63AE7287" w14:textId="1AF11194" w:rsidR="008057F8" w:rsidRPr="00E87246" w:rsidRDefault="008057F8" w:rsidP="0045124B">
      <w:pPr>
        <w:rPr>
          <w:rFonts w:ascii="Palatino Linotype" w:hAnsi="Palatino Linotype"/>
          <w:b/>
          <w:lang w:val="es-CR"/>
        </w:rPr>
      </w:pPr>
      <w:r w:rsidRPr="00E87246">
        <w:rPr>
          <w:rFonts w:ascii="Palatino Linotype" w:hAnsi="Palatino Linotype"/>
          <w:b/>
          <w:lang w:val="es-CR"/>
        </w:rPr>
        <w:t>CONTENIDO</w:t>
      </w:r>
    </w:p>
    <w:p w14:paraId="366C9B48" w14:textId="77777777" w:rsidR="008057F8" w:rsidRPr="00E87246" w:rsidRDefault="008057F8" w:rsidP="008057F8">
      <w:pPr>
        <w:spacing w:after="0"/>
        <w:rPr>
          <w:rFonts w:ascii="Palatino Linotype" w:hAnsi="Palatino Linotype"/>
          <w:b/>
          <w:shd w:val="clear" w:color="auto" w:fill="FFFFFF"/>
          <w:lang w:val="es-ES_tradnl"/>
        </w:rPr>
      </w:pPr>
      <w:r w:rsidRPr="00E87246">
        <w:rPr>
          <w:rFonts w:ascii="Palatino Linotype" w:hAnsi="Palatino Linotype"/>
          <w:shd w:val="clear" w:color="auto" w:fill="FFFFFF"/>
          <w:lang w:val="es-ES_tradnl"/>
        </w:rPr>
        <w:t>1</w:t>
      </w:r>
      <w:r w:rsidRPr="00E87246">
        <w:rPr>
          <w:rFonts w:ascii="Palatino Linotype" w:hAnsi="Palatino Linotype"/>
          <w:b/>
          <w:shd w:val="clear" w:color="auto" w:fill="FFFFFF"/>
          <w:lang w:val="es-ES_tradnl"/>
        </w:rPr>
        <w:t>. Introducción</w:t>
      </w:r>
    </w:p>
    <w:p w14:paraId="7F8DE4C1" w14:textId="77777777" w:rsidR="008057F8" w:rsidRPr="00E87246" w:rsidRDefault="008057F8" w:rsidP="008057F8">
      <w:pPr>
        <w:spacing w:after="0"/>
        <w:rPr>
          <w:rFonts w:ascii="Palatino Linotype" w:hAnsi="Palatino Linotype"/>
          <w:b/>
          <w:shd w:val="clear" w:color="auto" w:fill="FFFFFF"/>
          <w:lang w:val="es-ES_tradnl"/>
        </w:rPr>
      </w:pPr>
      <w:r w:rsidRPr="00E87246">
        <w:rPr>
          <w:rFonts w:ascii="Palatino Linotype" w:hAnsi="Palatino Linotype"/>
          <w:b/>
          <w:shd w:val="clear" w:color="auto" w:fill="FFFFFF"/>
          <w:lang w:val="es-ES_tradnl"/>
        </w:rPr>
        <w:t>2. Análisis general de los poderes probatorios del juez</w:t>
      </w:r>
    </w:p>
    <w:p w14:paraId="018DCAE2" w14:textId="77777777" w:rsidR="008057F8" w:rsidRPr="00E87246" w:rsidRDefault="008057F8" w:rsidP="00E87246">
      <w:pPr>
        <w:pStyle w:val="TDC1"/>
      </w:pPr>
      <w:r w:rsidRPr="00E87246">
        <w:t>2.1. ¿Qué modelo procesal instaura el NCPC?</w:t>
      </w:r>
    </w:p>
    <w:p w14:paraId="37AD02DD" w14:textId="77777777" w:rsidR="008057F8" w:rsidRPr="00E87246" w:rsidRDefault="008057F8" w:rsidP="00E87246">
      <w:pPr>
        <w:pStyle w:val="TDC1"/>
      </w:pPr>
      <w:r w:rsidRPr="00E87246">
        <w:t>2.2. ¿Debe otorgarse iniciativa probatoria al juez?</w:t>
      </w:r>
    </w:p>
    <w:p w14:paraId="0353AC0F" w14:textId="77777777" w:rsidR="008057F8" w:rsidRPr="00E87246" w:rsidRDefault="008057F8" w:rsidP="008057F8">
      <w:pPr>
        <w:spacing w:after="0"/>
        <w:rPr>
          <w:rFonts w:ascii="Palatino Linotype" w:hAnsi="Palatino Linotype"/>
          <w:b/>
          <w:lang w:val="es-ES_tradnl" w:eastAsia="es-ES_tradnl"/>
        </w:rPr>
      </w:pPr>
      <w:r w:rsidRPr="00E87246">
        <w:rPr>
          <w:rFonts w:ascii="Palatino Linotype" w:hAnsi="Palatino Linotype"/>
          <w:b/>
          <w:lang w:val="es-ES_tradnl" w:eastAsia="es-ES_tradnl"/>
        </w:rPr>
        <w:t xml:space="preserve">3. </w:t>
      </w:r>
      <w:r w:rsidR="00D33176" w:rsidRPr="00E87246">
        <w:rPr>
          <w:rFonts w:ascii="Palatino Linotype" w:hAnsi="Palatino Linotype"/>
          <w:b/>
          <w:lang w:val="es-ES_tradnl" w:eastAsia="es-ES_tradnl"/>
        </w:rPr>
        <w:t>I</w:t>
      </w:r>
      <w:r w:rsidRPr="00E87246">
        <w:rPr>
          <w:rFonts w:ascii="Palatino Linotype" w:hAnsi="Palatino Linotype"/>
          <w:b/>
          <w:lang w:val="es-ES_tradnl" w:eastAsia="es-ES_tradnl"/>
        </w:rPr>
        <w:t>niciativa probatoria del juez</w:t>
      </w:r>
    </w:p>
    <w:p w14:paraId="3BFC7D3D" w14:textId="77777777" w:rsidR="008057F8" w:rsidRPr="00E87246" w:rsidRDefault="008057F8" w:rsidP="00E87246">
      <w:pPr>
        <w:pStyle w:val="TDC1"/>
      </w:pPr>
      <w:r w:rsidRPr="00E87246">
        <w:t xml:space="preserve">3.1 Aspectos generales en el NCPC </w:t>
      </w:r>
    </w:p>
    <w:p w14:paraId="605D5312" w14:textId="77777777" w:rsidR="008057F8" w:rsidRPr="00E87246" w:rsidRDefault="008057F8" w:rsidP="00E87246">
      <w:pPr>
        <w:pStyle w:val="TDC1"/>
      </w:pPr>
      <w:r w:rsidRPr="00E87246">
        <w:t>3.1.2. Fundamento</w:t>
      </w:r>
    </w:p>
    <w:p w14:paraId="7748B613" w14:textId="77777777" w:rsidR="008057F8" w:rsidRPr="00E87246" w:rsidRDefault="008057F8" w:rsidP="00E87246">
      <w:pPr>
        <w:pStyle w:val="TDC1"/>
      </w:pPr>
      <w:r w:rsidRPr="00E87246">
        <w:t>3.1.3. Contradicción</w:t>
      </w:r>
    </w:p>
    <w:p w14:paraId="3B7DDD41" w14:textId="77777777" w:rsidR="008057F8" w:rsidRPr="00E87246" w:rsidRDefault="008057F8" w:rsidP="00E87246">
      <w:pPr>
        <w:pStyle w:val="TDC1"/>
      </w:pPr>
      <w:r w:rsidRPr="00E87246">
        <w:t>3.2.4. Impugnabilidad de la resolución</w:t>
      </w:r>
    </w:p>
    <w:p w14:paraId="669DE53F" w14:textId="77777777" w:rsidR="008057F8" w:rsidRPr="00E87246" w:rsidRDefault="008057F8" w:rsidP="00E87246">
      <w:pPr>
        <w:pStyle w:val="TDC1"/>
      </w:pPr>
      <w:r w:rsidRPr="00E87246">
        <w:t xml:space="preserve">4. Criticas al artículo 41.3 del NCPC </w:t>
      </w:r>
      <w:r w:rsidRPr="00E87246">
        <w:fldChar w:fldCharType="begin"/>
      </w:r>
      <w:r w:rsidRPr="00E87246">
        <w:instrText xml:space="preserve"> TOC \o "1-3" \h \z \u </w:instrText>
      </w:r>
      <w:r w:rsidRPr="00E87246">
        <w:fldChar w:fldCharType="separate"/>
      </w:r>
    </w:p>
    <w:p w14:paraId="52708B89" w14:textId="77777777" w:rsidR="008057F8" w:rsidRPr="00E87246" w:rsidRDefault="008057F8" w:rsidP="008057F8">
      <w:pPr>
        <w:spacing w:after="0" w:line="240" w:lineRule="auto"/>
        <w:ind w:left="708"/>
        <w:rPr>
          <w:rFonts w:ascii="Palatino Linotype" w:hAnsi="Palatino Linotype"/>
          <w:lang w:val="es-ES_tradnl" w:eastAsia="es-ES_tradnl"/>
        </w:rPr>
      </w:pPr>
      <w:r w:rsidRPr="00E87246">
        <w:rPr>
          <w:rFonts w:ascii="Palatino Linotype" w:hAnsi="Palatino Linotype"/>
          <w:lang w:val="es-ES_tradnl" w:eastAsia="es-ES_tradnl"/>
        </w:rPr>
        <w:t>4.1. Transgresión al principio dispositivo</w:t>
      </w:r>
    </w:p>
    <w:p w14:paraId="42A5E4F4" w14:textId="77777777" w:rsidR="008057F8" w:rsidRPr="00E87246" w:rsidRDefault="008057F8" w:rsidP="008057F8">
      <w:pPr>
        <w:spacing w:after="0" w:line="240" w:lineRule="auto"/>
        <w:ind w:left="708"/>
        <w:rPr>
          <w:rFonts w:ascii="Palatino Linotype" w:hAnsi="Palatino Linotype"/>
          <w:lang w:val="es-ES_tradnl" w:eastAsia="es-ES_tradnl"/>
        </w:rPr>
      </w:pPr>
      <w:r w:rsidRPr="00E87246">
        <w:rPr>
          <w:rFonts w:ascii="Palatino Linotype" w:hAnsi="Palatino Linotype"/>
          <w:lang w:val="es-ES_tradnl" w:eastAsia="es-ES_tradnl"/>
        </w:rPr>
        <w:t>4.2 Inaplicación de la regla de juicio: la carga de la prueba</w:t>
      </w:r>
    </w:p>
    <w:p w14:paraId="714D4AD7" w14:textId="77777777" w:rsidR="008057F8" w:rsidRPr="00E87246" w:rsidRDefault="008057F8" w:rsidP="008057F8">
      <w:pPr>
        <w:spacing w:after="0" w:line="240" w:lineRule="auto"/>
        <w:ind w:left="708"/>
        <w:rPr>
          <w:rFonts w:ascii="Palatino Linotype" w:hAnsi="Palatino Linotype"/>
          <w:lang w:val="es-ES_tradnl" w:eastAsia="es-ES_tradnl"/>
        </w:rPr>
      </w:pPr>
      <w:r w:rsidRPr="00E87246">
        <w:rPr>
          <w:rFonts w:ascii="Palatino Linotype" w:hAnsi="Palatino Linotype"/>
          <w:lang w:val="es-ES_tradnl" w:eastAsia="es-ES_tradnl"/>
        </w:rPr>
        <w:t>4.3 Violación al deber de imparcialidad}</w:t>
      </w:r>
    </w:p>
    <w:p w14:paraId="3D3D1104" w14:textId="77777777" w:rsidR="008057F8" w:rsidRPr="00E87246" w:rsidRDefault="008057F8" w:rsidP="008057F8">
      <w:pPr>
        <w:spacing w:after="0" w:line="240" w:lineRule="auto"/>
        <w:ind w:left="708"/>
        <w:rPr>
          <w:rFonts w:ascii="Palatino Linotype" w:hAnsi="Palatino Linotype"/>
          <w:lang w:val="es-ES_tradnl" w:eastAsia="es-ES_tradnl"/>
        </w:rPr>
      </w:pPr>
      <w:r w:rsidRPr="00E87246">
        <w:rPr>
          <w:rFonts w:ascii="Palatino Linotype" w:hAnsi="Palatino Linotype"/>
          <w:lang w:val="es-ES_tradnl" w:eastAsia="es-ES_tradnl"/>
        </w:rPr>
        <w:t>4.4 Inobservancia al principio de igualdad entre las partes/igualdad de armas}</w:t>
      </w:r>
    </w:p>
    <w:p w14:paraId="6AC2AA7B" w14:textId="77777777" w:rsidR="008057F8" w:rsidRPr="00E87246" w:rsidRDefault="008057F8" w:rsidP="008057F8">
      <w:pPr>
        <w:spacing w:after="0" w:line="240" w:lineRule="auto"/>
        <w:ind w:left="708"/>
        <w:rPr>
          <w:rFonts w:ascii="Palatino Linotype" w:hAnsi="Palatino Linotype"/>
          <w:lang w:val="es-ES_tradnl" w:eastAsia="es-ES_tradnl"/>
        </w:rPr>
      </w:pPr>
      <w:r w:rsidRPr="00E87246">
        <w:rPr>
          <w:rFonts w:ascii="Palatino Linotype" w:hAnsi="Palatino Linotype"/>
          <w:lang w:val="es-ES_tradnl" w:eastAsia="es-ES_tradnl"/>
        </w:rPr>
        <w:t>4.5. Fomentar la desidia o negligencia de las partes</w:t>
      </w:r>
    </w:p>
    <w:p w14:paraId="49131D54" w14:textId="77777777" w:rsidR="008057F8" w:rsidRPr="00E87246" w:rsidRDefault="008057F8" w:rsidP="008057F8">
      <w:pPr>
        <w:spacing w:after="0" w:line="240" w:lineRule="auto"/>
        <w:rPr>
          <w:rFonts w:ascii="Palatino Linotype" w:hAnsi="Palatino Linotype"/>
          <w:b/>
          <w:lang w:val="es-ES_tradnl" w:eastAsia="es-ES_tradnl"/>
        </w:rPr>
      </w:pPr>
      <w:r w:rsidRPr="00E87246">
        <w:rPr>
          <w:rFonts w:ascii="Palatino Linotype" w:hAnsi="Palatino Linotype"/>
          <w:b/>
          <w:lang w:val="es-ES_tradnl" w:eastAsia="es-ES_tradnl"/>
        </w:rPr>
        <w:t>5. Conclusiones</w:t>
      </w:r>
    </w:p>
    <w:p w14:paraId="7D5907E3" w14:textId="77777777" w:rsidR="008057F8" w:rsidRPr="00E87246" w:rsidRDefault="008057F8" w:rsidP="008057F8">
      <w:pPr>
        <w:rPr>
          <w:rFonts w:ascii="Palatino Linotype" w:hAnsi="Palatino Linotype"/>
          <w:b/>
          <w:lang w:val="es-ES_tradnl" w:eastAsia="es-ES_tradnl"/>
        </w:rPr>
      </w:pPr>
      <w:r w:rsidRPr="00E87246">
        <w:rPr>
          <w:rFonts w:ascii="Palatino Linotype" w:hAnsi="Palatino Linotype"/>
          <w:b/>
          <w:lang w:val="es-ES_tradnl" w:eastAsia="es-ES_tradnl"/>
        </w:rPr>
        <w:t>6. Bibliografía</w:t>
      </w:r>
    </w:p>
    <w:p w14:paraId="5B9090A4" w14:textId="77777777" w:rsidR="008057F8" w:rsidRPr="00D66245" w:rsidRDefault="008057F8" w:rsidP="00E87246">
      <w:pPr>
        <w:pStyle w:val="TDC1"/>
        <w:rPr>
          <w:caps/>
          <w:noProof/>
          <w:lang w:val="es-CR"/>
        </w:rPr>
      </w:pPr>
      <w:r w:rsidRPr="00E87246">
        <w:rPr>
          <w:noProof/>
        </w:rPr>
        <w:fldChar w:fldCharType="end"/>
      </w:r>
      <w:r w:rsidRPr="00D66245">
        <w:rPr>
          <w:noProof/>
        </w:rPr>
        <w:br w:type="page"/>
      </w:r>
    </w:p>
    <w:p w14:paraId="158EF9B8" w14:textId="322D9559" w:rsidR="008057F8" w:rsidRPr="00E87246" w:rsidRDefault="0045124B" w:rsidP="00E87246">
      <w:pPr>
        <w:pStyle w:val="TDC1"/>
      </w:pPr>
      <w:r w:rsidRPr="00E87246">
        <w:lastRenderedPageBreak/>
        <w:t>REPENSANDO LA INICIATIVA PROBATORIA DEL ÓRGANO JURISDICCIONAL</w:t>
      </w:r>
    </w:p>
    <w:p w14:paraId="290EB494" w14:textId="77777777" w:rsidR="008057F8" w:rsidRPr="00D66245" w:rsidRDefault="008057F8" w:rsidP="008057F8">
      <w:pPr>
        <w:spacing w:before="120" w:after="200"/>
        <w:ind w:firstLine="708"/>
        <w:jc w:val="right"/>
        <w:rPr>
          <w:rFonts w:ascii="Palatino Linotype" w:hAnsi="Palatino Linotype"/>
          <w:b/>
          <w:i/>
          <w:shd w:val="clear" w:color="auto" w:fill="FFFFFF"/>
          <w:lang w:val="es-ES_tradnl"/>
        </w:rPr>
      </w:pPr>
      <w:r w:rsidRPr="00D66245">
        <w:rPr>
          <w:rFonts w:ascii="Palatino Linotype" w:hAnsi="Palatino Linotype"/>
          <w:b/>
          <w:i/>
          <w:shd w:val="clear" w:color="auto" w:fill="FFFFFF"/>
          <w:lang w:val="es-ES_tradnl"/>
        </w:rPr>
        <w:t>Msc. Katherine Calvo Artavia</w:t>
      </w:r>
      <w:r w:rsidRPr="00D66245">
        <w:rPr>
          <w:rStyle w:val="Refdenotaalpie"/>
          <w:rFonts w:ascii="Palatino Linotype" w:hAnsi="Palatino Linotype"/>
          <w:b/>
          <w:i/>
          <w:shd w:val="clear" w:color="auto" w:fill="FFFFFF"/>
          <w:lang w:val="es-ES_tradnl"/>
        </w:rPr>
        <w:footnoteReference w:id="42"/>
      </w:r>
    </w:p>
    <w:p w14:paraId="3432561A" w14:textId="77777777" w:rsidR="008057F8" w:rsidRPr="00D66245" w:rsidRDefault="008057F8" w:rsidP="008057F8">
      <w:pPr>
        <w:pStyle w:val="Ttulo1"/>
        <w:spacing w:before="120" w:after="200"/>
        <w:rPr>
          <w:rFonts w:ascii="Palatino Linotype" w:hAnsi="Palatino Linotype"/>
          <w:sz w:val="22"/>
          <w:szCs w:val="22"/>
          <w:shd w:val="clear" w:color="auto" w:fill="FFFFFF"/>
          <w:lang w:val="es-ES_tradnl"/>
        </w:rPr>
      </w:pPr>
      <w:bookmarkStart w:id="39" w:name="_Toc8147329"/>
    </w:p>
    <w:p w14:paraId="0A1DF01A" w14:textId="77777777" w:rsidR="008057F8" w:rsidRPr="00D66245" w:rsidRDefault="008057F8" w:rsidP="008057F8">
      <w:pPr>
        <w:pStyle w:val="Ttulo1"/>
        <w:spacing w:before="120" w:after="200"/>
        <w:rPr>
          <w:rFonts w:ascii="Palatino Linotype" w:hAnsi="Palatino Linotype"/>
          <w:b w:val="0"/>
          <w:sz w:val="22"/>
          <w:szCs w:val="22"/>
          <w:shd w:val="clear" w:color="auto" w:fill="FFFFFF"/>
          <w:lang w:val="es-ES_tradnl"/>
        </w:rPr>
      </w:pPr>
      <w:r w:rsidRPr="00D66245">
        <w:rPr>
          <w:rFonts w:ascii="Palatino Linotype" w:hAnsi="Palatino Linotype"/>
          <w:sz w:val="22"/>
          <w:szCs w:val="22"/>
          <w:shd w:val="clear" w:color="auto" w:fill="FFFFFF"/>
          <w:lang w:val="es-ES_tradnl"/>
        </w:rPr>
        <w:t>1.</w:t>
      </w:r>
      <w:r w:rsidRPr="00D66245">
        <w:rPr>
          <w:rFonts w:ascii="Palatino Linotype" w:hAnsi="Palatino Linotype"/>
          <w:b w:val="0"/>
          <w:sz w:val="22"/>
          <w:szCs w:val="22"/>
          <w:shd w:val="clear" w:color="auto" w:fill="FFFFFF"/>
          <w:lang w:val="es-ES_tradnl"/>
        </w:rPr>
        <w:t xml:space="preserve"> </w:t>
      </w:r>
      <w:r w:rsidRPr="00D66245">
        <w:rPr>
          <w:rFonts w:ascii="Palatino Linotype" w:hAnsi="Palatino Linotype"/>
          <w:sz w:val="22"/>
          <w:szCs w:val="22"/>
          <w:shd w:val="clear" w:color="auto" w:fill="FFFFFF"/>
          <w:lang w:val="es-ES_tradnl"/>
        </w:rPr>
        <w:t>INTRODUCCIÓN</w:t>
      </w:r>
      <w:bookmarkEnd w:id="39"/>
    </w:p>
    <w:p w14:paraId="3990C1F4" w14:textId="77777777" w:rsidR="008057F8" w:rsidRPr="00D66245" w:rsidRDefault="008057F8" w:rsidP="008057F8">
      <w:pPr>
        <w:spacing w:before="120" w:after="200" w:line="240" w:lineRule="auto"/>
        <w:ind w:firstLine="360"/>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Los poderes probatorios del juez y, en específico, el de iniciativa probatoria que permite al juzgador incorporar al proceso prueba que no fue aportada por las partes,</w:t>
      </w:r>
      <w:r w:rsidRPr="00D66245">
        <w:rPr>
          <w:rFonts w:ascii="Palatino Linotype" w:hAnsi="Palatino Linotype"/>
          <w:b/>
          <w:shd w:val="clear" w:color="auto" w:fill="FFFFFF"/>
          <w:lang w:val="es-ES_tradnl"/>
        </w:rPr>
        <w:t xml:space="preserve"> </w:t>
      </w:r>
      <w:r w:rsidRPr="00D66245">
        <w:rPr>
          <w:rFonts w:ascii="Palatino Linotype" w:hAnsi="Palatino Linotype"/>
          <w:shd w:val="clear" w:color="auto" w:fill="FFFFFF"/>
          <w:lang w:val="es-ES_tradnl"/>
        </w:rPr>
        <w:t>han sido ampliamente discutidos en la doctrina y en la práctica. El tema, adquiere una mayor notoriedad debido a la entrada en vigor del Nuevo Código Procesal Civil</w:t>
      </w:r>
      <w:r w:rsidRPr="00D66245">
        <w:rPr>
          <w:rStyle w:val="Refdenotaalpie"/>
          <w:rFonts w:ascii="Palatino Linotype" w:hAnsi="Palatino Linotype"/>
          <w:shd w:val="clear" w:color="auto" w:fill="FFFFFF"/>
          <w:lang w:val="es-ES_tradnl"/>
        </w:rPr>
        <w:footnoteReference w:id="43"/>
      </w:r>
      <w:r w:rsidRPr="00D66245">
        <w:rPr>
          <w:rFonts w:ascii="Palatino Linotype" w:hAnsi="Palatino Linotype"/>
          <w:shd w:val="clear" w:color="auto" w:fill="FFFFFF"/>
          <w:lang w:val="es-ES_tradnl"/>
        </w:rPr>
        <w:t xml:space="preserve"> (en adelante NCPC). Si bien la iniciativa probatoria del juez no es ninguna novedad, pues el ya derogado Código Procesal Civil de 1989</w:t>
      </w:r>
      <w:r w:rsidRPr="00D66245">
        <w:rPr>
          <w:rStyle w:val="Refdenotaalpie"/>
          <w:rFonts w:ascii="Palatino Linotype" w:hAnsi="Palatino Linotype"/>
          <w:shd w:val="clear" w:color="auto" w:fill="FFFFFF"/>
          <w:lang w:val="es-ES_tradnl"/>
        </w:rPr>
        <w:footnoteReference w:id="44"/>
      </w:r>
      <w:r w:rsidRPr="00D66245">
        <w:rPr>
          <w:rFonts w:ascii="Palatino Linotype" w:hAnsi="Palatino Linotype"/>
          <w:shd w:val="clear" w:color="auto" w:fill="FFFFFF"/>
          <w:lang w:val="es-ES_tradnl"/>
        </w:rPr>
        <w:t xml:space="preserve"> - en adelante CPCD- establecía la facultad del juez para ordenar prueba de oficio y la conocida prueba para mejor resolver, el NCPC, al instaurar un nuevo modelo procesal y ampliar las facultades y poderes del juez, realiza reformas que reflejan cambios significativos en su aplicación y alcances.  </w:t>
      </w:r>
    </w:p>
    <w:p w14:paraId="016D8370" w14:textId="77777777" w:rsidR="008057F8" w:rsidRPr="00D66245" w:rsidRDefault="008057F8" w:rsidP="008057F8">
      <w:pPr>
        <w:spacing w:before="120" w:after="200" w:line="240" w:lineRule="auto"/>
        <w:ind w:firstLine="360"/>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Según se desprende del artículo 5.6 del NCPC, uno de los principios inspiradores de la reforma procesal se orienta a procurar la búsqueda de la verdad.  En consonancia con esa línea ideológica -o de política legislativa si se prefiere- se dotó a los juzgadores de amplios poderes con el objetivo de aproximarse a esa </w:t>
      </w:r>
      <w:r w:rsidRPr="00D66245">
        <w:rPr>
          <w:rFonts w:ascii="Palatino Linotype" w:hAnsi="Palatino Linotype"/>
          <w:i/>
          <w:iCs/>
          <w:shd w:val="clear" w:color="auto" w:fill="FFFFFF"/>
          <w:lang w:val="es-ES_tradnl"/>
        </w:rPr>
        <w:t>“</w:t>
      </w:r>
      <w:r w:rsidRPr="00D66245">
        <w:rPr>
          <w:rFonts w:ascii="Palatino Linotype" w:hAnsi="Palatino Linotype"/>
          <w:iCs/>
          <w:shd w:val="clear" w:color="auto" w:fill="FFFFFF"/>
          <w:lang w:val="es-ES_tradnl"/>
        </w:rPr>
        <w:t>verdad</w:t>
      </w:r>
      <w:r w:rsidRPr="00D66245">
        <w:rPr>
          <w:rFonts w:ascii="Palatino Linotype" w:hAnsi="Palatino Linotype"/>
          <w:i/>
          <w:iCs/>
          <w:shd w:val="clear" w:color="auto" w:fill="FFFFFF"/>
          <w:lang w:val="es-ES_tradnl"/>
        </w:rPr>
        <w:t>”</w:t>
      </w:r>
      <w:r w:rsidRPr="00D66245">
        <w:rPr>
          <w:rFonts w:ascii="Palatino Linotype" w:hAnsi="Palatino Linotype"/>
          <w:iCs/>
          <w:shd w:val="clear" w:color="auto" w:fill="FFFFFF"/>
          <w:lang w:val="es-ES_tradnl"/>
        </w:rPr>
        <w:t xml:space="preserve">. Esto sin dejar de lado reglas expresas sobre </w:t>
      </w:r>
      <w:r w:rsidRPr="00D66245">
        <w:rPr>
          <w:rFonts w:ascii="Palatino Linotype" w:hAnsi="Palatino Linotype"/>
          <w:shd w:val="clear" w:color="auto" w:fill="FFFFFF"/>
          <w:lang w:val="es-ES_tradnl"/>
        </w:rPr>
        <w:t xml:space="preserve">la carga de prueba o el deber de aportación de las partes -artículo 41.1-. </w:t>
      </w:r>
    </w:p>
    <w:p w14:paraId="61581256" w14:textId="77777777" w:rsidR="008057F8" w:rsidRPr="00D66245" w:rsidRDefault="008057F8" w:rsidP="008057F8">
      <w:pPr>
        <w:spacing w:before="120" w:after="200" w:line="240" w:lineRule="auto"/>
        <w:ind w:firstLine="360"/>
        <w:jc w:val="both"/>
        <w:rPr>
          <w:rFonts w:ascii="Palatino Linotype" w:hAnsi="Palatino Linotype"/>
          <w:shd w:val="clear" w:color="auto" w:fill="FFFFFF"/>
          <w:lang w:val="es-ES_tradnl"/>
        </w:rPr>
      </w:pPr>
      <w:r w:rsidRPr="00D66245">
        <w:rPr>
          <w:rFonts w:ascii="Palatino Linotype" w:hAnsi="Palatino Linotype"/>
          <w:iCs/>
          <w:shd w:val="clear" w:color="auto" w:fill="FFFFFF"/>
          <w:lang w:val="es-ES_tradnl"/>
        </w:rPr>
        <w:t>La discusión reside en si esa iniciativa</w:t>
      </w:r>
      <w:r w:rsidRPr="00D66245">
        <w:rPr>
          <w:rFonts w:ascii="Palatino Linotype" w:hAnsi="Palatino Linotype"/>
          <w:shd w:val="clear" w:color="auto" w:fill="FFFFFF"/>
          <w:lang w:val="es-ES_tradnl"/>
        </w:rPr>
        <w:t xml:space="preserve"> es efectiva para la búsqueda de la verdad en el proceso y el esclarecimiento de los hechos o si, por el contrario, la prueba de oficio lo que provoca es traer prueba que meramente confirme </w:t>
      </w:r>
      <w:r w:rsidRPr="00D66245">
        <w:rPr>
          <w:rFonts w:ascii="Palatino Linotype" w:hAnsi="Palatino Linotype"/>
          <w:shd w:val="clear" w:color="auto" w:fill="FFFFFF"/>
          <w:lang w:val="es-ES_tradnl"/>
        </w:rPr>
        <w:lastRenderedPageBreak/>
        <w:t xml:space="preserve">la tesis del juez – quien pudo haber ya decidido qué parte lleva </w:t>
      </w:r>
      <w:r w:rsidRPr="00D66245">
        <w:rPr>
          <w:rFonts w:ascii="Palatino Linotype" w:hAnsi="Palatino Linotype"/>
          <w:i/>
          <w:shd w:val="clear" w:color="auto" w:fill="FFFFFF"/>
          <w:lang w:val="es-ES_tradnl"/>
        </w:rPr>
        <w:t xml:space="preserve">la razón </w:t>
      </w:r>
      <w:r w:rsidRPr="00D66245">
        <w:rPr>
          <w:rFonts w:ascii="Palatino Linotype" w:hAnsi="Palatino Linotype"/>
          <w:shd w:val="clear" w:color="auto" w:fill="FFFFFF"/>
          <w:lang w:val="es-ES_tradnl"/>
        </w:rPr>
        <w:t>y debe ganar el proceso-, lo anterior debido a los sesgos de confirmación</w:t>
      </w:r>
      <w:r w:rsidRPr="00D66245">
        <w:rPr>
          <w:rStyle w:val="Refdenotaalpie"/>
          <w:rFonts w:ascii="Palatino Linotype" w:hAnsi="Palatino Linotype"/>
          <w:shd w:val="clear" w:color="auto" w:fill="FFFFFF"/>
          <w:lang w:val="es-ES_tradnl"/>
        </w:rPr>
        <w:footnoteReference w:id="45"/>
      </w:r>
      <w:r w:rsidRPr="00D66245">
        <w:rPr>
          <w:rFonts w:ascii="Palatino Linotype" w:hAnsi="Palatino Linotype"/>
          <w:shd w:val="clear" w:color="auto" w:fill="FFFFFF"/>
          <w:lang w:val="es-ES_tradnl"/>
        </w:rPr>
        <w:t xml:space="preserve"> que pueda tener.</w:t>
      </w:r>
    </w:p>
    <w:p w14:paraId="2B711985" w14:textId="77777777" w:rsidR="008057F8" w:rsidRPr="00D66245" w:rsidRDefault="008057F8" w:rsidP="008057F8">
      <w:pPr>
        <w:spacing w:before="120" w:after="200" w:line="240" w:lineRule="auto"/>
        <w:ind w:firstLine="360"/>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El objetivo de este estudio es analizar de forma crítica la regulación sobre la iniciativa probatoria del juez que consagra los artículos 41.3, 67.2, 69.7.3 del NCPC. Para esto se pretende determinar si la nueva regulación guarda relación con el nuevo modelo procesal y de juez que instaura el NCPC, con su objetivo epistemológico y si realmente estamos ante un cambio estructural de la aplicación de esta potestad del juez. También se analizarán los límites y alcances de esta figura, para finalmente hacer referencia a las objeciones tradicionales y si las garantías o principios que a menudo se acusan como violentados, realmente se transgreden.</w:t>
      </w:r>
    </w:p>
    <w:p w14:paraId="2CECC568" w14:textId="77777777" w:rsidR="008057F8" w:rsidRPr="00D66245" w:rsidRDefault="008057F8" w:rsidP="008057F8">
      <w:pPr>
        <w:pStyle w:val="Ttulo1"/>
        <w:spacing w:before="120" w:after="200"/>
        <w:rPr>
          <w:rFonts w:ascii="Palatino Linotype" w:hAnsi="Palatino Linotype"/>
          <w:sz w:val="22"/>
          <w:szCs w:val="22"/>
          <w:shd w:val="clear" w:color="auto" w:fill="FFFFFF"/>
          <w:lang w:val="es-ES_tradnl"/>
        </w:rPr>
      </w:pPr>
      <w:bookmarkStart w:id="40" w:name="_Toc8147330"/>
      <w:r w:rsidRPr="00D66245">
        <w:rPr>
          <w:rFonts w:ascii="Palatino Linotype" w:hAnsi="Palatino Linotype"/>
          <w:sz w:val="22"/>
          <w:szCs w:val="22"/>
          <w:shd w:val="clear" w:color="auto" w:fill="FFFFFF"/>
          <w:lang w:val="es-ES_tradnl"/>
        </w:rPr>
        <w:t>2. ANÁLISIS GENERAL DE LOS PODERES PROBATORIOS DEL JUEZ</w:t>
      </w:r>
      <w:bookmarkEnd w:id="40"/>
    </w:p>
    <w:p w14:paraId="125DE234" w14:textId="77777777" w:rsidR="008057F8" w:rsidRPr="00D66245" w:rsidRDefault="008057F8" w:rsidP="008057F8">
      <w:pPr>
        <w:pStyle w:val="Ttulo2"/>
        <w:spacing w:before="120" w:after="200" w:line="360" w:lineRule="auto"/>
        <w:rPr>
          <w:rFonts w:ascii="Palatino Linotype" w:hAnsi="Palatino Linotype"/>
          <w:i/>
          <w:color w:val="auto"/>
          <w:sz w:val="22"/>
          <w:szCs w:val="22"/>
          <w:shd w:val="clear" w:color="auto" w:fill="FFFFFF"/>
          <w:lang w:val="es-ES_tradnl"/>
        </w:rPr>
      </w:pPr>
      <w:bookmarkStart w:id="41" w:name="_Toc8147331"/>
      <w:r w:rsidRPr="00D66245">
        <w:rPr>
          <w:rFonts w:ascii="Palatino Linotype" w:hAnsi="Palatino Linotype"/>
          <w:i/>
          <w:color w:val="auto"/>
          <w:sz w:val="22"/>
          <w:szCs w:val="22"/>
          <w:shd w:val="clear" w:color="auto" w:fill="FFFFFF"/>
          <w:lang w:val="es-ES_tradnl"/>
        </w:rPr>
        <w:t>2.1. ¿Qué modelo procesal instaura el NCPC?</w:t>
      </w:r>
      <w:bookmarkEnd w:id="41"/>
    </w:p>
    <w:p w14:paraId="36BB99F1"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La promulgación del NCPC responde a la exigencia de una justicia pronta y cumplida, sin denegación y en estricta conformidad con las leyes según lo ordena nuestra Constitución Política. De acuerdo con la exposición de motivos de la ley (</w:t>
      </w:r>
      <w:r w:rsidRPr="00D66245">
        <w:rPr>
          <w:rFonts w:ascii="Palatino Linotype" w:hAnsi="Palatino Linotype"/>
        </w:rPr>
        <w:t>Expediente 15979)</w:t>
      </w:r>
      <w:r w:rsidRPr="00D66245">
        <w:rPr>
          <w:rFonts w:ascii="Palatino Linotype" w:hAnsi="Palatino Linotype"/>
          <w:shd w:val="clear" w:color="auto" w:fill="FFFFFF"/>
          <w:lang w:val="es-ES_tradnl"/>
        </w:rPr>
        <w:t>, el NCPC basa su estructura y fines en principios y preceptos filosóficos, que guían todo su articulado</w:t>
      </w:r>
      <w:r w:rsidRPr="00D66245">
        <w:rPr>
          <w:rStyle w:val="Refdenotaalpie"/>
          <w:rFonts w:ascii="Palatino Linotype" w:hAnsi="Palatino Linotype"/>
          <w:shd w:val="clear" w:color="auto" w:fill="FFFFFF"/>
          <w:lang w:val="es-ES_tradnl"/>
        </w:rPr>
        <w:footnoteReference w:id="46"/>
      </w:r>
      <w:r w:rsidRPr="00D66245">
        <w:rPr>
          <w:rFonts w:ascii="Palatino Linotype" w:hAnsi="Palatino Linotype"/>
          <w:shd w:val="clear" w:color="auto" w:fill="FFFFFF"/>
          <w:lang w:val="es-ES_tradnl"/>
        </w:rPr>
        <w:t xml:space="preserve">. </w:t>
      </w:r>
    </w:p>
    <w:p w14:paraId="560D7D1A" w14:textId="77777777" w:rsidR="008057F8" w:rsidRPr="00D66245" w:rsidRDefault="008057F8" w:rsidP="008057F8">
      <w:pPr>
        <w:spacing w:before="120" w:after="200" w:line="240" w:lineRule="auto"/>
        <w:ind w:firstLine="360"/>
        <w:jc w:val="both"/>
        <w:rPr>
          <w:rFonts w:ascii="Palatino Linotype" w:hAnsi="Palatino Linotype"/>
          <w:i/>
          <w:shd w:val="clear" w:color="auto" w:fill="FFFFFF"/>
          <w:lang w:val="es-ES_tradnl"/>
        </w:rPr>
      </w:pPr>
      <w:r w:rsidRPr="00D66245">
        <w:rPr>
          <w:rFonts w:ascii="Palatino Linotype" w:hAnsi="Palatino Linotype"/>
          <w:shd w:val="clear" w:color="auto" w:fill="FFFFFF"/>
          <w:lang w:val="es-ES_tradnl"/>
        </w:rPr>
        <w:lastRenderedPageBreak/>
        <w:t xml:space="preserve">Se resalta lo referente a las </w:t>
      </w:r>
      <w:r w:rsidRPr="00D66245">
        <w:rPr>
          <w:rFonts w:ascii="Palatino Linotype" w:hAnsi="Palatino Linotype"/>
          <w:i/>
          <w:shd w:val="clear" w:color="auto" w:fill="FFFFFF"/>
          <w:lang w:val="es-ES_tradnl"/>
        </w:rPr>
        <w:t xml:space="preserve">eficientes facultades del juez director, </w:t>
      </w:r>
      <w:r w:rsidRPr="00D66245">
        <w:rPr>
          <w:rFonts w:ascii="Palatino Linotype" w:hAnsi="Palatino Linotype"/>
          <w:shd w:val="clear" w:color="auto" w:fill="FFFFFF"/>
          <w:lang w:val="es-ES_tradnl"/>
        </w:rPr>
        <w:t xml:space="preserve">ya que en la motivación se especifica que se dota de facultades necesarias y suficientes para poder dirigir el proceso, estableciendo como fundamento, que no existe base real para </w:t>
      </w:r>
      <w:r w:rsidRPr="00D66245">
        <w:rPr>
          <w:rFonts w:ascii="Palatino Linotype" w:hAnsi="Palatino Linotype"/>
          <w:i/>
          <w:lang w:val="es-ES_tradnl"/>
        </w:rPr>
        <w:t xml:space="preserve">desconfiar “de los jueces, si los abogados cumplen su función de control de la actuación de estos”, </w:t>
      </w:r>
      <w:r w:rsidRPr="00D66245">
        <w:rPr>
          <w:rFonts w:ascii="Palatino Linotype" w:hAnsi="Palatino Linotype"/>
          <w:lang w:val="es-ES_tradnl"/>
        </w:rPr>
        <w:t>afirmación que no se elabora en el texto, ni se justifica más allá del mero subjetivismo.</w:t>
      </w:r>
      <w:r w:rsidRPr="00D66245">
        <w:rPr>
          <w:rStyle w:val="Refdenotaalpie"/>
          <w:rFonts w:ascii="Palatino Linotype" w:hAnsi="Palatino Linotype"/>
          <w:lang w:val="es-ES_tradnl"/>
        </w:rPr>
        <w:footnoteReference w:id="47"/>
      </w:r>
    </w:p>
    <w:p w14:paraId="5E854462" w14:textId="77777777" w:rsidR="008057F8" w:rsidRPr="00D66245" w:rsidRDefault="008057F8" w:rsidP="008057F8">
      <w:pPr>
        <w:spacing w:before="120" w:after="200" w:line="240" w:lineRule="auto"/>
        <w:ind w:firstLine="360"/>
        <w:jc w:val="both"/>
        <w:rPr>
          <w:rFonts w:ascii="Palatino Linotype" w:hAnsi="Palatino Linotype"/>
          <w:lang w:val="es-ES_tradnl"/>
        </w:rPr>
      </w:pPr>
      <w:r w:rsidRPr="00D66245">
        <w:rPr>
          <w:rFonts w:ascii="Palatino Linotype" w:hAnsi="Palatino Linotype"/>
          <w:lang w:val="es-ES_tradnl"/>
        </w:rPr>
        <w:t xml:space="preserve">De importancia para este artículo es la motivación dada por el legislador a la iniciativa probatoria y ampliación de potestades del juez; en ese aspecto se señala que no se </w:t>
      </w:r>
      <w:r w:rsidRPr="00D66245">
        <w:rPr>
          <w:rFonts w:ascii="Palatino Linotype" w:hAnsi="Palatino Linotype"/>
          <w:i/>
          <w:lang w:val="es-ES_tradnl"/>
        </w:rPr>
        <w:t xml:space="preserve">abandona la idea de que la resolución del conflicto debe hacerse con la mayor cercanía a la realidad de los hechos, y que en este aspecto puede contribuir el </w:t>
      </w:r>
      <w:r w:rsidRPr="00D66245">
        <w:rPr>
          <w:rFonts w:ascii="Palatino Linotype" w:hAnsi="Palatino Linotype"/>
          <w:lang w:val="es-ES_tradnl"/>
        </w:rPr>
        <w:t>juez. (</w:t>
      </w:r>
      <w:r w:rsidRPr="00D66245">
        <w:rPr>
          <w:rFonts w:ascii="Palatino Linotype" w:hAnsi="Palatino Linotype"/>
        </w:rPr>
        <w:t>Expediente 15979, Exposición de motivos del NCPC).</w:t>
      </w:r>
      <w:r w:rsidRPr="00D66245">
        <w:rPr>
          <w:rFonts w:ascii="Palatino Linotype" w:hAnsi="Palatino Linotype"/>
          <w:lang w:val="es-ES_tradnl"/>
        </w:rPr>
        <w:t xml:space="preserve"> Se advierte que se </w:t>
      </w:r>
      <w:r w:rsidRPr="00D66245">
        <w:rPr>
          <w:rFonts w:ascii="Palatino Linotype" w:hAnsi="Palatino Linotype"/>
          <w:i/>
          <w:lang w:val="es-ES_tradnl"/>
        </w:rPr>
        <w:t>abandona la denominación de prueba para mejor resolver y su naturaleza de prueba discrecional del juzgador y se sustituye por la prueba complementaria la cual es más restringida que aquella.</w:t>
      </w:r>
      <w:r w:rsidRPr="00D66245">
        <w:rPr>
          <w:rStyle w:val="Refdenotaalpie"/>
          <w:rFonts w:ascii="Palatino Linotype" w:hAnsi="Palatino Linotype"/>
          <w:i/>
          <w:lang w:val="es-ES_tradnl"/>
        </w:rPr>
        <w:footnoteReference w:id="48"/>
      </w:r>
    </w:p>
    <w:p w14:paraId="399D39B2" w14:textId="77777777" w:rsidR="008057F8" w:rsidRPr="00D66245" w:rsidRDefault="008057F8" w:rsidP="008057F8">
      <w:pPr>
        <w:spacing w:before="120" w:after="200" w:line="240" w:lineRule="auto"/>
        <w:ind w:firstLine="360"/>
        <w:jc w:val="both"/>
        <w:rPr>
          <w:rFonts w:ascii="Palatino Linotype" w:hAnsi="Palatino Linotype"/>
          <w:lang w:val="es-ES_tradnl"/>
        </w:rPr>
      </w:pPr>
      <w:r w:rsidRPr="00D66245">
        <w:rPr>
          <w:rFonts w:ascii="Palatino Linotype" w:hAnsi="Palatino Linotype"/>
          <w:lang w:val="es-ES_tradnl"/>
        </w:rPr>
        <w:t>Estos dos temas esenciales – aumento en las potestades del juez y los cambios en su iniciativa probatoria – no fueron abordados a profundidad en la exposición de motivos, a pesar de presentar un cambio a la forma en que se tramitaban los procesos desde 1989, considerando para estos efectos los cambios en el modelo procesal. Tampoco explica por qué se incluyó la búsqueda de la verdad como potestad expresa del juez (artículo 5.6)</w:t>
      </w:r>
      <w:r w:rsidRPr="00D66245">
        <w:rPr>
          <w:rStyle w:val="Refdenotaalpie"/>
          <w:rFonts w:ascii="Palatino Linotype" w:hAnsi="Palatino Linotype"/>
          <w:lang w:val="es-ES_tradnl"/>
        </w:rPr>
        <w:footnoteReference w:id="49"/>
      </w:r>
      <w:r w:rsidRPr="00D66245">
        <w:rPr>
          <w:rFonts w:ascii="Palatino Linotype" w:hAnsi="Palatino Linotype"/>
          <w:lang w:val="es-ES_tradnl"/>
        </w:rPr>
        <w:t xml:space="preserve">, a pesar de que, de una lectura integral del código, se evidencia cómo esa potestad permea todo su articulado. Lamentablemente, esto conduce a que en la práctica – en algunas ocasiones- no se advierta el cambio sustancial de la nueva normativa, que va más allá de pasar de un proceso esencialmente </w:t>
      </w:r>
      <w:r w:rsidRPr="00D66245">
        <w:rPr>
          <w:rFonts w:ascii="Palatino Linotype" w:hAnsi="Palatino Linotype"/>
          <w:lang w:val="es-ES_tradnl"/>
        </w:rPr>
        <w:lastRenderedPageBreak/>
        <w:t xml:space="preserve">escrito a uno por audiencias y a que no se comprenda así la nueva filosofía que sigue el NCPC, que aun y cuando pueda tener aspectos que mejorar, representa un código de avanzada, considerando las nuevas tendencias y adaptándolas a nuestro sistema.  </w:t>
      </w:r>
    </w:p>
    <w:p w14:paraId="5FBB3030" w14:textId="77777777" w:rsidR="008057F8" w:rsidRPr="00D66245" w:rsidRDefault="008057F8" w:rsidP="008057F8">
      <w:pPr>
        <w:pStyle w:val="Ttulo2"/>
        <w:spacing w:before="120" w:after="200" w:line="240" w:lineRule="auto"/>
        <w:rPr>
          <w:rFonts w:ascii="Palatino Linotype" w:hAnsi="Palatino Linotype"/>
          <w:i/>
          <w:color w:val="auto"/>
          <w:sz w:val="22"/>
          <w:szCs w:val="22"/>
          <w:shd w:val="clear" w:color="auto" w:fill="FFFFFF"/>
          <w:lang w:val="es-ES_tradnl"/>
        </w:rPr>
      </w:pPr>
      <w:bookmarkStart w:id="42" w:name="_Toc8147332"/>
      <w:r w:rsidRPr="00D66245">
        <w:rPr>
          <w:rFonts w:ascii="Palatino Linotype" w:hAnsi="Palatino Linotype"/>
          <w:i/>
          <w:color w:val="auto"/>
          <w:sz w:val="22"/>
          <w:szCs w:val="22"/>
          <w:shd w:val="clear" w:color="auto" w:fill="FFFFFF"/>
          <w:lang w:val="es-ES_tradnl"/>
        </w:rPr>
        <w:t>2.2 ¿Debe otorgarse iniciativa probatoria al juez?</w:t>
      </w:r>
      <w:bookmarkEnd w:id="42"/>
    </w:p>
    <w:p w14:paraId="2B348911" w14:textId="77777777" w:rsidR="008057F8" w:rsidRPr="00D66245" w:rsidRDefault="008057F8" w:rsidP="008057F8">
      <w:pPr>
        <w:spacing w:before="120" w:after="200" w:line="240" w:lineRule="auto"/>
        <w:ind w:firstLine="360"/>
        <w:jc w:val="both"/>
        <w:rPr>
          <w:rFonts w:ascii="Palatino Linotype" w:hAnsi="Palatino Linotype"/>
          <w:shd w:val="clear" w:color="auto" w:fill="FFFFFF"/>
        </w:rPr>
      </w:pPr>
      <w:r w:rsidRPr="00D66245">
        <w:rPr>
          <w:rFonts w:ascii="Palatino Linotype" w:hAnsi="Palatino Linotype"/>
          <w:shd w:val="clear" w:color="auto" w:fill="FFFFFF"/>
          <w:lang w:val="es-ES_tradnl"/>
        </w:rPr>
        <w:t>Teniendo presente el tipo de modelo de proceso y de juez que establece el NCPC, la pregunta que surge es si esto implica que deba dotarse de iniciativa probatoria al juez. Para dar respuesta debemos revisar las bases doctrinarias que afirman o reniegan que deban</w:t>
      </w:r>
      <w:r w:rsidRPr="00D66245">
        <w:rPr>
          <w:rFonts w:ascii="Palatino Linotype" w:hAnsi="Palatino Linotype"/>
          <w:shd w:val="clear" w:color="auto" w:fill="FFFFFF"/>
        </w:rPr>
        <w:t xml:space="preserve"> concederse estas potestades y, posteriormente, si de conformidad con el NCPC – que ya sabemos que las otorga- están correctamente reguladas.</w:t>
      </w:r>
    </w:p>
    <w:p w14:paraId="197B0CAC" w14:textId="77777777" w:rsidR="008057F8" w:rsidRPr="00D66245" w:rsidRDefault="008057F8" w:rsidP="008057F8">
      <w:pPr>
        <w:spacing w:before="120" w:after="200" w:line="240" w:lineRule="auto"/>
        <w:ind w:firstLine="360"/>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 xml:space="preserve">Alvarado Velloso </w:t>
      </w:r>
      <w:r w:rsidRPr="00D66245">
        <w:rPr>
          <w:rFonts w:ascii="Palatino Linotype" w:hAnsi="Palatino Linotype"/>
        </w:rPr>
        <w:t xml:space="preserve">(2004, pp. 96, 97) </w:t>
      </w:r>
      <w:r w:rsidRPr="00D66245">
        <w:rPr>
          <w:rFonts w:ascii="Palatino Linotype" w:hAnsi="Palatino Linotype"/>
          <w:shd w:val="clear" w:color="auto" w:fill="FFFFFF"/>
          <w:lang w:val="es-ES_tradnl"/>
        </w:rPr>
        <w:t>es el claro exponente de la tesis que no se le puede conceder al juez potestades probatorias, ya que al actuar en un sistema dispositivo únicamente debe establecerse en la sentencia los hechos de cuya ocurrencia se convenció, sin tener una preocupación real acerca de si coinciden o no con la realidad. Es por lo anterior, que Velloso sostiene que el sistema dispositivo asegura la imparcialidad del juez logrando la paz social perdida ante el conflicto</w:t>
      </w:r>
      <w:r w:rsidRPr="00D66245">
        <w:rPr>
          <w:rStyle w:val="Refdenotaalpie"/>
          <w:rFonts w:ascii="Palatino Linotype" w:hAnsi="Palatino Linotype"/>
          <w:shd w:val="clear" w:color="auto" w:fill="FFFFFF"/>
          <w:lang w:val="es-ES_tradnl"/>
        </w:rPr>
        <w:footnoteReference w:id="50"/>
      </w:r>
      <w:r w:rsidRPr="00D66245">
        <w:rPr>
          <w:rFonts w:ascii="Palatino Linotype" w:hAnsi="Palatino Linotype"/>
          <w:shd w:val="clear" w:color="auto" w:fill="FFFFFF"/>
          <w:lang w:val="es-ES_tradnl"/>
        </w:rPr>
        <w:t>; mientras que, con el sistema inquisitivo se compromete la imparcialidad del juez, pues este actúa como una especie de investigador para procurar esa verdad que se busca.</w:t>
      </w:r>
      <w:r w:rsidRPr="00D66245">
        <w:rPr>
          <w:rStyle w:val="Refdenotaalpie"/>
          <w:rFonts w:ascii="Palatino Linotype" w:hAnsi="Palatino Linotype"/>
          <w:shd w:val="clear" w:color="auto" w:fill="FFFFFF"/>
          <w:lang w:val="es-ES_tradnl"/>
        </w:rPr>
        <w:footnoteReference w:id="51"/>
      </w:r>
    </w:p>
    <w:p w14:paraId="20A1DE81"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En contraposición, podemos citar a varios autores como Pico i Junoy, Masciotra o Parra Quijano. Este último sostiene que el proceso persiga la averiguación de la verdad es necesario y se puede obtener. Para estos efectos resulta ineludible otorgarle al juez poderes que le permitan decretar pruebas de oficio. Asimismo, Parra Quijano advierte que establecer el objeto del proceso como la mera resolución de conflictos conlleva a afirmar que este no tiene finalidades cognoscitivas o científicas, y a considerar que no se lleva a cabo porque se quiera buscar la verdad, sino porque se necesita para eliminar el conflicto.</w:t>
      </w:r>
      <w:r w:rsidRPr="00D66245">
        <w:rPr>
          <w:rStyle w:val="Refdenotaalpie"/>
          <w:rFonts w:ascii="Palatino Linotype" w:hAnsi="Palatino Linotype"/>
          <w:shd w:val="clear" w:color="auto" w:fill="FFFFFF"/>
          <w:lang w:val="es-ES_tradnl"/>
        </w:rPr>
        <w:footnoteReference w:id="52"/>
      </w:r>
      <w:r w:rsidRPr="00D66245">
        <w:rPr>
          <w:rFonts w:ascii="Palatino Linotype" w:hAnsi="Palatino Linotype"/>
          <w:shd w:val="clear" w:color="auto" w:fill="FFFFFF"/>
          <w:lang w:val="es-ES_tradnl"/>
        </w:rPr>
        <w:t xml:space="preserve"> </w:t>
      </w:r>
    </w:p>
    <w:p w14:paraId="7CE1C14B" w14:textId="77777777" w:rsidR="008057F8" w:rsidRPr="00D66245" w:rsidRDefault="008057F8" w:rsidP="008057F8">
      <w:pPr>
        <w:spacing w:before="120" w:after="200" w:line="240" w:lineRule="auto"/>
        <w:ind w:firstLine="357"/>
        <w:jc w:val="both"/>
        <w:rPr>
          <w:rFonts w:ascii="Palatino Linotype" w:hAnsi="Palatino Linotype"/>
          <w:shd w:val="clear" w:color="auto" w:fill="FFFFFF"/>
        </w:rPr>
      </w:pPr>
      <w:r w:rsidRPr="00D66245">
        <w:rPr>
          <w:rFonts w:ascii="Palatino Linotype" w:hAnsi="Palatino Linotype"/>
          <w:shd w:val="clear" w:color="auto" w:fill="FFFFFF"/>
          <w:lang w:val="es-ES_tradnl"/>
        </w:rPr>
        <w:lastRenderedPageBreak/>
        <w:t>La posición antagónica es clara y el punto de separación entre los procesalistas es la necesidad de establecer la verdad del caso objeto del proceso</w:t>
      </w:r>
      <w:r w:rsidRPr="00D66245">
        <w:rPr>
          <w:rFonts w:ascii="Palatino Linotype" w:hAnsi="Palatino Linotype"/>
        </w:rPr>
        <w:t xml:space="preserve"> (De la Oliva, 2012, p.87)</w:t>
      </w:r>
      <w:r w:rsidRPr="00D66245">
        <w:rPr>
          <w:rFonts w:ascii="Palatino Linotype" w:hAnsi="Palatino Linotype"/>
          <w:shd w:val="clear" w:color="auto" w:fill="FFFFFF"/>
          <w:lang w:val="es-ES_tradnl"/>
        </w:rPr>
        <w:t>.</w:t>
      </w:r>
      <w:r w:rsidRPr="00D66245">
        <w:rPr>
          <w:rStyle w:val="Refdenotaalpie"/>
          <w:rFonts w:ascii="Palatino Linotype" w:hAnsi="Palatino Linotype"/>
          <w:shd w:val="clear" w:color="auto" w:fill="FFFFFF"/>
          <w:lang w:val="es-ES_tradnl"/>
        </w:rPr>
        <w:t xml:space="preserve"> </w:t>
      </w:r>
      <w:r w:rsidRPr="00D66245">
        <w:rPr>
          <w:rFonts w:ascii="Palatino Linotype" w:hAnsi="Palatino Linotype"/>
          <w:shd w:val="clear" w:color="auto" w:fill="FFFFFF"/>
          <w:lang w:val="es-ES_tradnl"/>
        </w:rPr>
        <w:t xml:space="preserve"> Para Velloso (2004), la obtención de la verdad es casi imposible, por lo que otorgar poderes al juez con basado en ese fin, es ineficaz</w:t>
      </w:r>
      <w:r w:rsidRPr="00D66245">
        <w:rPr>
          <w:rStyle w:val="Refdenotaalpie"/>
          <w:rFonts w:ascii="Palatino Linotype" w:hAnsi="Palatino Linotype"/>
          <w:shd w:val="clear" w:color="auto" w:fill="FFFFFF"/>
          <w:lang w:val="es-ES_tradnl"/>
        </w:rPr>
        <w:footnoteReference w:id="53"/>
      </w:r>
      <w:r w:rsidRPr="00D66245">
        <w:rPr>
          <w:rFonts w:ascii="Palatino Linotype" w:hAnsi="Palatino Linotype"/>
          <w:shd w:val="clear" w:color="auto" w:fill="FFFFFF"/>
          <w:lang w:val="es-ES_tradnl"/>
        </w:rPr>
        <w:t>. Para Parra, si se parte de que se quiere una decisión justa en el proceso, esta no puede darse sin que la verdad sea un supuesto de su contenido. Además, considera que alcanzar la verdad, en la práctica, es posible teniendo claro que sería más fácil</w:t>
      </w:r>
      <w:r w:rsidRPr="00D66245">
        <w:rPr>
          <w:rFonts w:ascii="Palatino Linotype" w:hAnsi="Palatino Linotype"/>
          <w:shd w:val="clear" w:color="auto" w:fill="FFFFFF"/>
        </w:rPr>
        <w:t xml:space="preserve"> alcanzarla en aquellos países donde no haya limitaciones excesivas a los medios probatorios y no exista tarifa legal, no obstante, el hecho que no existan estas libertades no puede utilizarse como excusa para no averiguar la verdad.</w:t>
      </w:r>
      <w:r w:rsidRPr="00D66245">
        <w:rPr>
          <w:rStyle w:val="Refdenotaalpie"/>
          <w:rFonts w:ascii="Palatino Linotype" w:hAnsi="Palatino Linotype"/>
          <w:shd w:val="clear" w:color="auto" w:fill="FFFFFF"/>
        </w:rPr>
        <w:footnoteReference w:id="54"/>
      </w:r>
    </w:p>
    <w:p w14:paraId="7BC1508E"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Finalmente, si tenemos presente que los medios de prueba son el instrumento racional y epistemológico que permite alcanzar la verdad</w:t>
      </w:r>
      <w:r w:rsidRPr="00D66245">
        <w:rPr>
          <w:rStyle w:val="Refdenotaalpie"/>
          <w:rFonts w:ascii="Palatino Linotype" w:hAnsi="Palatino Linotype"/>
          <w:shd w:val="clear" w:color="auto" w:fill="FFFFFF"/>
          <w:lang w:val="es-ES_tradnl"/>
        </w:rPr>
        <w:footnoteReference w:id="55"/>
      </w:r>
      <w:r w:rsidRPr="00D66245">
        <w:rPr>
          <w:rFonts w:ascii="Palatino Linotype" w:hAnsi="Palatino Linotype"/>
          <w:shd w:val="clear" w:color="auto" w:fill="FFFFFF"/>
          <w:lang w:val="es-ES_tradnl"/>
        </w:rPr>
        <w:t xml:space="preserve"> y que, en Costa Rica, su búsqueda es un fin del proceso y una potestad del juzgador, entonces resulta solo lógico que el juez esté llamado a contribuir en el tema probatorio, y que por consiguiente se le otorguen las facultades necesarias.</w:t>
      </w:r>
    </w:p>
    <w:p w14:paraId="423C5098" w14:textId="77777777" w:rsidR="008057F8" w:rsidRPr="00D66245" w:rsidRDefault="008057F8" w:rsidP="008057F8">
      <w:pPr>
        <w:spacing w:before="120" w:after="200" w:line="240" w:lineRule="auto"/>
        <w:ind w:firstLine="357"/>
        <w:jc w:val="both"/>
        <w:rPr>
          <w:rFonts w:ascii="Palatino Linotype" w:hAnsi="Palatino Linotype"/>
          <w:iCs/>
          <w:shd w:val="clear" w:color="auto" w:fill="FFFFFF"/>
          <w:lang w:val="es-ES_tradnl"/>
        </w:rPr>
      </w:pPr>
      <w:r w:rsidRPr="00D66245">
        <w:rPr>
          <w:rFonts w:ascii="Palatino Linotype" w:hAnsi="Palatino Linotype"/>
          <w:i/>
          <w:iCs/>
          <w:shd w:val="clear" w:color="auto" w:fill="FFFFFF"/>
          <w:lang w:val="es-ES_tradnl"/>
        </w:rPr>
        <w:lastRenderedPageBreak/>
        <w:t xml:space="preserve"> </w:t>
      </w:r>
      <w:r w:rsidRPr="00D66245">
        <w:rPr>
          <w:rFonts w:ascii="Palatino Linotype" w:hAnsi="Palatino Linotype"/>
          <w:iCs/>
          <w:shd w:val="clear" w:color="auto" w:fill="FFFFFF"/>
          <w:lang w:val="es-ES_tradnl"/>
        </w:rPr>
        <w:t>Lo anterior, no implica que deba hacerse de forma irrestricta y sin ningún tipo de límite, pues como todo poder, no es absoluto y encuentra su demarcación en el principio dispositivo y a la garantía al debido proceso. Esos límites son:</w:t>
      </w:r>
    </w:p>
    <w:p w14:paraId="1EECBE8C" w14:textId="77777777" w:rsidR="008057F8" w:rsidRPr="00D66245" w:rsidRDefault="008057F8" w:rsidP="006469CD">
      <w:pPr>
        <w:numPr>
          <w:ilvl w:val="0"/>
          <w:numId w:val="84"/>
        </w:numPr>
        <w:spacing w:after="0" w:line="240" w:lineRule="auto"/>
        <w:ind w:left="714" w:hanging="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La iniciativa probatoria del juez únicamente puede referirse a hechos controvertidos,</w:t>
      </w:r>
    </w:p>
    <w:p w14:paraId="7B56C6D7" w14:textId="77777777" w:rsidR="008057F8" w:rsidRPr="00D66245" w:rsidRDefault="008057F8" w:rsidP="006469CD">
      <w:pPr>
        <w:numPr>
          <w:ilvl w:val="0"/>
          <w:numId w:val="84"/>
        </w:numPr>
        <w:spacing w:after="0" w:line="240" w:lineRule="auto"/>
        <w:ind w:left="714" w:hanging="357"/>
        <w:jc w:val="both"/>
        <w:rPr>
          <w:rFonts w:ascii="Palatino Linotype" w:hAnsi="Palatino Linotype"/>
          <w:iCs/>
          <w:shd w:val="clear" w:color="auto" w:fill="FFFFFF"/>
          <w:lang w:val="es-ES_tradnl"/>
        </w:rPr>
      </w:pPr>
      <w:r w:rsidRPr="00D66245">
        <w:rPr>
          <w:rFonts w:ascii="Palatino Linotype" w:hAnsi="Palatino Linotype"/>
          <w:shd w:val="clear" w:color="auto" w:fill="FFFFFF"/>
          <w:lang w:val="es-ES_tradnl"/>
        </w:rPr>
        <w:t>Garantizar el derecho de contradicción a las partes,</w:t>
      </w:r>
    </w:p>
    <w:p w14:paraId="4B1718F8" w14:textId="77777777" w:rsidR="008057F8" w:rsidRPr="00D66245" w:rsidRDefault="008057F8" w:rsidP="006469CD">
      <w:pPr>
        <w:numPr>
          <w:ilvl w:val="0"/>
          <w:numId w:val="84"/>
        </w:numPr>
        <w:spacing w:after="0" w:line="240" w:lineRule="auto"/>
        <w:ind w:left="714" w:hanging="357"/>
        <w:jc w:val="both"/>
        <w:rPr>
          <w:rFonts w:ascii="Palatino Linotype" w:hAnsi="Palatino Linotype"/>
          <w:iCs/>
          <w:shd w:val="clear" w:color="auto" w:fill="FFFFFF"/>
          <w:lang w:val="es-ES_tradnl"/>
        </w:rPr>
      </w:pPr>
      <w:r w:rsidRPr="00D66245">
        <w:rPr>
          <w:rFonts w:ascii="Palatino Linotype" w:hAnsi="Palatino Linotype"/>
          <w:shd w:val="clear" w:color="auto" w:fill="FFFFFF"/>
          <w:lang w:val="es-ES_tradnl"/>
        </w:rPr>
        <w:t>Definición clara del objeto de litigio,</w:t>
      </w:r>
    </w:p>
    <w:p w14:paraId="5025CD77" w14:textId="77777777" w:rsidR="008057F8" w:rsidRPr="00D66245" w:rsidRDefault="008057F8" w:rsidP="006469CD">
      <w:pPr>
        <w:numPr>
          <w:ilvl w:val="0"/>
          <w:numId w:val="84"/>
        </w:numPr>
        <w:spacing w:after="0" w:line="240" w:lineRule="auto"/>
        <w:ind w:left="714" w:hanging="357"/>
        <w:jc w:val="both"/>
        <w:rPr>
          <w:rFonts w:ascii="Palatino Linotype" w:hAnsi="Palatino Linotype"/>
          <w:iCs/>
          <w:shd w:val="clear" w:color="auto" w:fill="FFFFFF"/>
          <w:lang w:val="es-ES_tradnl"/>
        </w:rPr>
      </w:pPr>
      <w:r w:rsidRPr="00D66245">
        <w:rPr>
          <w:rFonts w:ascii="Palatino Linotype" w:hAnsi="Palatino Linotype"/>
          <w:shd w:val="clear" w:color="auto" w:fill="FFFFFF"/>
          <w:lang w:val="es-ES_tradnl"/>
        </w:rPr>
        <w:t>Mantener la imparcialidad,</w:t>
      </w:r>
    </w:p>
    <w:p w14:paraId="5548333C" w14:textId="77777777" w:rsidR="008057F8" w:rsidRPr="00D66245" w:rsidRDefault="008057F8" w:rsidP="006469CD">
      <w:pPr>
        <w:numPr>
          <w:ilvl w:val="0"/>
          <w:numId w:val="84"/>
        </w:numPr>
        <w:spacing w:after="0" w:line="240" w:lineRule="auto"/>
        <w:ind w:left="714" w:hanging="357"/>
        <w:jc w:val="both"/>
        <w:rPr>
          <w:rFonts w:ascii="Palatino Linotype" w:hAnsi="Palatino Linotype"/>
          <w:iCs/>
          <w:shd w:val="clear" w:color="auto" w:fill="FFFFFF"/>
          <w:lang w:val="es-ES_tradnl"/>
        </w:rPr>
      </w:pPr>
      <w:r w:rsidRPr="00D66245">
        <w:rPr>
          <w:rFonts w:ascii="Palatino Linotype" w:hAnsi="Palatino Linotype"/>
          <w:shd w:val="clear" w:color="auto" w:fill="FFFFFF"/>
          <w:lang w:val="es-ES_tradnl"/>
        </w:rPr>
        <w:t xml:space="preserve">Asegurar la igualdad de las partes, </w:t>
      </w:r>
    </w:p>
    <w:p w14:paraId="4DE258F1" w14:textId="77777777" w:rsidR="008057F8" w:rsidRPr="00D66245" w:rsidRDefault="008057F8" w:rsidP="006469CD">
      <w:pPr>
        <w:numPr>
          <w:ilvl w:val="0"/>
          <w:numId w:val="84"/>
        </w:numPr>
        <w:spacing w:after="0" w:line="240" w:lineRule="auto"/>
        <w:ind w:left="714" w:hanging="357"/>
        <w:jc w:val="both"/>
        <w:rPr>
          <w:rFonts w:ascii="Palatino Linotype" w:hAnsi="Palatino Linotype"/>
          <w:iCs/>
          <w:shd w:val="clear" w:color="auto" w:fill="FFFFFF"/>
          <w:lang w:val="es-ES_tradnl"/>
        </w:rPr>
      </w:pPr>
      <w:r w:rsidRPr="00D66245">
        <w:rPr>
          <w:rFonts w:ascii="Palatino Linotype" w:hAnsi="Palatino Linotype"/>
          <w:shd w:val="clear" w:color="auto" w:fill="FFFFFF"/>
          <w:lang w:val="es-ES_tradnl"/>
        </w:rPr>
        <w:t>Proteger otras garantías y principios procesales: concentración, economía procesal.</w:t>
      </w:r>
    </w:p>
    <w:p w14:paraId="7F7AEEB6" w14:textId="77777777" w:rsidR="008057F8" w:rsidRPr="00D66245" w:rsidRDefault="008057F8" w:rsidP="008057F8">
      <w:pPr>
        <w:spacing w:before="120" w:after="200" w:line="240" w:lineRule="auto"/>
        <w:ind w:firstLine="357"/>
        <w:jc w:val="both"/>
        <w:rPr>
          <w:rFonts w:ascii="Palatino Linotype" w:hAnsi="Palatino Linotype"/>
          <w:lang w:val="es-ES_tradnl"/>
        </w:rPr>
      </w:pPr>
      <w:r w:rsidRPr="00D66245">
        <w:rPr>
          <w:rFonts w:ascii="Palatino Linotype" w:hAnsi="Palatino Linotype"/>
          <w:lang w:val="es-ES_tradnl"/>
        </w:rPr>
        <w:t>La autora de este estudio no considera que el ejemplo que brinda Alvarado Velloso (2004)</w:t>
      </w:r>
      <w:r w:rsidRPr="00D66245">
        <w:rPr>
          <w:rStyle w:val="Refdenotaalpie"/>
          <w:rFonts w:ascii="Palatino Linotype" w:hAnsi="Palatino Linotype"/>
          <w:lang w:val="es-ES_tradnl"/>
        </w:rPr>
        <w:footnoteReference w:id="56"/>
      </w:r>
      <w:r w:rsidRPr="00D66245">
        <w:rPr>
          <w:rFonts w:ascii="Palatino Linotype" w:hAnsi="Palatino Linotype"/>
          <w:lang w:val="es-ES_tradnl"/>
        </w:rPr>
        <w:t xml:space="preserve"> para evidenciar la imposibilidad de alcanzar la verdad en el proceso y, por ende, de lo estéril que es su búsqueda y las potestades que se le otorgan al juez para estos efectos, sea acertado para mostrar la “imposibilidad” de obtener la verdad en el proceso.</w:t>
      </w:r>
    </w:p>
    <w:p w14:paraId="2A24C22A" w14:textId="77777777" w:rsidR="008057F8" w:rsidRPr="00D66245" w:rsidRDefault="008057F8" w:rsidP="008057F8">
      <w:pPr>
        <w:spacing w:before="120" w:after="200" w:line="240" w:lineRule="auto"/>
        <w:ind w:firstLine="357"/>
        <w:jc w:val="both"/>
        <w:rPr>
          <w:rFonts w:ascii="Palatino Linotype" w:hAnsi="Palatino Linotype"/>
          <w:lang w:val="es-ES_tradnl"/>
        </w:rPr>
      </w:pPr>
      <w:r w:rsidRPr="00D66245">
        <w:rPr>
          <w:rFonts w:ascii="Palatino Linotype" w:hAnsi="Palatino Linotype"/>
          <w:lang w:val="es-ES_tradnl"/>
        </w:rPr>
        <w:t xml:space="preserve">El hecho de que las decisiones judiciales sean falibles y que mediante los posibles actos recursivos pueda cambiarse la decisión, no implica que no se logre alcanzar la verdad, pues ni las ciencias </w:t>
      </w:r>
      <w:r w:rsidRPr="00D66245">
        <w:rPr>
          <w:rFonts w:ascii="Palatino Linotype" w:hAnsi="Palatino Linotype"/>
          <w:i/>
          <w:lang w:val="es-ES_tradnl"/>
        </w:rPr>
        <w:t>duras</w:t>
      </w:r>
      <w:r w:rsidRPr="00D66245">
        <w:rPr>
          <w:rFonts w:ascii="Palatino Linotype" w:hAnsi="Palatino Linotype"/>
          <w:lang w:val="es-ES_tradnl"/>
        </w:rPr>
        <w:t xml:space="preserve"> son absolutas – como ejemplo la prueba de ADN-.</w:t>
      </w:r>
      <w:r w:rsidRPr="00D66245">
        <w:rPr>
          <w:rStyle w:val="Refdenotaalpie"/>
          <w:rFonts w:ascii="Palatino Linotype" w:hAnsi="Palatino Linotype"/>
          <w:lang w:val="es-ES_tradnl"/>
        </w:rPr>
        <w:footnoteReference w:id="57"/>
      </w:r>
      <w:r w:rsidRPr="00D66245">
        <w:rPr>
          <w:rFonts w:ascii="Palatino Linotype" w:hAnsi="Palatino Linotype"/>
          <w:lang w:val="es-ES_tradnl"/>
        </w:rPr>
        <w:t xml:space="preserve">  El error puede venir del operador – de </w:t>
      </w:r>
      <w:r w:rsidRPr="00D66245">
        <w:rPr>
          <w:rFonts w:ascii="Palatino Linotype" w:hAnsi="Palatino Linotype"/>
          <w:lang w:val="es-ES_tradnl"/>
        </w:rPr>
        <w:lastRenderedPageBreak/>
        <w:t xml:space="preserve">derecho o, para seguir con el ejemplo, de quien está ejecutando la prueba-, pero esto no puede utilizarse como motivo para no tener como fin la búsqueda de la verdad. </w:t>
      </w:r>
    </w:p>
    <w:p w14:paraId="5F399D72" w14:textId="77777777" w:rsidR="008057F8" w:rsidRPr="00D66245" w:rsidRDefault="008057F8" w:rsidP="008057F8">
      <w:pPr>
        <w:spacing w:before="120" w:after="200" w:line="240" w:lineRule="auto"/>
        <w:ind w:firstLine="357"/>
        <w:jc w:val="both"/>
        <w:rPr>
          <w:rFonts w:ascii="Palatino Linotype" w:hAnsi="Palatino Linotype"/>
          <w:lang w:val="es-ES_tradnl"/>
        </w:rPr>
      </w:pPr>
      <w:r w:rsidRPr="00D66245">
        <w:rPr>
          <w:rFonts w:ascii="Palatino Linotype" w:hAnsi="Palatino Linotype"/>
          <w:lang w:val="es-ES_tradnl"/>
        </w:rPr>
        <w:t xml:space="preserve">Como propone Ferrer (2007, p. 27) que el </w:t>
      </w:r>
      <w:r w:rsidRPr="00D66245">
        <w:rPr>
          <w:rFonts w:ascii="Palatino Linotype" w:hAnsi="Palatino Linotype"/>
          <w:i/>
          <w:lang w:val="es-ES_tradnl"/>
        </w:rPr>
        <w:t>juicio de hecho</w:t>
      </w:r>
      <w:r w:rsidRPr="00D66245">
        <w:rPr>
          <w:rFonts w:ascii="Palatino Linotype" w:hAnsi="Palatino Linotype"/>
          <w:lang w:val="es-ES_tradnl"/>
        </w:rPr>
        <w:t xml:space="preserve"> se conciba como la elección racionalmente más atendible entre todas aquellas posibles, y que como consecuencia no estamos ante una verdad absoluta, sino una verdad que resulta ser la más probable o la más posible que cualquier otra presentada en el proceso. No quiere decir que no se pueda atribuir “ese valor de verdad, lo que señala es que el conjunto de pruebas de que se disponga en el mismo permite únicamente atribuir un determinado grado de confirmación o de probabilidad de que esa proposición sea verdadera” (Gascón (2012 p. 43-46).</w:t>
      </w:r>
    </w:p>
    <w:p w14:paraId="405A1699" w14:textId="77777777" w:rsidR="008057F8" w:rsidRPr="00D66245" w:rsidRDefault="008057F8" w:rsidP="008057F8">
      <w:pPr>
        <w:pStyle w:val="Ttulo1"/>
        <w:spacing w:before="120" w:after="200"/>
        <w:rPr>
          <w:rFonts w:ascii="Palatino Linotype" w:hAnsi="Palatino Linotype"/>
          <w:sz w:val="22"/>
          <w:szCs w:val="22"/>
          <w:shd w:val="clear" w:color="auto" w:fill="FFFFFF"/>
          <w:lang w:val="es-ES_tradnl"/>
        </w:rPr>
      </w:pPr>
      <w:bookmarkStart w:id="43" w:name="_Toc8147333"/>
      <w:r w:rsidRPr="00D66245">
        <w:rPr>
          <w:rFonts w:ascii="Palatino Linotype" w:hAnsi="Palatino Linotype"/>
          <w:sz w:val="22"/>
          <w:szCs w:val="22"/>
          <w:shd w:val="clear" w:color="auto" w:fill="FFFFFF"/>
          <w:lang w:val="es-ES_tradnl"/>
        </w:rPr>
        <w:t>3.- INICIATIVA PROBATORIA DEL JUEZ</w:t>
      </w:r>
      <w:bookmarkEnd w:id="43"/>
      <w:r w:rsidRPr="00D66245">
        <w:rPr>
          <w:rFonts w:ascii="Palatino Linotype" w:hAnsi="Palatino Linotype"/>
          <w:sz w:val="22"/>
          <w:szCs w:val="22"/>
          <w:shd w:val="clear" w:color="auto" w:fill="FFFFFF"/>
          <w:lang w:val="es-ES_tradnl"/>
        </w:rPr>
        <w:t xml:space="preserve"> </w:t>
      </w:r>
    </w:p>
    <w:p w14:paraId="5B21D2E8" w14:textId="77777777" w:rsidR="008057F8" w:rsidRPr="00D66245" w:rsidRDefault="008057F8" w:rsidP="008057F8">
      <w:pPr>
        <w:spacing w:before="120" w:after="200" w:line="240" w:lineRule="auto"/>
        <w:ind w:firstLine="360"/>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 xml:space="preserve">Según se ha venido exponiendo el NCPC </w:t>
      </w:r>
      <w:r w:rsidRPr="00D66245">
        <w:rPr>
          <w:rFonts w:ascii="Palatino Linotype" w:hAnsi="Palatino Linotype"/>
          <w:lang w:val="es-ES_tradnl" w:eastAsia="es-ES"/>
        </w:rPr>
        <w:t xml:space="preserve">está ideado como un instrumento para hacer frente a los conflictos de una forma que garantice una efectividad práctica de la ley, procurando la averiguación de la verdad para que sea un medio eficaz para la obtención de justicia pronta y cumplida. </w:t>
      </w:r>
      <w:r w:rsidRPr="00D66245">
        <w:rPr>
          <w:rFonts w:ascii="Palatino Linotype" w:hAnsi="Palatino Linotype"/>
          <w:shd w:val="clear" w:color="auto" w:fill="FFFFFF"/>
          <w:lang w:val="es-ES_tradnl"/>
        </w:rPr>
        <w:lastRenderedPageBreak/>
        <w:t xml:space="preserve">Para estos efectos, ha realizado cambios en las potestades del juez, entre ellas la posibilidad de ofrecer y practicar prueba de carácter oficioso, es decir, aquella que es originada a instancia del juez. </w:t>
      </w:r>
    </w:p>
    <w:p w14:paraId="3BA4FAA1" w14:textId="77777777" w:rsidR="008057F8" w:rsidRPr="00D66245" w:rsidRDefault="008057F8" w:rsidP="008057F8">
      <w:pPr>
        <w:pStyle w:val="Ttulo2"/>
        <w:spacing w:before="120" w:after="200" w:line="240" w:lineRule="auto"/>
        <w:rPr>
          <w:rFonts w:ascii="Palatino Linotype" w:hAnsi="Palatino Linotype"/>
          <w:i/>
          <w:color w:val="auto"/>
          <w:sz w:val="22"/>
          <w:szCs w:val="22"/>
          <w:shd w:val="clear" w:color="auto" w:fill="FFFFFF"/>
          <w:lang w:val="es-ES_tradnl"/>
        </w:rPr>
      </w:pPr>
      <w:bookmarkStart w:id="44" w:name="_Toc8147334"/>
      <w:r w:rsidRPr="00D66245">
        <w:rPr>
          <w:rFonts w:ascii="Palatino Linotype" w:hAnsi="Palatino Linotype"/>
          <w:i/>
          <w:color w:val="auto"/>
          <w:sz w:val="22"/>
          <w:szCs w:val="22"/>
          <w:shd w:val="clear" w:color="auto" w:fill="FFFFFF"/>
          <w:lang w:val="es-ES_tradnl"/>
        </w:rPr>
        <w:t>3.1 Aspectos generales en el NCPC</w:t>
      </w:r>
      <w:bookmarkEnd w:id="44"/>
    </w:p>
    <w:p w14:paraId="432FBEFD"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 xml:space="preserve">El artículo 41.3 del Código establece que en la audiencia que se admiten las pruebas, el tribunal podrá </w:t>
      </w:r>
      <w:r w:rsidRPr="00D66245">
        <w:rPr>
          <w:rFonts w:ascii="Palatino Linotype" w:hAnsi="Palatino Linotype"/>
          <w:i/>
          <w:shd w:val="clear" w:color="auto" w:fill="FFFFFF"/>
          <w:lang w:val="es-ES_tradnl"/>
        </w:rPr>
        <w:t>proponer</w:t>
      </w:r>
      <w:r w:rsidRPr="00D66245">
        <w:rPr>
          <w:rFonts w:ascii="Palatino Linotype" w:hAnsi="Palatino Linotype"/>
          <w:shd w:val="clear" w:color="auto" w:fill="FFFFFF"/>
          <w:lang w:val="es-ES_tradnl"/>
        </w:rPr>
        <w:t xml:space="preserve"> a las partes la incorporación de otras no ofrecidas e incluso podrá </w:t>
      </w:r>
      <w:r w:rsidRPr="00D66245">
        <w:rPr>
          <w:rFonts w:ascii="Palatino Linotype" w:hAnsi="Palatino Linotype"/>
          <w:i/>
          <w:shd w:val="clear" w:color="auto" w:fill="FFFFFF"/>
          <w:lang w:val="es-ES_tradnl"/>
        </w:rPr>
        <w:t>ordenarlas de oficio</w:t>
      </w:r>
      <w:r w:rsidRPr="00D66245">
        <w:rPr>
          <w:rFonts w:ascii="Palatino Linotype" w:hAnsi="Palatino Linotype"/>
          <w:shd w:val="clear" w:color="auto" w:fill="FFFFFF"/>
          <w:lang w:val="es-ES_tradnl"/>
        </w:rPr>
        <w:t>. Asimismo, si fuera indispensable y dando razones fundadas, en la audiencia de pruebas – en la que se practica la prueba- se podrán ordenar otras para comprobar o aclarar hechos relevantes, respetando los principios de contradicción y de concentración.</w:t>
      </w:r>
    </w:p>
    <w:p w14:paraId="19BEDB36"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En ese mismo sentido los artículos 67.2, 69.7.3 del NCPC establecen la posibilidad que los Tribunales superiores – apelación o casación- pueden ordenar pruebas de oficio cuando sea indispensable.</w:t>
      </w:r>
    </w:p>
    <w:p w14:paraId="49EC5E4A"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 xml:space="preserve">De acuerdo con la normativa citada, este poder puede ejercerse sobre hechos controvertidos cuando exista alguna prueba que las partes no hayan ofrecido y el juez considere que es útil, pertinente y necesaria, y puede darse de dos formas: proponiendo a las partes su incorporación u ordenándolas de oficio. </w:t>
      </w:r>
    </w:p>
    <w:p w14:paraId="0BEA1527"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Aun y cuando a diferencia del antiguo CPDC no se establece que la prueba de oficio pueda referirse incluso a hechos tenidos como ciertos en rebeldía del demandado, lo cierto es que la falta de limitación del NCPC sobre qué hechos pueden ser objeto de prueba de oficio – entendida esta siempre dentro del cuadro de hechos dados por las partes- evidencia ese fin de búsqueda de la verdad que tiene el juez, ya que, de acuerdo con el</w:t>
      </w:r>
      <w:r w:rsidRPr="00D66245">
        <w:rPr>
          <w:rFonts w:ascii="Palatino Linotype" w:hAnsi="Palatino Linotype"/>
          <w:b/>
          <w:shd w:val="clear" w:color="auto" w:fill="FFFFFF"/>
          <w:lang w:val="es-ES_tradnl"/>
        </w:rPr>
        <w:t xml:space="preserve"> </w:t>
      </w:r>
      <w:r w:rsidRPr="00D66245">
        <w:rPr>
          <w:rFonts w:ascii="Palatino Linotype" w:hAnsi="Palatino Linotype"/>
          <w:shd w:val="clear" w:color="auto" w:fill="FFFFFF"/>
          <w:lang w:val="es-ES_tradnl"/>
        </w:rPr>
        <w:t xml:space="preserve">artículo 39 del NCPC, aún en rebeldía o allanamiento, el juez puede practicar prueba. Consecuentemente puede ordenarla de oficio. </w:t>
      </w:r>
    </w:p>
    <w:p w14:paraId="2E3A2B99" w14:textId="77777777" w:rsidR="008057F8" w:rsidRPr="00D66245" w:rsidRDefault="008057F8" w:rsidP="008057F8">
      <w:pPr>
        <w:spacing w:before="120" w:after="200"/>
        <w:ind w:firstLine="357"/>
        <w:jc w:val="both"/>
        <w:rPr>
          <w:rFonts w:ascii="Palatino Linotype" w:hAnsi="Palatino Linotype"/>
          <w:shd w:val="clear" w:color="auto" w:fill="FFFFFF"/>
          <w:lang w:val="es-ES_tradnl"/>
        </w:rPr>
      </w:pPr>
    </w:p>
    <w:p w14:paraId="08A7496D"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 xml:space="preserve">Finalmente, respecto al momento en que el juez puede utilizar, el NCPC evita o por lo menos disminuye las críticas referidas a los sesgos de confirmación y actuaciones dilatorias del propio Tribunal, pues establece la audiencia preliminar o audiencia única como el momento para ordenarla. La </w:t>
      </w:r>
      <w:r w:rsidRPr="00D66245">
        <w:rPr>
          <w:rFonts w:ascii="Palatino Linotype" w:hAnsi="Palatino Linotype"/>
          <w:shd w:val="clear" w:color="auto" w:fill="FFFFFF"/>
          <w:lang w:val="es-ES_tradnl"/>
        </w:rPr>
        <w:lastRenderedPageBreak/>
        <w:t>prueba en segunda instancia es excepcional debido a su requisito de indispensable.</w:t>
      </w:r>
    </w:p>
    <w:p w14:paraId="14B8A0F5" w14:textId="77777777" w:rsidR="008057F8" w:rsidRPr="00BE4897" w:rsidRDefault="008057F8" w:rsidP="008057F8">
      <w:pPr>
        <w:pStyle w:val="Ttulo3"/>
        <w:spacing w:before="120" w:after="200" w:line="360" w:lineRule="auto"/>
        <w:rPr>
          <w:rFonts w:ascii="Palatino Linotype" w:hAnsi="Palatino Linotype"/>
          <w:i/>
          <w:color w:val="auto"/>
          <w:sz w:val="22"/>
          <w:szCs w:val="22"/>
          <w:shd w:val="clear" w:color="auto" w:fill="FFFFFF"/>
          <w:lang w:val="es-ES_tradnl"/>
        </w:rPr>
      </w:pPr>
      <w:bookmarkStart w:id="45" w:name="_Toc8147335"/>
      <w:r w:rsidRPr="00BE4897">
        <w:rPr>
          <w:rFonts w:ascii="Palatino Linotype" w:hAnsi="Palatino Linotype"/>
          <w:i/>
          <w:color w:val="auto"/>
          <w:sz w:val="22"/>
          <w:szCs w:val="22"/>
          <w:shd w:val="clear" w:color="auto" w:fill="FFFFFF"/>
          <w:lang w:val="es-ES_tradnl"/>
        </w:rPr>
        <w:t>3.1.2 Fundamento</w:t>
      </w:r>
      <w:bookmarkEnd w:id="45"/>
    </w:p>
    <w:p w14:paraId="0A039FFD" w14:textId="77777777" w:rsidR="008057F8" w:rsidRPr="00D66245" w:rsidRDefault="008057F8" w:rsidP="008057F8">
      <w:pPr>
        <w:spacing w:before="120" w:after="200" w:line="240" w:lineRule="auto"/>
        <w:ind w:firstLine="357"/>
        <w:jc w:val="both"/>
        <w:rPr>
          <w:rFonts w:ascii="Palatino Linotype" w:hAnsi="Palatino Linotype"/>
          <w:shd w:val="clear" w:color="auto" w:fill="FFFFFF"/>
        </w:rPr>
      </w:pPr>
      <w:r w:rsidRPr="00D66245">
        <w:rPr>
          <w:rFonts w:ascii="Palatino Linotype" w:hAnsi="Palatino Linotype"/>
          <w:shd w:val="clear" w:color="auto" w:fill="FFFFFF"/>
          <w:lang w:val="es-ES_tradnl"/>
        </w:rPr>
        <w:t>La iniciativa probatoria es, en definitiva, el ejercicio de un poder</w:t>
      </w:r>
      <w:r w:rsidRPr="00D66245">
        <w:rPr>
          <w:rStyle w:val="Refdenotaalpie"/>
          <w:rFonts w:ascii="Palatino Linotype" w:hAnsi="Palatino Linotype"/>
          <w:shd w:val="clear" w:color="auto" w:fill="FFFFFF"/>
          <w:lang w:val="es-ES_tradnl"/>
        </w:rPr>
        <w:footnoteReference w:id="58"/>
      </w:r>
      <w:r w:rsidRPr="00D66245">
        <w:rPr>
          <w:rFonts w:ascii="Palatino Linotype" w:hAnsi="Palatino Linotype"/>
          <w:shd w:val="clear" w:color="auto" w:fill="FFFFFF"/>
          <w:lang w:val="es-ES_tradnl"/>
        </w:rPr>
        <w:t xml:space="preserve"> que, como tal, no es de carácter absoluto, tiene sus restricciones en los límites y presupuestos impuestos por la ley. Esto implica, entre otros, que la prueba ordenada por el juez debe cumplir con los requisitos generales de toda prueba: pertinencia, utilidad, necesidad, legalidad, ya que solo difieren de las propuestas por las partes en cuanto al origen y el momento en que pueden ofrecerse</w:t>
      </w:r>
      <w:r w:rsidRPr="00D66245">
        <w:rPr>
          <w:rFonts w:ascii="Palatino Linotype" w:hAnsi="Palatino Linotype"/>
          <w:shd w:val="clear" w:color="auto" w:fill="FFFFFF"/>
        </w:rPr>
        <w:t xml:space="preserve">. </w:t>
      </w:r>
    </w:p>
    <w:p w14:paraId="481D5D3D" w14:textId="77777777" w:rsidR="008057F8" w:rsidRPr="00D66245" w:rsidRDefault="008057F8" w:rsidP="008057F8">
      <w:pPr>
        <w:spacing w:before="120" w:after="200" w:line="240" w:lineRule="auto"/>
        <w:ind w:firstLine="357"/>
        <w:jc w:val="both"/>
        <w:rPr>
          <w:rFonts w:ascii="Palatino Linotype" w:hAnsi="Palatino Linotype"/>
          <w:i/>
          <w:shd w:val="clear" w:color="auto" w:fill="FFFFFF"/>
          <w:lang w:val="es-ES_tradnl"/>
        </w:rPr>
      </w:pPr>
      <w:r w:rsidRPr="00D66245">
        <w:rPr>
          <w:rFonts w:ascii="Palatino Linotype" w:hAnsi="Palatino Linotype"/>
          <w:shd w:val="clear" w:color="auto" w:fill="FFFFFF"/>
          <w:lang w:val="es-ES_tradnl"/>
        </w:rPr>
        <w:t xml:space="preserve">Es claro que el fundamento tiene una vertiente epistémica, la cual consiste en incrementar el acervo probatorio para que el juez cuente con más elementos de juicio al momento de dictar la sentencia. Lo que guarda relación con el modelo de proceso que establece el NCPC y resulta coherente con el mandato de procurar la </w:t>
      </w:r>
      <w:r w:rsidRPr="00D66245">
        <w:rPr>
          <w:rFonts w:ascii="Palatino Linotype" w:hAnsi="Palatino Linotype"/>
          <w:i/>
          <w:shd w:val="clear" w:color="auto" w:fill="FFFFFF"/>
          <w:lang w:val="es-ES_tradnl"/>
        </w:rPr>
        <w:t>búsqueda de la verdad dentro de los límites establecidos por el ordenamiento jurídico.</w:t>
      </w:r>
    </w:p>
    <w:p w14:paraId="298ECD12" w14:textId="77777777" w:rsidR="008057F8" w:rsidRPr="00D66245" w:rsidRDefault="008057F8" w:rsidP="008057F8">
      <w:pPr>
        <w:spacing w:before="120" w:after="200" w:line="240" w:lineRule="auto"/>
        <w:ind w:firstLine="357"/>
        <w:jc w:val="both"/>
        <w:rPr>
          <w:rFonts w:ascii="Palatino Linotype" w:hAnsi="Palatino Linotype"/>
          <w:shd w:val="clear" w:color="auto" w:fill="FFFFFF"/>
        </w:rPr>
      </w:pPr>
      <w:r w:rsidRPr="00D66245">
        <w:rPr>
          <w:rFonts w:ascii="Palatino Linotype" w:hAnsi="Palatino Linotype"/>
          <w:shd w:val="clear" w:color="auto" w:fill="FFFFFF"/>
          <w:lang w:val="es-ES_tradnl"/>
        </w:rPr>
        <w:t>El aspecto por definir es qué debe contener esa motivación, pues ya sabemos que la decisión del juez siempre debe venir fundamentada en una insuficiencia probatoria. En ese sentido, resulta indudable que determinar cuándo existe esa insuficiencia - y así justificar el uso de esa potestad- sería más sencillo si tuviéramos estándares de prueba más claros que el de preponderancia – más pro</w:t>
      </w:r>
      <w:r w:rsidRPr="00D66245">
        <w:rPr>
          <w:rFonts w:ascii="Palatino Linotype" w:hAnsi="Palatino Linotype"/>
          <w:shd w:val="clear" w:color="auto" w:fill="FFFFFF"/>
        </w:rPr>
        <w:t>bable que-</w:t>
      </w:r>
      <w:r w:rsidRPr="00D66245">
        <w:rPr>
          <w:rStyle w:val="Refdenotaalpie"/>
          <w:rFonts w:ascii="Palatino Linotype" w:hAnsi="Palatino Linotype"/>
          <w:shd w:val="clear" w:color="auto" w:fill="FFFFFF"/>
        </w:rPr>
        <w:footnoteReference w:id="59"/>
      </w:r>
      <w:r w:rsidRPr="00D66245">
        <w:rPr>
          <w:rFonts w:ascii="Palatino Linotype" w:hAnsi="Palatino Linotype"/>
          <w:shd w:val="clear" w:color="auto" w:fill="FFFFFF"/>
        </w:rPr>
        <w:t xml:space="preserve"> pero en Costa Rica no se tiene y a criterio de la autora de este artículo, aún no se ha dado o ha iniciado siquiera la conversación necesaria sobre este tema y su importancia en la valoración racional de la prueba.</w:t>
      </w:r>
    </w:p>
    <w:p w14:paraId="665DF232" w14:textId="77777777" w:rsidR="008057F8" w:rsidRPr="00D66245" w:rsidRDefault="008057F8" w:rsidP="008057F8">
      <w:pPr>
        <w:spacing w:before="120" w:after="200" w:line="240" w:lineRule="auto"/>
        <w:ind w:firstLine="357"/>
        <w:jc w:val="both"/>
        <w:rPr>
          <w:rFonts w:ascii="Palatino Linotype" w:hAnsi="Palatino Linotype"/>
          <w:shd w:val="clear" w:color="auto" w:fill="FFFFFF"/>
        </w:rPr>
      </w:pPr>
      <w:r w:rsidRPr="00D66245">
        <w:rPr>
          <w:rFonts w:ascii="Palatino Linotype" w:hAnsi="Palatino Linotype"/>
          <w:shd w:val="clear" w:color="auto" w:fill="FFFFFF"/>
        </w:rPr>
        <w:t>En términos generales, el estándar de prueba (en adelante EP) son los “criterios que indican cuándo se ha conseguido la prueba de un hecho”</w:t>
      </w:r>
      <w:r w:rsidRPr="00D66245">
        <w:rPr>
          <w:rFonts w:ascii="Palatino Linotype" w:hAnsi="Palatino Linotype"/>
        </w:rPr>
        <w:t xml:space="preserve"> </w:t>
      </w:r>
      <w:r w:rsidRPr="00D66245">
        <w:rPr>
          <w:rFonts w:ascii="Palatino Linotype" w:hAnsi="Palatino Linotype"/>
        </w:rPr>
        <w:lastRenderedPageBreak/>
        <w:t>(Gascón, 2012, p.76)</w:t>
      </w:r>
      <w:r w:rsidRPr="00D66245">
        <w:rPr>
          <w:rFonts w:ascii="Palatino Linotype" w:hAnsi="Palatino Linotype"/>
          <w:shd w:val="clear" w:color="auto" w:fill="FFFFFF"/>
        </w:rPr>
        <w:t xml:space="preserve"> responden a la pregunta de cuándo está justificado aceptar la hipótesis que describe el hecho.  Gascón, (2012, p. 77) sostiene que la construcción de un EP implica dos cosas: “a) … decir qué grado de probabilidad se requiere para aceptar una hipótesis como verdadera; b) …, formular objetivamente el EP, es decir, formular los criterios objetivos que indican cuándo se alcanza ese grado de probabilidad o certeza exigido”</w:t>
      </w:r>
      <w:r w:rsidRPr="00D66245">
        <w:rPr>
          <w:rFonts w:ascii="Palatino Linotype" w:hAnsi="Palatino Linotype"/>
          <w:i/>
          <w:shd w:val="clear" w:color="auto" w:fill="FFFFFF"/>
        </w:rPr>
        <w:t>.</w:t>
      </w:r>
      <w:r w:rsidRPr="00D66245">
        <w:rPr>
          <w:rStyle w:val="Refdenotaalpie"/>
          <w:rFonts w:ascii="Palatino Linotype" w:hAnsi="Palatino Linotype"/>
          <w:i/>
          <w:shd w:val="clear" w:color="auto" w:fill="FFFFFF"/>
        </w:rPr>
        <w:footnoteReference w:id="60"/>
      </w:r>
      <w:r w:rsidRPr="00D66245">
        <w:rPr>
          <w:rFonts w:ascii="Palatino Linotype" w:hAnsi="Palatino Linotype"/>
          <w:i/>
          <w:shd w:val="clear" w:color="auto" w:fill="FFFFFF"/>
        </w:rPr>
        <w:t xml:space="preserve"> </w:t>
      </w:r>
    </w:p>
    <w:p w14:paraId="3D214D05" w14:textId="77777777" w:rsidR="008057F8" w:rsidRPr="00BE4897" w:rsidRDefault="008057F8" w:rsidP="008057F8">
      <w:pPr>
        <w:pStyle w:val="Ttulo3"/>
        <w:spacing w:before="120" w:after="200" w:line="360" w:lineRule="auto"/>
        <w:rPr>
          <w:rFonts w:ascii="Palatino Linotype" w:hAnsi="Palatino Linotype"/>
          <w:i/>
          <w:color w:val="auto"/>
          <w:sz w:val="22"/>
          <w:szCs w:val="22"/>
          <w:shd w:val="clear" w:color="auto" w:fill="FFFFFF"/>
          <w:lang w:val="es-ES_tradnl"/>
        </w:rPr>
      </w:pPr>
      <w:bookmarkStart w:id="46" w:name="_Toc8147336"/>
      <w:r w:rsidRPr="00BE4897">
        <w:rPr>
          <w:rFonts w:ascii="Palatino Linotype" w:hAnsi="Palatino Linotype"/>
          <w:i/>
          <w:color w:val="auto"/>
          <w:sz w:val="22"/>
          <w:szCs w:val="22"/>
          <w:shd w:val="clear" w:color="auto" w:fill="FFFFFF"/>
          <w:lang w:val="es-ES_tradnl"/>
        </w:rPr>
        <w:t>3.1.3 Contradicción</w:t>
      </w:r>
      <w:bookmarkEnd w:id="46"/>
    </w:p>
    <w:p w14:paraId="41947F06"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La determinación de los hechos que verdaderamente ocurrieron debe darse dentro del marco de la actividad dialéctica y de contradicción que han de propiciar las partes.</w:t>
      </w:r>
    </w:p>
    <w:p w14:paraId="78D9EA95" w14:textId="77777777" w:rsidR="008057F8" w:rsidRPr="00D66245" w:rsidRDefault="008057F8" w:rsidP="008057F8">
      <w:pPr>
        <w:spacing w:before="120" w:after="200" w:line="240" w:lineRule="auto"/>
        <w:ind w:firstLine="357"/>
        <w:jc w:val="both"/>
        <w:rPr>
          <w:rFonts w:ascii="Palatino Linotype" w:hAnsi="Palatino Linotype"/>
          <w:lang w:val="es-ES_tradnl"/>
        </w:rPr>
      </w:pPr>
      <w:r w:rsidRPr="00D66245">
        <w:rPr>
          <w:rFonts w:ascii="Palatino Linotype" w:hAnsi="Palatino Linotype"/>
          <w:shd w:val="clear" w:color="auto" w:fill="FFFFFF"/>
          <w:lang w:val="es-ES_tradnl"/>
        </w:rPr>
        <w:t xml:space="preserve">Con base en lo anterior, cuando el juez utiliza su iniciativa probatoria, debe asegurar el derecho de contradicción a las partes, lo que implica: que estas puedan recurrir la decisión, permitir su </w:t>
      </w:r>
      <w:r w:rsidRPr="00D66245">
        <w:rPr>
          <w:rFonts w:ascii="Palatino Linotype" w:hAnsi="Palatino Linotype"/>
          <w:lang w:val="es-ES_tradnl"/>
        </w:rPr>
        <w:t>participación en la práctica, que tengan la oportunidad de ofrecer otras pruebas que den información relevante y, finalmente, que también esas pruebas sean tomadas en cuenta cuando el juez está valorando.</w:t>
      </w:r>
    </w:p>
    <w:p w14:paraId="5B095B6D" w14:textId="77777777" w:rsidR="008057F8" w:rsidRPr="00D66245" w:rsidRDefault="008057F8" w:rsidP="008057F8">
      <w:pPr>
        <w:spacing w:before="120" w:after="200" w:line="240" w:lineRule="auto"/>
        <w:ind w:firstLine="357"/>
        <w:jc w:val="both"/>
        <w:rPr>
          <w:rFonts w:ascii="Palatino Linotype" w:hAnsi="Palatino Linotype"/>
          <w:lang w:val="es-ES_tradnl"/>
        </w:rPr>
      </w:pPr>
      <w:r w:rsidRPr="00D66245">
        <w:rPr>
          <w:rFonts w:ascii="Palatino Linotype" w:hAnsi="Palatino Linotype"/>
          <w:lang w:val="es-ES_tradnl"/>
        </w:rPr>
        <w:t xml:space="preserve"> Esto es así porque la </w:t>
      </w:r>
      <w:r w:rsidRPr="00D66245">
        <w:rPr>
          <w:rFonts w:ascii="Palatino Linotype" w:hAnsi="Palatino Linotype"/>
          <w:shd w:val="clear" w:color="auto" w:fill="FFFFFF"/>
          <w:lang w:val="es-ES_tradnl"/>
        </w:rPr>
        <w:t xml:space="preserve">potestad del juzgador se limita a la discrecionalidad para ofrecer, incorporar y admitir esa prueba, pero una vez producida, el tratamiento es igual respecto a la propuesta por las partes en las etapas anteriores: a) debe ser puesta en conocimiento de las partes, quienes tendrán derecho a ofrecer contraprueba; b) la valoración debe realizarse en igualdad de condiciones y tendrá la misma trascendencia que la prueba producida en otras etapas anteriores del proceso. </w:t>
      </w:r>
    </w:p>
    <w:p w14:paraId="110543D6" w14:textId="77777777" w:rsidR="008057F8" w:rsidRPr="00BE4897" w:rsidRDefault="008057F8" w:rsidP="008057F8">
      <w:pPr>
        <w:pStyle w:val="Ttulo3"/>
        <w:spacing w:before="120" w:after="200" w:line="360" w:lineRule="auto"/>
        <w:rPr>
          <w:rFonts w:ascii="Palatino Linotype" w:hAnsi="Palatino Linotype"/>
          <w:i/>
          <w:color w:val="auto"/>
          <w:sz w:val="22"/>
          <w:szCs w:val="22"/>
          <w:shd w:val="clear" w:color="auto" w:fill="FFFFFF"/>
          <w:lang w:val="es-ES_tradnl"/>
        </w:rPr>
      </w:pPr>
      <w:bookmarkStart w:id="47" w:name="_Toc8147337"/>
      <w:r w:rsidRPr="00BE4897">
        <w:rPr>
          <w:rFonts w:ascii="Palatino Linotype" w:hAnsi="Palatino Linotype"/>
          <w:i/>
          <w:color w:val="auto"/>
          <w:sz w:val="22"/>
          <w:szCs w:val="22"/>
          <w:shd w:val="clear" w:color="auto" w:fill="FFFFFF"/>
          <w:lang w:val="es-ES_tradnl"/>
        </w:rPr>
        <w:t>3.2.4 Impugnabilidad de la resolución</w:t>
      </w:r>
      <w:bookmarkEnd w:id="47"/>
    </w:p>
    <w:p w14:paraId="1208170D" w14:textId="77777777" w:rsidR="008057F8" w:rsidRPr="00D66245" w:rsidRDefault="008057F8" w:rsidP="008057F8">
      <w:pPr>
        <w:spacing w:before="120" w:after="200" w:line="240" w:lineRule="auto"/>
        <w:ind w:firstLine="357"/>
        <w:jc w:val="both"/>
        <w:rPr>
          <w:rFonts w:ascii="Palatino Linotype" w:hAnsi="Palatino Linotype"/>
          <w:shd w:val="clear" w:color="auto" w:fill="FFFFFF"/>
        </w:rPr>
      </w:pPr>
      <w:r w:rsidRPr="00D66245">
        <w:rPr>
          <w:rFonts w:ascii="Palatino Linotype" w:hAnsi="Palatino Linotype"/>
          <w:shd w:val="clear" w:color="auto" w:fill="FFFFFF"/>
          <w:lang w:val="es-ES_tradnl"/>
        </w:rPr>
        <w:t>Ante el uso de un poder por parte del juez, las partes deben tener el derecho de recurrir esa decisión cuando consideren que violenta sus derechos o no cumple con los</w:t>
      </w:r>
      <w:r w:rsidRPr="00D66245">
        <w:rPr>
          <w:rFonts w:ascii="Palatino Linotype" w:hAnsi="Palatino Linotype"/>
          <w:shd w:val="clear" w:color="auto" w:fill="FFFFFF"/>
        </w:rPr>
        <w:t xml:space="preserve"> presupuestos normativos. En ese sentido, la </w:t>
      </w:r>
      <w:r w:rsidRPr="00D66245">
        <w:rPr>
          <w:rFonts w:ascii="Palatino Linotype" w:hAnsi="Palatino Linotype"/>
          <w:shd w:val="clear" w:color="auto" w:fill="FFFFFF"/>
        </w:rPr>
        <w:lastRenderedPageBreak/>
        <w:t xml:space="preserve">iniciativa probatoria no escapa de ese derecho de impugnación. El juez como ser humano se puede equivocar, sea porque ordena prueba inconducente o que no refiera a hechos controvertidos, o porque no está respetando el derecho de participación y contradicción de las partes. El NCPC no establece carácter de irrecurrible de la resolución que ordene esa prueba de oficio, las únicas limitantes son las normas que regulan los recursos. </w:t>
      </w:r>
    </w:p>
    <w:p w14:paraId="5B690AF0"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En ese sentido debe aclararse que la resolución que admita o rechace prueba no es objeto de recurso de apelación, pero sí de revocatoria y si eventualmente esa decisión del juez causó alguna vulneración al debido proceso, podría ser alegada como sustento de casación.</w:t>
      </w:r>
      <w:r w:rsidRPr="00D66245">
        <w:rPr>
          <w:rStyle w:val="Refdenotaalpie"/>
          <w:rFonts w:ascii="Palatino Linotype" w:hAnsi="Palatino Linotype"/>
          <w:shd w:val="clear" w:color="auto" w:fill="FFFFFF"/>
          <w:lang w:val="es-ES_tradnl"/>
        </w:rPr>
        <w:footnoteReference w:id="61"/>
      </w:r>
      <w:r w:rsidRPr="00D66245">
        <w:rPr>
          <w:rFonts w:ascii="Palatino Linotype" w:hAnsi="Palatino Linotype"/>
          <w:shd w:val="clear" w:color="auto" w:fill="FFFFFF"/>
          <w:lang w:val="es-ES_tradnl"/>
        </w:rPr>
        <w:t xml:space="preserve">  </w:t>
      </w:r>
    </w:p>
    <w:p w14:paraId="67D58262" w14:textId="77777777" w:rsidR="008057F8" w:rsidRPr="00D66245" w:rsidRDefault="008057F8" w:rsidP="008057F8">
      <w:pPr>
        <w:pStyle w:val="Ttulo1"/>
        <w:spacing w:before="120" w:after="200"/>
        <w:rPr>
          <w:rFonts w:ascii="Palatino Linotype" w:hAnsi="Palatino Linotype"/>
          <w:sz w:val="22"/>
          <w:szCs w:val="22"/>
          <w:shd w:val="clear" w:color="auto" w:fill="FFFFFF"/>
        </w:rPr>
      </w:pPr>
      <w:bookmarkStart w:id="48" w:name="_Toc8147338"/>
      <w:r w:rsidRPr="00D66245">
        <w:rPr>
          <w:rFonts w:ascii="Palatino Linotype" w:hAnsi="Palatino Linotype"/>
          <w:sz w:val="22"/>
          <w:szCs w:val="22"/>
          <w:shd w:val="clear" w:color="auto" w:fill="FFFFFF"/>
        </w:rPr>
        <w:t>4. CRÍTICAS AL ARTÍCULO 41.3 DEL NCPC</w:t>
      </w:r>
      <w:bookmarkEnd w:id="48"/>
      <w:r w:rsidRPr="00D66245">
        <w:rPr>
          <w:rFonts w:ascii="Palatino Linotype" w:hAnsi="Palatino Linotype"/>
          <w:sz w:val="22"/>
          <w:szCs w:val="22"/>
          <w:shd w:val="clear" w:color="auto" w:fill="FFFFFF"/>
        </w:rPr>
        <w:t xml:space="preserve"> </w:t>
      </w:r>
    </w:p>
    <w:p w14:paraId="04F7EAB5" w14:textId="77777777" w:rsidR="008057F8" w:rsidRPr="00D66245" w:rsidRDefault="008057F8" w:rsidP="008057F8">
      <w:pPr>
        <w:spacing w:before="120" w:after="200" w:line="240" w:lineRule="auto"/>
        <w:ind w:firstLine="357"/>
        <w:jc w:val="both"/>
        <w:rPr>
          <w:rFonts w:ascii="Palatino Linotype" w:hAnsi="Palatino Linotype"/>
          <w:shd w:val="clear" w:color="auto" w:fill="FFFFFF"/>
        </w:rPr>
      </w:pPr>
      <w:r w:rsidRPr="00D66245">
        <w:rPr>
          <w:rFonts w:ascii="Palatino Linotype" w:hAnsi="Palatino Linotype"/>
          <w:shd w:val="clear" w:color="auto" w:fill="FFFFFF"/>
        </w:rPr>
        <w:t xml:space="preserve">A continuación, se enlistan una serie de críticas que comúnmente se hacen a la iniciativa probatoria y que, por supuesto, son alegadas contra el artículo 41.3 del NCPC. Este análisis busca resumir el fundamento de la crítica y comprobar si con base en lo expuesto en este trabajo, esta tiene justificación.  </w:t>
      </w:r>
    </w:p>
    <w:p w14:paraId="35F3D3F5" w14:textId="77777777" w:rsidR="008057F8" w:rsidRPr="00D66245" w:rsidRDefault="008057F8" w:rsidP="008057F8">
      <w:pPr>
        <w:pStyle w:val="Ttulo2"/>
        <w:spacing w:before="120" w:after="200" w:line="360" w:lineRule="auto"/>
        <w:jc w:val="both"/>
        <w:rPr>
          <w:rFonts w:ascii="Palatino Linotype" w:hAnsi="Palatino Linotype"/>
          <w:i/>
          <w:color w:val="auto"/>
          <w:sz w:val="22"/>
          <w:szCs w:val="22"/>
          <w:shd w:val="clear" w:color="auto" w:fill="FFFFFF"/>
          <w:lang w:val="es-ES_tradnl"/>
        </w:rPr>
      </w:pPr>
      <w:bookmarkStart w:id="49" w:name="_Toc8147339"/>
      <w:r w:rsidRPr="00D66245">
        <w:rPr>
          <w:rFonts w:ascii="Palatino Linotype" w:hAnsi="Palatino Linotype"/>
          <w:i/>
          <w:color w:val="auto"/>
          <w:sz w:val="22"/>
          <w:szCs w:val="22"/>
          <w:shd w:val="clear" w:color="auto" w:fill="FFFFFF"/>
          <w:lang w:val="es-ES_tradnl"/>
        </w:rPr>
        <w:t>4.1 Transgresión al principio dispositivo</w:t>
      </w:r>
      <w:bookmarkEnd w:id="49"/>
      <w:r w:rsidRPr="00D66245">
        <w:rPr>
          <w:rFonts w:ascii="Palatino Linotype" w:hAnsi="Palatino Linotype"/>
          <w:i/>
          <w:color w:val="auto"/>
          <w:sz w:val="22"/>
          <w:szCs w:val="22"/>
          <w:shd w:val="clear" w:color="auto" w:fill="FFFFFF"/>
          <w:lang w:val="es-ES_tradnl"/>
        </w:rPr>
        <w:t xml:space="preserve"> </w:t>
      </w:r>
    </w:p>
    <w:p w14:paraId="66172C4D"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Los críticos a la iniciativa probatoria del juez a menudo alegan la violación al principio dispositivo que rige los procesos civiles</w:t>
      </w:r>
      <w:r w:rsidRPr="00D66245">
        <w:rPr>
          <w:rStyle w:val="Refdenotaalpie"/>
          <w:rFonts w:ascii="Palatino Linotype" w:hAnsi="Palatino Linotype"/>
          <w:shd w:val="clear" w:color="auto" w:fill="FFFFFF"/>
          <w:lang w:val="es-ES_tradnl"/>
        </w:rPr>
        <w:footnoteReference w:id="62"/>
      </w:r>
      <w:r w:rsidRPr="00D66245">
        <w:rPr>
          <w:rFonts w:ascii="Palatino Linotype" w:hAnsi="Palatino Linotype"/>
          <w:shd w:val="clear" w:color="auto" w:fill="FFFFFF"/>
          <w:lang w:val="es-ES_tradnl"/>
        </w:rPr>
        <w:t xml:space="preserve"> como fundamento para rechazar la posibilidad de que el juez incorpore prueba al proceso. </w:t>
      </w:r>
    </w:p>
    <w:p w14:paraId="220B7F0F"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lastRenderedPageBreak/>
        <w:t>El principio dispositivo, “deriva de la naturaleza eminentemente particular de los derechos e intereses en juego”</w:t>
      </w:r>
      <w:r w:rsidRPr="00D66245">
        <w:rPr>
          <w:rFonts w:ascii="Palatino Linotype" w:hAnsi="Palatino Linotype"/>
        </w:rPr>
        <w:t xml:space="preserve"> (De la Oliva, 2012, p. 32)</w:t>
      </w:r>
      <w:r w:rsidRPr="00D66245">
        <w:rPr>
          <w:rStyle w:val="Refdenotaalpie"/>
          <w:rFonts w:ascii="Palatino Linotype" w:hAnsi="Palatino Linotype"/>
          <w:i/>
          <w:shd w:val="clear" w:color="auto" w:fill="FFFFFF"/>
          <w:lang w:val="es-ES_tradnl"/>
        </w:rPr>
        <w:footnoteReference w:id="63"/>
      </w:r>
      <w:r w:rsidRPr="00D66245">
        <w:rPr>
          <w:rFonts w:ascii="Palatino Linotype" w:hAnsi="Palatino Linotype"/>
          <w:shd w:val="clear" w:color="auto" w:fill="FFFFFF"/>
          <w:lang w:val="es-ES_tradnl"/>
        </w:rPr>
        <w:t xml:space="preserve">, relacionado directamente con el fin del proceso de </w:t>
      </w:r>
      <w:r w:rsidRPr="00D66245">
        <w:rPr>
          <w:rFonts w:ascii="Palatino Linotype" w:hAnsi="Palatino Linotype"/>
          <w:i/>
          <w:shd w:val="clear" w:color="auto" w:fill="FFFFFF"/>
          <w:lang w:val="es-ES_tradnl"/>
        </w:rPr>
        <w:t>resolver los conflictos entre las partes</w:t>
      </w:r>
      <w:r w:rsidRPr="00D66245">
        <w:rPr>
          <w:rStyle w:val="Refdenotaalpie"/>
          <w:rFonts w:ascii="Palatino Linotype" w:hAnsi="Palatino Linotype"/>
          <w:i/>
          <w:shd w:val="clear" w:color="auto" w:fill="FFFFFF"/>
          <w:lang w:val="es-ES_tradnl"/>
        </w:rPr>
        <w:footnoteReference w:id="64"/>
      </w:r>
      <w:r w:rsidRPr="00D66245">
        <w:rPr>
          <w:rFonts w:ascii="Palatino Linotype" w:hAnsi="Palatino Linotype"/>
          <w:i/>
          <w:shd w:val="clear" w:color="auto" w:fill="FFFFFF"/>
          <w:lang w:val="es-ES_tradnl"/>
        </w:rPr>
        <w:t xml:space="preserve">, </w:t>
      </w:r>
      <w:r w:rsidRPr="00D66245">
        <w:rPr>
          <w:rFonts w:ascii="Palatino Linotype" w:hAnsi="Palatino Linotype"/>
          <w:shd w:val="clear" w:color="auto" w:fill="FFFFFF"/>
          <w:lang w:val="es-ES_tradnl"/>
        </w:rPr>
        <w:t>por el cual se les asigna a estas un papel preponderante. La manifestación de ese poder dispositivo reside en que el proceso inicia a gestión de parte – no de oficio-, consecuentemente también está a disposición de las partes finalizar el proceso – de la forma y supuestos que establece la norma- y finalmente, son las partes quienes establecen el objeto de litigio.</w:t>
      </w:r>
      <w:r w:rsidRPr="00D66245">
        <w:rPr>
          <w:rStyle w:val="Refdenotaalpie"/>
          <w:rFonts w:ascii="Palatino Linotype" w:hAnsi="Palatino Linotype"/>
          <w:shd w:val="clear" w:color="auto" w:fill="FFFFFF"/>
          <w:lang w:val="es-ES_tradnl"/>
        </w:rPr>
        <w:footnoteReference w:id="65"/>
      </w:r>
      <w:r w:rsidRPr="00D66245">
        <w:rPr>
          <w:rFonts w:ascii="Palatino Linotype" w:hAnsi="Palatino Linotype"/>
          <w:shd w:val="clear" w:color="auto" w:fill="FFFFFF"/>
          <w:lang w:val="es-ES_tradnl"/>
        </w:rPr>
        <w:t xml:space="preserve">  </w:t>
      </w:r>
    </w:p>
    <w:p w14:paraId="2E162A4F" w14:textId="77777777" w:rsidR="008057F8" w:rsidRPr="00D66245" w:rsidRDefault="008057F8" w:rsidP="008057F8">
      <w:pPr>
        <w:spacing w:before="120" w:after="200" w:line="240" w:lineRule="auto"/>
        <w:ind w:firstLine="360"/>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 xml:space="preserve">Ese principio se ha reflejado en el brocardo </w:t>
      </w:r>
      <w:r w:rsidRPr="00D66245">
        <w:rPr>
          <w:rFonts w:ascii="Palatino Linotype" w:hAnsi="Palatino Linotype"/>
          <w:i/>
          <w:shd w:val="clear" w:color="auto" w:fill="FFFFFF"/>
          <w:lang w:val="es-ES_tradnl"/>
        </w:rPr>
        <w:t>iudex iudicare debet secundum allegata et probata partium</w:t>
      </w:r>
      <w:r w:rsidRPr="00D66245">
        <w:rPr>
          <w:rFonts w:ascii="Palatino Linotype" w:hAnsi="Palatino Linotype"/>
          <w:shd w:val="clear" w:color="auto" w:fill="FFFFFF"/>
          <w:lang w:val="es-ES_tradnl"/>
        </w:rPr>
        <w:t>, interpretado como que el juez no puede tener facultades probatorias sino limitarse a juzgar de acuerdo con lo alegado y probado por las partes.</w:t>
      </w:r>
      <w:r w:rsidRPr="00D66245">
        <w:rPr>
          <w:rStyle w:val="Refdenotaalpie"/>
          <w:rFonts w:ascii="Palatino Linotype" w:hAnsi="Palatino Linotype"/>
          <w:i/>
          <w:shd w:val="clear" w:color="auto" w:fill="FFFFFF"/>
          <w:lang w:val="es-ES_tradnl"/>
        </w:rPr>
        <w:footnoteReference w:id="66"/>
      </w:r>
      <w:r w:rsidRPr="00D66245">
        <w:rPr>
          <w:rFonts w:ascii="Palatino Linotype" w:hAnsi="Palatino Linotype"/>
          <w:shd w:val="clear" w:color="auto" w:fill="FFFFFF"/>
          <w:lang w:val="es-ES_tradnl"/>
        </w:rPr>
        <w:t xml:space="preserve"> Sin embargo, Picó I Junoy (2011) explica que esa interpretación parte de una errónea formulación del brocardo y en realidad se estaba alterando su finalidad verdadera, que era: que el juez no utilizara su conocimiento privado </w:t>
      </w:r>
      <w:r w:rsidRPr="00D66245">
        <w:rPr>
          <w:rFonts w:ascii="Palatino Linotype" w:hAnsi="Palatino Linotype"/>
          <w:i/>
          <w:shd w:val="clear" w:color="auto" w:fill="FFFFFF"/>
          <w:lang w:val="es-ES_tradnl"/>
        </w:rPr>
        <w:t xml:space="preserve">a saber, los hechos según fueron alegados y probados en </w:t>
      </w:r>
      <w:r w:rsidRPr="00D66245">
        <w:rPr>
          <w:rFonts w:ascii="Palatino Linotype" w:hAnsi="Palatino Linotype"/>
          <w:i/>
          <w:shd w:val="clear" w:color="auto" w:fill="FFFFFF"/>
          <w:lang w:val="es-ES_tradnl"/>
        </w:rPr>
        <w:lastRenderedPageBreak/>
        <w:t>el proceso (secundum allegata et probata), debiendo rechazarse cualquier conocimiento privado (conscientiam) que el juez pudiera tener de los mismos.</w:t>
      </w:r>
      <w:r w:rsidRPr="00D66245">
        <w:rPr>
          <w:rStyle w:val="Refdenotaalpie"/>
          <w:rFonts w:ascii="Palatino Linotype" w:hAnsi="Palatino Linotype"/>
          <w:i/>
          <w:shd w:val="clear" w:color="auto" w:fill="FFFFFF"/>
          <w:lang w:val="es-ES_tradnl"/>
        </w:rPr>
        <w:footnoteReference w:id="67"/>
      </w:r>
    </w:p>
    <w:p w14:paraId="2361D398"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Teniendo en cuenta lo anterior, debe entonces considerarse si la naturaleza privada de los intereses implica la pasividad del juez en la actividad probatoria y para hacer esto es necesario tener claridad del concepto y alcance del denominado principio de aportación.</w:t>
      </w:r>
    </w:p>
    <w:p w14:paraId="7AFF3F37"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La aportación de parte tiene dos elementos: la alegación de las proposiciones fácticas corresponde a las partes, al titular de los derechos e intereses. En segundo lugar, la prueba de esos hechos les corresponde a las partes, quienes tienen la carga de suministrar al juez todos los elementos probatorios necesarios para acreditar sus hechos</w:t>
      </w:r>
      <w:r w:rsidRPr="00D66245">
        <w:rPr>
          <w:rStyle w:val="Refdenotaalpie"/>
          <w:rFonts w:ascii="Palatino Linotype" w:hAnsi="Palatino Linotype"/>
          <w:shd w:val="clear" w:color="auto" w:fill="FFFFFF"/>
          <w:lang w:val="es-ES_tradnl"/>
        </w:rPr>
        <w:footnoteReference w:id="68"/>
      </w:r>
      <w:r w:rsidRPr="00D66245">
        <w:rPr>
          <w:rFonts w:ascii="Palatino Linotype" w:hAnsi="Palatino Linotype"/>
          <w:shd w:val="clear" w:color="auto" w:fill="FFFFFF"/>
          <w:lang w:val="es-ES_tradnl"/>
        </w:rPr>
        <w:t xml:space="preserve"> Ese segundo elemento de ninguna forma fundamenta el rechazo a la iniciativa probatoria del juez, las partes siguen teniendo la carga de probar, esto no cambia, pero, como se dijo, esto no implica un monopolio absoluto de las partes, no debe amoldarse a las reglas o intereses propios de estas. </w:t>
      </w:r>
      <w:r w:rsidRPr="00D66245">
        <w:rPr>
          <w:rStyle w:val="Refdenotaalpie"/>
          <w:rFonts w:ascii="Palatino Linotype" w:hAnsi="Palatino Linotype"/>
          <w:shd w:val="clear" w:color="auto" w:fill="FFFFFF"/>
          <w:lang w:val="es-ES_tradnl"/>
        </w:rPr>
        <w:footnoteReference w:id="69"/>
      </w:r>
    </w:p>
    <w:p w14:paraId="2D290862" w14:textId="77777777" w:rsidR="008057F8" w:rsidRPr="00D66245" w:rsidRDefault="008057F8" w:rsidP="008057F8">
      <w:pPr>
        <w:spacing w:before="120" w:after="200" w:line="240" w:lineRule="auto"/>
        <w:ind w:firstLine="357"/>
        <w:jc w:val="both"/>
        <w:rPr>
          <w:rFonts w:ascii="Palatino Linotype" w:hAnsi="Palatino Linotype"/>
          <w:i/>
          <w:lang w:val="es-ES_tradnl"/>
        </w:rPr>
      </w:pPr>
      <w:r w:rsidRPr="00D66245">
        <w:rPr>
          <w:rFonts w:ascii="Palatino Linotype" w:hAnsi="Palatino Linotype"/>
          <w:lang w:val="es-ES_tradnl"/>
        </w:rPr>
        <w:t>La cuestión está en la diferenciación de estos dos principios, como señala Picó (2011, p. 118) “Así, mientras el legislador no puede, sin comprometer el carácter disponible del interés discutido del proceso civil, consentir al juez tutelar dicho interés en ausencia de una demanda de parte o extralimitarse en tal tutela más de lo dispuesto por los litigantes, si puede sustraerles el poder monopolístico de iniciativa probatoria incrementando, viceversa los poderes del juez”</w:t>
      </w:r>
      <w:r w:rsidRPr="00D66245">
        <w:rPr>
          <w:rFonts w:ascii="Palatino Linotype" w:hAnsi="Palatino Linotype"/>
          <w:i/>
          <w:lang w:val="es-ES_tradnl"/>
        </w:rPr>
        <w:t>.</w:t>
      </w:r>
    </w:p>
    <w:p w14:paraId="1A33648E" w14:textId="77777777" w:rsidR="008057F8" w:rsidRPr="00D66245" w:rsidRDefault="008057F8" w:rsidP="008057F8">
      <w:pPr>
        <w:spacing w:before="120" w:after="200" w:line="240" w:lineRule="auto"/>
        <w:ind w:firstLine="357"/>
        <w:jc w:val="both"/>
        <w:rPr>
          <w:rFonts w:ascii="Palatino Linotype" w:hAnsi="Palatino Linotype"/>
          <w:lang w:val="es-ES_tradnl"/>
        </w:rPr>
      </w:pPr>
      <w:r w:rsidRPr="00D66245">
        <w:rPr>
          <w:rFonts w:ascii="Palatino Linotype" w:hAnsi="Palatino Linotype"/>
          <w:lang w:val="es-ES_tradnl"/>
        </w:rPr>
        <w:t xml:space="preserve">El principio de aportación de parte responde a la forma en que se concibe el desarrollo del proceso, es decir, al modelo que el legislador haya diseñado, a la forma en que quiere que este se despliegue, considerando el fin establecido, plazo, costos. Por su parte, </w:t>
      </w:r>
      <w:r w:rsidRPr="00D66245">
        <w:rPr>
          <w:rFonts w:ascii="Palatino Linotype" w:hAnsi="Palatino Linotype"/>
          <w:shd w:val="clear" w:color="auto" w:fill="FFFFFF"/>
          <w:lang w:val="es-ES_tradnl"/>
        </w:rPr>
        <w:t xml:space="preserve">el principio dispositivo tiene un </w:t>
      </w:r>
      <w:r w:rsidRPr="00D66245">
        <w:rPr>
          <w:rFonts w:ascii="Palatino Linotype" w:hAnsi="Palatino Linotype"/>
          <w:shd w:val="clear" w:color="auto" w:fill="FFFFFF"/>
          <w:lang w:val="es-ES_tradnl"/>
        </w:rPr>
        <w:lastRenderedPageBreak/>
        <w:t xml:space="preserve">contenido concreto – inicio, límite de la actuación del juez e imposibilidad que este utilice su conocimiento privado para resolver el asunto-, que no incluye el monopolio de la actividad probatoria por las partes; entonces la negación de la iniciativa probatoria no tiene fundamento en dicho brocardo, en tanto su sentido era completamente distinto. </w:t>
      </w:r>
    </w:p>
    <w:p w14:paraId="40A563F8" w14:textId="77777777" w:rsidR="008057F8" w:rsidRPr="00D66245" w:rsidRDefault="008057F8" w:rsidP="008057F8">
      <w:pPr>
        <w:autoSpaceDE w:val="0"/>
        <w:autoSpaceDN w:val="0"/>
        <w:adjustRightInd w:val="0"/>
        <w:spacing w:before="120" w:after="200" w:line="240" w:lineRule="auto"/>
        <w:ind w:firstLine="357"/>
        <w:jc w:val="both"/>
        <w:rPr>
          <w:rFonts w:ascii="Palatino Linotype" w:hAnsi="Palatino Linotype"/>
          <w:i/>
          <w:lang w:val="es-ES_tradnl"/>
        </w:rPr>
      </w:pPr>
      <w:r w:rsidRPr="00D66245">
        <w:rPr>
          <w:rFonts w:ascii="Palatino Linotype" w:hAnsi="Palatino Linotype"/>
          <w:shd w:val="clear" w:color="auto" w:fill="FFFFFF"/>
          <w:lang w:val="es-ES_tradnl"/>
        </w:rPr>
        <w:t xml:space="preserve">Aun y cuando se acepta que </w:t>
      </w:r>
      <w:r w:rsidRPr="00D66245">
        <w:rPr>
          <w:rFonts w:ascii="Palatino Linotype" w:hAnsi="Palatino Linotype"/>
          <w:lang w:val="es-ES_tradnl"/>
        </w:rPr>
        <w:t>las partes se encuentran en mejores condiciones que el juez para probar</w:t>
      </w:r>
      <w:r w:rsidRPr="00D66245">
        <w:rPr>
          <w:rFonts w:ascii="Palatino Linotype" w:hAnsi="Palatino Linotype"/>
          <w:shd w:val="clear" w:color="auto" w:fill="FFFFFF"/>
          <w:lang w:val="es-ES_tradnl"/>
        </w:rPr>
        <w:t xml:space="preserve">, </w:t>
      </w:r>
      <w:r w:rsidRPr="00D66245">
        <w:rPr>
          <w:rFonts w:ascii="Palatino Linotype" w:hAnsi="Palatino Linotype"/>
          <w:lang w:val="es-ES_tradnl"/>
        </w:rPr>
        <w:t>no excluye la del juez. Sobre esto Picó (2007, p.584) explica que “el hecho de que los litigantes estén más preparados para aportar al proceso el material probatorio necesario no explica que se omita o excluya de esa actividad al juzgador</w:t>
      </w:r>
      <w:r w:rsidRPr="00D66245">
        <w:rPr>
          <w:rStyle w:val="Refdecomentario"/>
          <w:rFonts w:ascii="Palatino Linotype" w:hAnsi="Palatino Linotype"/>
          <w:sz w:val="22"/>
          <w:szCs w:val="22"/>
        </w:rPr>
        <w:t>”</w:t>
      </w:r>
      <w:r w:rsidRPr="00D66245">
        <w:rPr>
          <w:rFonts w:ascii="Palatino Linotype" w:hAnsi="Palatino Linotype"/>
          <w:i/>
          <w:lang w:val="es-ES_tradnl"/>
        </w:rPr>
        <w:t>.</w:t>
      </w:r>
    </w:p>
    <w:p w14:paraId="23F8E668"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Es por todo lo anterior que la autora de este estudio considera que esta crítica no tiene fundamento, pues el derecho controvertido siempre está a disposición del actor, quien puede disponer de este de forma libre</w:t>
      </w:r>
      <w:r w:rsidRPr="00D66245">
        <w:rPr>
          <w:rStyle w:val="Refdenotaalpie"/>
          <w:rFonts w:ascii="Palatino Linotype" w:hAnsi="Palatino Linotype"/>
          <w:shd w:val="clear" w:color="auto" w:fill="FFFFFF"/>
          <w:lang w:val="es-ES_tradnl"/>
        </w:rPr>
        <w:footnoteReference w:id="70"/>
      </w:r>
      <w:r w:rsidRPr="00D66245">
        <w:rPr>
          <w:rFonts w:ascii="Palatino Linotype" w:hAnsi="Palatino Linotype"/>
          <w:shd w:val="clear" w:color="auto" w:fill="FFFFFF"/>
          <w:lang w:val="es-ES_tradnl"/>
        </w:rPr>
        <w:t xml:space="preserve"> y la prueba de oficio en nada influye esa facultad. Pretender basar la oposición a la citada potestad del juez conlleva asumir esa naturaleza privada del derecho objeto de controversia y determina una apropiación absoluta o monopolio exclusivo de las partes, de la iniciativa probatoria, lo cual no es cierto.</w:t>
      </w:r>
    </w:p>
    <w:p w14:paraId="1EABD7EF" w14:textId="77777777" w:rsidR="008057F8" w:rsidRPr="00D66245" w:rsidRDefault="008057F8" w:rsidP="008057F8">
      <w:pPr>
        <w:pStyle w:val="Ttulo2"/>
        <w:spacing w:before="120" w:after="200" w:line="360" w:lineRule="auto"/>
        <w:jc w:val="both"/>
        <w:rPr>
          <w:rFonts w:ascii="Palatino Linotype" w:hAnsi="Palatino Linotype"/>
          <w:i/>
          <w:color w:val="auto"/>
          <w:sz w:val="22"/>
          <w:szCs w:val="22"/>
          <w:shd w:val="clear" w:color="auto" w:fill="FFFFFF"/>
          <w:lang w:val="es-ES_tradnl"/>
        </w:rPr>
      </w:pPr>
      <w:bookmarkStart w:id="50" w:name="_Toc8147340"/>
      <w:r w:rsidRPr="00D66245">
        <w:rPr>
          <w:rFonts w:ascii="Palatino Linotype" w:hAnsi="Palatino Linotype"/>
          <w:i/>
          <w:color w:val="auto"/>
          <w:sz w:val="22"/>
          <w:szCs w:val="22"/>
          <w:shd w:val="clear" w:color="auto" w:fill="FFFFFF"/>
          <w:lang w:val="es-ES_tradnl"/>
        </w:rPr>
        <w:t>4.2 Inaplicación de la regla de juicio: la carga de la prueba</w:t>
      </w:r>
      <w:bookmarkEnd w:id="50"/>
    </w:p>
    <w:p w14:paraId="4187AF7C" w14:textId="77777777" w:rsidR="008057F8" w:rsidRPr="00D66245" w:rsidRDefault="008057F8" w:rsidP="008057F8">
      <w:pPr>
        <w:spacing w:before="120" w:after="200" w:line="240" w:lineRule="auto"/>
        <w:ind w:firstLine="357"/>
        <w:jc w:val="both"/>
        <w:rPr>
          <w:rFonts w:ascii="Palatino Linotype" w:hAnsi="Palatino Linotype"/>
          <w:lang w:val="es-ES_tradnl"/>
        </w:rPr>
      </w:pPr>
      <w:r w:rsidRPr="00D66245">
        <w:rPr>
          <w:rFonts w:ascii="Palatino Linotype" w:hAnsi="Palatino Linotype"/>
          <w:lang w:val="es-ES_tradnl"/>
        </w:rPr>
        <w:t>En términos generales, la carga de la prueba como regla de juicio dirigida al juez</w:t>
      </w:r>
      <w:r w:rsidRPr="00D66245">
        <w:rPr>
          <w:rStyle w:val="Refdenotaalpie"/>
          <w:rFonts w:ascii="Palatino Linotype" w:hAnsi="Palatino Linotype"/>
          <w:shd w:val="clear" w:color="auto" w:fill="FFFFFF"/>
          <w:lang w:val="es-ES_tradnl"/>
        </w:rPr>
        <w:footnoteReference w:id="71"/>
      </w:r>
      <w:r w:rsidRPr="00D66245">
        <w:rPr>
          <w:rFonts w:ascii="Palatino Linotype" w:hAnsi="Palatino Linotype"/>
          <w:lang w:val="es-ES_tradnl"/>
        </w:rPr>
        <w:t xml:space="preserve"> establece que si al momento de dictar sentencia se encuentra con un </w:t>
      </w:r>
      <w:r w:rsidRPr="00D66245">
        <w:rPr>
          <w:rFonts w:ascii="Palatino Linotype" w:hAnsi="Palatino Linotype"/>
          <w:lang w:val="es-ES_tradnl"/>
        </w:rPr>
        <w:lastRenderedPageBreak/>
        <w:t xml:space="preserve">hecho que no fue acreditado suficientemente por la parte que lo alegó, deberá declararlo como no probado y rechazar la pretensión que se fundamentará en este hecho. </w:t>
      </w:r>
      <w:r w:rsidRPr="00D66245">
        <w:rPr>
          <w:rStyle w:val="Refdenotaalpie"/>
          <w:rFonts w:ascii="Palatino Linotype" w:hAnsi="Palatino Linotype"/>
          <w:lang w:val="es-ES_tradnl"/>
        </w:rPr>
        <w:footnoteReference w:id="72"/>
      </w:r>
      <w:r w:rsidRPr="00D66245">
        <w:rPr>
          <w:rFonts w:ascii="Palatino Linotype" w:hAnsi="Palatino Linotype"/>
          <w:lang w:val="es-ES_tradnl"/>
        </w:rPr>
        <w:t xml:space="preserve">  </w:t>
      </w:r>
    </w:p>
    <w:p w14:paraId="0D6402B7" w14:textId="77777777" w:rsidR="008057F8" w:rsidRPr="00D66245" w:rsidRDefault="008057F8" w:rsidP="008057F8">
      <w:pPr>
        <w:spacing w:before="120" w:after="200" w:line="240" w:lineRule="auto"/>
        <w:ind w:firstLine="360"/>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La crítica sobre este aspecto ha radicado en que es el juez quien prueba la existencia o inexistencia de un determinado hecho, violentando así las cargas probatorias que le impone la norma a las partes y desaplicando la regla de juicio, que lo obliga a rechazar la pretensión.</w:t>
      </w:r>
      <w:r w:rsidRPr="00D66245">
        <w:rPr>
          <w:rStyle w:val="Refdenotaalpie"/>
          <w:rFonts w:ascii="Palatino Linotype" w:hAnsi="Palatino Linotype"/>
          <w:shd w:val="clear" w:color="auto" w:fill="FFFFFF"/>
          <w:lang w:val="es-ES_tradnl"/>
        </w:rPr>
        <w:footnoteReference w:id="73"/>
      </w:r>
      <w:r w:rsidRPr="00D66245">
        <w:rPr>
          <w:rFonts w:ascii="Palatino Linotype" w:hAnsi="Palatino Linotype"/>
          <w:shd w:val="clear" w:color="auto" w:fill="FFFFFF"/>
          <w:lang w:val="es-ES_tradnl"/>
        </w:rPr>
        <w:t xml:space="preserve"> </w:t>
      </w:r>
    </w:p>
    <w:p w14:paraId="50C8D1B7"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Sobre este punto, es necesario iniciar con la aclaración más básica que es la siguiente</w:t>
      </w:r>
      <w:r w:rsidRPr="00D66245">
        <w:rPr>
          <w:rFonts w:ascii="Palatino Linotype" w:eastAsia="Segoe UI Emoji" w:hAnsi="Palatino Linotype"/>
          <w:shd w:val="clear" w:color="auto" w:fill="FFFFFF"/>
          <w:lang w:val="es-ES_tradnl"/>
        </w:rPr>
        <w:t xml:space="preserve">: </w:t>
      </w:r>
      <w:r w:rsidRPr="00D66245">
        <w:rPr>
          <w:rFonts w:ascii="Palatino Linotype" w:hAnsi="Palatino Linotype"/>
          <w:shd w:val="clear" w:color="auto" w:fill="FFFFFF"/>
          <w:lang w:val="es-ES_tradnl"/>
        </w:rPr>
        <w:t>la carga de la prueba sigue perteneciendo a las partes</w:t>
      </w:r>
      <w:r w:rsidRPr="00D66245">
        <w:rPr>
          <w:rStyle w:val="Refdenotaalpie"/>
          <w:rFonts w:ascii="Palatino Linotype" w:hAnsi="Palatino Linotype"/>
          <w:shd w:val="clear" w:color="auto" w:fill="FFFFFF"/>
          <w:lang w:val="es-ES_tradnl"/>
        </w:rPr>
        <w:footnoteReference w:id="74"/>
      </w:r>
      <w:r w:rsidRPr="00D66245">
        <w:rPr>
          <w:rFonts w:ascii="Palatino Linotype" w:hAnsi="Palatino Linotype"/>
          <w:shd w:val="clear" w:color="auto" w:fill="FFFFFF"/>
          <w:lang w:val="es-ES_tradnl"/>
        </w:rPr>
        <w:t>, la actuación del juez es excepcional y se da únicamente cuando sea necesario para comprobar o aclarar hechos relevantes, es decir, ante una insuficiencia probatoria. No existe, por tanto, una suplantación de roles, ni el juez está asumiendo la carga de la prueba que le corresponde a cada una de las partes</w:t>
      </w:r>
      <w:r w:rsidRPr="00D66245">
        <w:rPr>
          <w:rStyle w:val="Refdenotaalpie"/>
          <w:rFonts w:ascii="Palatino Linotype" w:hAnsi="Palatino Linotype"/>
          <w:shd w:val="clear" w:color="auto" w:fill="FFFFFF"/>
          <w:lang w:val="es-ES_tradnl"/>
        </w:rPr>
        <w:footnoteReference w:id="75"/>
      </w:r>
      <w:r w:rsidRPr="00D66245">
        <w:rPr>
          <w:rFonts w:ascii="Palatino Linotype" w:hAnsi="Palatino Linotype"/>
          <w:shd w:val="clear" w:color="auto" w:fill="FFFFFF"/>
          <w:lang w:val="es-ES_tradnl"/>
        </w:rPr>
        <w:t xml:space="preserve"> </w:t>
      </w:r>
    </w:p>
    <w:p w14:paraId="43222BE7"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 xml:space="preserve">En ese sentido Lluch (2007, p. 26) se refiere a la importancia de distinguir entre carga y facultad. Las partes siguen teniendo la carga de alegar y probar, son estas quienes deben averiguar las fuentes de prueba y aportar los medios al proceso, el juez no investiga, no tiene un deber, es una facultad reglada </w:t>
      </w:r>
      <w:r w:rsidRPr="00D66245">
        <w:rPr>
          <w:rFonts w:ascii="Palatino Linotype" w:hAnsi="Palatino Linotype"/>
          <w:shd w:val="clear" w:color="auto" w:fill="FFFFFF"/>
          <w:lang w:val="es-ES_tradnl"/>
        </w:rPr>
        <w:lastRenderedPageBreak/>
        <w:t>únicamente para los casos de insuficiencia probatoria.</w:t>
      </w:r>
      <w:r w:rsidRPr="00D66245">
        <w:rPr>
          <w:rStyle w:val="Refdenotaalpie"/>
          <w:rFonts w:ascii="Palatino Linotype" w:hAnsi="Palatino Linotype"/>
          <w:shd w:val="clear" w:color="auto" w:fill="FFFFFF"/>
          <w:lang w:val="es-ES_tradnl"/>
        </w:rPr>
        <w:footnoteReference w:id="76"/>
      </w:r>
      <w:r w:rsidRPr="00D66245">
        <w:rPr>
          <w:rFonts w:ascii="Palatino Linotype" w:hAnsi="Palatino Linotype"/>
          <w:shd w:val="clear" w:color="auto" w:fill="FFFFFF"/>
          <w:lang w:val="es-ES_tradnl"/>
        </w:rPr>
        <w:t xml:space="preserve"> La ampliación de los poderes del juez, en procura de esa verdad, no equivale a una pérdida de vigencia de la carga de probar que reside sobre las partes. Se reitera, el juzgador no asume una labor articuladora de los elementos probatorios que den sustento a la teoría del caso de los litigantes, pues la carga de probar (</w:t>
      </w:r>
      <w:r w:rsidRPr="00D66245">
        <w:rPr>
          <w:rFonts w:ascii="Palatino Linotype" w:hAnsi="Palatino Linotype"/>
          <w:i/>
          <w:shd w:val="clear" w:color="auto" w:fill="FFFFFF"/>
          <w:lang w:val="es-ES_tradnl"/>
        </w:rPr>
        <w:t>onus probandi</w:t>
      </w:r>
      <w:r w:rsidRPr="00D66245">
        <w:rPr>
          <w:rFonts w:ascii="Palatino Linotype" w:hAnsi="Palatino Linotype"/>
          <w:shd w:val="clear" w:color="auto" w:fill="FFFFFF"/>
          <w:lang w:val="es-ES_tradnl"/>
        </w:rPr>
        <w:t>), sigue posándose fundamentalmente sobre estos, su labor se orienta a la determinación de los hechos verdaderamente acontecidos entre las partes.</w:t>
      </w:r>
    </w:p>
    <w:p w14:paraId="10FB0F44"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Por lo anterior, al estar bajo un modelo de proceso que tiene como uno de sus ejes la búsqueda de la verdad y la correcta aplicación de las normas, sería ilógico que se considerara como un resultado negativo la obtención de aquella.</w:t>
      </w:r>
    </w:p>
    <w:p w14:paraId="0A856F16" w14:textId="77777777" w:rsidR="008057F8" w:rsidRPr="00D66245" w:rsidRDefault="008057F8" w:rsidP="008057F8">
      <w:pPr>
        <w:pStyle w:val="Ttulo2"/>
        <w:spacing w:before="120" w:after="200" w:line="360" w:lineRule="auto"/>
        <w:jc w:val="both"/>
        <w:rPr>
          <w:rFonts w:ascii="Palatino Linotype" w:hAnsi="Palatino Linotype"/>
          <w:i/>
          <w:color w:val="auto"/>
          <w:sz w:val="22"/>
          <w:szCs w:val="22"/>
          <w:shd w:val="clear" w:color="auto" w:fill="FFFFFF"/>
          <w:lang w:val="es-ES_tradnl"/>
        </w:rPr>
      </w:pPr>
      <w:bookmarkStart w:id="51" w:name="_Toc8147341"/>
      <w:r w:rsidRPr="00D66245">
        <w:rPr>
          <w:rFonts w:ascii="Palatino Linotype" w:hAnsi="Palatino Linotype"/>
          <w:i/>
          <w:color w:val="auto"/>
          <w:sz w:val="22"/>
          <w:szCs w:val="22"/>
          <w:shd w:val="clear" w:color="auto" w:fill="FFFFFF"/>
          <w:lang w:val="es-ES_tradnl"/>
        </w:rPr>
        <w:t>4.3 Violación al deber de imparcialidad.</w:t>
      </w:r>
      <w:bookmarkEnd w:id="51"/>
      <w:r w:rsidRPr="00D66245">
        <w:rPr>
          <w:rFonts w:ascii="Palatino Linotype" w:hAnsi="Palatino Linotype"/>
          <w:i/>
          <w:color w:val="auto"/>
          <w:sz w:val="22"/>
          <w:szCs w:val="22"/>
          <w:shd w:val="clear" w:color="auto" w:fill="FFFFFF"/>
          <w:lang w:val="es-ES_tradnl"/>
        </w:rPr>
        <w:t xml:space="preserve"> </w:t>
      </w:r>
    </w:p>
    <w:p w14:paraId="3C034821"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La imparcialidad</w:t>
      </w:r>
      <w:r w:rsidRPr="00D66245">
        <w:rPr>
          <w:rStyle w:val="Refdenotaalpie"/>
          <w:rFonts w:ascii="Palatino Linotype" w:hAnsi="Palatino Linotype"/>
          <w:shd w:val="clear" w:color="auto" w:fill="FFFFFF"/>
          <w:lang w:val="es-ES_tradnl"/>
        </w:rPr>
        <w:footnoteReference w:id="77"/>
      </w:r>
      <w:r w:rsidRPr="00D66245">
        <w:rPr>
          <w:rFonts w:ascii="Palatino Linotype" w:hAnsi="Palatino Linotype"/>
          <w:shd w:val="clear" w:color="auto" w:fill="FFFFFF"/>
          <w:lang w:val="es-ES_tradnl"/>
        </w:rPr>
        <w:t xml:space="preserve"> judicial consiste en una condición que debe tener el juez, que supone que no tenga ningún interés – real ni aparente- sobre los intereses de las partes, actuando con el fin de aplicar de forma correcta de la norma. Como señala Toscano (2017, p. 45), la imparcialidad es una cualidad esperada del juez cuando realiza su función de administrar justicia en los casos particulares. Equivale a dejar de lado cualquier elemento subjetivo.</w:t>
      </w:r>
    </w:p>
    <w:p w14:paraId="64F2E91C" w14:textId="77777777" w:rsidR="008057F8" w:rsidRPr="00D66245" w:rsidRDefault="008057F8" w:rsidP="008057F8">
      <w:pPr>
        <w:spacing w:before="120" w:after="200" w:line="240" w:lineRule="auto"/>
        <w:ind w:firstLine="357"/>
        <w:jc w:val="both"/>
        <w:rPr>
          <w:rFonts w:ascii="Palatino Linotype" w:hAnsi="Palatino Linotype"/>
          <w:lang w:val="es-ES_tradnl"/>
        </w:rPr>
      </w:pPr>
      <w:r w:rsidRPr="00D66245">
        <w:rPr>
          <w:rFonts w:ascii="Palatino Linotype" w:hAnsi="Palatino Linotype"/>
          <w:lang w:val="es-ES_tradnl"/>
        </w:rPr>
        <w:t>Hablamos entonces de imparcialidad cuando nos referimos al desinterés subjetivo que debe tener el juez sobre el asunto que está decidiendo. El juez no debe servir a ninguno de los intereses de las partes</w:t>
      </w:r>
      <w:r w:rsidRPr="00D66245">
        <w:rPr>
          <w:rStyle w:val="Refdenotaalpie"/>
          <w:rFonts w:ascii="Palatino Linotype" w:hAnsi="Palatino Linotype"/>
          <w:lang w:val="es-ES_tradnl"/>
        </w:rPr>
        <w:footnoteReference w:id="78"/>
      </w:r>
      <w:r w:rsidRPr="00D66245">
        <w:rPr>
          <w:rFonts w:ascii="Palatino Linotype" w:hAnsi="Palatino Linotype"/>
          <w:lang w:val="es-ES_tradnl"/>
        </w:rPr>
        <w:t xml:space="preserve">, ni debe existir </w:t>
      </w:r>
      <w:r w:rsidRPr="00D66245">
        <w:rPr>
          <w:rFonts w:ascii="Palatino Linotype" w:hAnsi="Palatino Linotype"/>
          <w:lang w:val="es-ES_tradnl"/>
        </w:rPr>
        <w:lastRenderedPageBreak/>
        <w:t>ninguna circunstancia ajena que pueda influir en su decisión. Lo anterior provoca dos conclusiones que, aunque obvias, deben destacarse:</w:t>
      </w:r>
    </w:p>
    <w:p w14:paraId="55E5D02E" w14:textId="77777777" w:rsidR="008057F8" w:rsidRPr="00D66245" w:rsidRDefault="008057F8" w:rsidP="008057F8">
      <w:pPr>
        <w:numPr>
          <w:ilvl w:val="0"/>
          <w:numId w:val="85"/>
        </w:numPr>
        <w:spacing w:before="120" w:after="200" w:line="240" w:lineRule="auto"/>
        <w:jc w:val="both"/>
        <w:rPr>
          <w:rFonts w:ascii="Palatino Linotype" w:hAnsi="Palatino Linotype"/>
          <w:lang w:val="es-ES_tradnl"/>
        </w:rPr>
      </w:pPr>
      <w:r w:rsidRPr="00D66245">
        <w:rPr>
          <w:rFonts w:ascii="Palatino Linotype" w:hAnsi="Palatino Linotype"/>
          <w:lang w:val="es-ES_tradnl"/>
        </w:rPr>
        <w:t>La imparcialidad debe determinarse para cada caso concreto, por lo que esta no es definitiva y es específica al asunto bajo examen.</w:t>
      </w:r>
    </w:p>
    <w:p w14:paraId="6C705BF6" w14:textId="77777777" w:rsidR="008057F8" w:rsidRPr="00D66245" w:rsidRDefault="008057F8" w:rsidP="008057F8">
      <w:pPr>
        <w:numPr>
          <w:ilvl w:val="0"/>
          <w:numId w:val="85"/>
        </w:numPr>
        <w:spacing w:before="120" w:after="200" w:line="240" w:lineRule="auto"/>
        <w:jc w:val="both"/>
        <w:rPr>
          <w:rFonts w:ascii="Palatino Linotype" w:hAnsi="Palatino Linotype"/>
          <w:i/>
          <w:lang w:val="es-ES_tradnl"/>
        </w:rPr>
      </w:pPr>
      <w:r w:rsidRPr="00D66245">
        <w:rPr>
          <w:rFonts w:ascii="Palatino Linotype" w:hAnsi="Palatino Linotype"/>
          <w:i/>
          <w:lang w:val="es-ES_tradnl"/>
        </w:rPr>
        <w:t>Una misma circunstancia puede tener efectos distintos en el ánimo de cada juez.</w:t>
      </w:r>
    </w:p>
    <w:p w14:paraId="2D84D1BF"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En opinión de Montero Aroca (</w:t>
      </w:r>
      <w:r w:rsidRPr="00D66245">
        <w:rPr>
          <w:rFonts w:ascii="Palatino Linotype" w:hAnsi="Palatino Linotype"/>
          <w:lang w:val="es-ES_tradnl"/>
        </w:rPr>
        <w:t xml:space="preserve">1999, p. 188-189), </w:t>
      </w:r>
      <w:r w:rsidRPr="00D66245">
        <w:rPr>
          <w:rFonts w:ascii="Palatino Linotype" w:hAnsi="Palatino Linotype"/>
          <w:shd w:val="clear" w:color="auto" w:fill="FFFFFF"/>
          <w:lang w:val="es-ES_tradnl"/>
        </w:rPr>
        <w:t>la ley trata de objetivar esas eventuales circunstancias que pueden influir en el ánimo del juez, estableciendo una serie de situaciones que, comprobadas objetivamente, hacen dudar de la imparcialidad del juez.</w:t>
      </w:r>
      <w:r w:rsidRPr="00D66245">
        <w:rPr>
          <w:rStyle w:val="Refdenotaalpie"/>
          <w:rFonts w:ascii="Palatino Linotype" w:hAnsi="Palatino Linotype"/>
          <w:shd w:val="clear" w:color="auto" w:fill="FFFFFF"/>
          <w:lang w:val="es-ES_tradnl"/>
        </w:rPr>
        <w:footnoteReference w:id="79"/>
      </w:r>
    </w:p>
    <w:p w14:paraId="5B6F5D15" w14:textId="77777777" w:rsidR="008057F8" w:rsidRPr="00D66245" w:rsidRDefault="008057F8" w:rsidP="008057F8">
      <w:pPr>
        <w:spacing w:before="120" w:after="200" w:line="240" w:lineRule="auto"/>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ab/>
        <w:t xml:space="preserve">La tesis según la cual el juez pierde su imparcialidad al tener iniciativa probatoria desconoce el punto central de esa potestad del juzgador que es que deriva de una insuficiencia o falta de claridad en algún hecho, no porque tenga un interés en cómo se resuelva el proceso, si bien pueden darse estos casos, el problema no viene de la prueba de oficio, sino de un incumplimiento del juez de su deber de permanecer imparcial a los intereses de las partes. </w:t>
      </w:r>
    </w:p>
    <w:p w14:paraId="5A52E085" w14:textId="77777777" w:rsidR="008057F8" w:rsidRPr="00D66245" w:rsidRDefault="008057F8" w:rsidP="008057F8">
      <w:pPr>
        <w:pStyle w:val="Ttulo2"/>
        <w:spacing w:before="120" w:after="200" w:line="240" w:lineRule="auto"/>
        <w:jc w:val="both"/>
        <w:rPr>
          <w:rFonts w:ascii="Palatino Linotype" w:hAnsi="Palatino Linotype"/>
          <w:i/>
          <w:color w:val="auto"/>
          <w:sz w:val="22"/>
          <w:szCs w:val="22"/>
          <w:shd w:val="clear" w:color="auto" w:fill="FFFFFF"/>
          <w:lang w:val="es-ES_tradnl"/>
        </w:rPr>
      </w:pPr>
      <w:bookmarkStart w:id="52" w:name="_Toc8147342"/>
      <w:r w:rsidRPr="00D66245">
        <w:rPr>
          <w:rFonts w:ascii="Palatino Linotype" w:hAnsi="Palatino Linotype"/>
          <w:i/>
          <w:color w:val="auto"/>
          <w:sz w:val="22"/>
          <w:szCs w:val="22"/>
          <w:shd w:val="clear" w:color="auto" w:fill="FFFFFF"/>
          <w:lang w:val="es-ES_tradnl"/>
        </w:rPr>
        <w:t>4.4 Inobservancia al principio de igualdad entre las partes/igualdad de armas.</w:t>
      </w:r>
      <w:bookmarkEnd w:id="52"/>
    </w:p>
    <w:p w14:paraId="387C2BC1"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En palabras de (Masciotra, 2014, p. 293), “el proceso no es un juego en el cual el juez debe permanecer inactivo, presenciando cómo la parte más habilidosa obtiene mejores resultados, basados en una supuesta igualdad de partes”</w:t>
      </w:r>
      <w:r w:rsidRPr="00D66245">
        <w:rPr>
          <w:rFonts w:ascii="Palatino Linotype" w:hAnsi="Palatino Linotype"/>
          <w:i/>
          <w:shd w:val="clear" w:color="auto" w:fill="FFFFFF"/>
          <w:lang w:val="es-ES_tradnl"/>
        </w:rPr>
        <w:t xml:space="preserve">. </w:t>
      </w:r>
      <w:r w:rsidRPr="00D66245">
        <w:rPr>
          <w:rFonts w:ascii="Palatino Linotype" w:hAnsi="Palatino Linotype"/>
          <w:shd w:val="clear" w:color="auto" w:fill="FFFFFF"/>
          <w:lang w:val="es-ES_tradnl"/>
        </w:rPr>
        <w:t xml:space="preserve">La prueba ordenada por el juez va dirigida al proceso, no para el beneficio de uno de los litigantes, el juez desconoce el resultado que la práctica de esa prueba pueda tener. </w:t>
      </w:r>
    </w:p>
    <w:p w14:paraId="0EA75200"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 xml:space="preserve">No obstante, esto no quiere decir que el juez no deba realizar el examen general de la prueba, es decir revisar que sea útil, pertinente, relacionada con el objeto del proceso y sobre un hecho controvertido, y además que sea necesaria para la correcta resolución del proceso. Lo que el juez desconoce es el resultado de esa prueba, pues como se indicó anteriormente el juez lo </w:t>
      </w:r>
      <w:r w:rsidRPr="00D66245">
        <w:rPr>
          <w:rFonts w:ascii="Palatino Linotype" w:hAnsi="Palatino Linotype"/>
          <w:shd w:val="clear" w:color="auto" w:fill="FFFFFF"/>
          <w:lang w:val="es-ES_tradnl"/>
        </w:rPr>
        <w:lastRenderedPageBreak/>
        <w:t>que introduce son medios de prueba, no las inferencias necesarias para que de ellos se pueda tener por demostrado o no el hecho. Por ejemplo, el juez puede considerar que un peritaje es esencial para determinar si existe un traslape entre dos inmuebles, sin embargo, no conoce cuál va a ser el resultado de esa prueba.</w:t>
      </w:r>
    </w:p>
    <w:p w14:paraId="44017708"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 xml:space="preserve">No existe violación al principio de igualdad en tanto la ley le exige al juez que debe de asegurar el derecho al contradictorio de forma plena a las partes, lo que implica que ambas puedan referirse, argumentar y ofrecer contraprueba; de no respetarse se podrán presentar las gestiones y recursos pertinentes. </w:t>
      </w:r>
    </w:p>
    <w:p w14:paraId="07404E1E"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 xml:space="preserve">Incluso, es de destacar que el nuevo modelo de procedimiento oral o por audiencias que establece el NCPC ayuda a que no exista esa </w:t>
      </w:r>
      <w:r w:rsidRPr="00D66245">
        <w:rPr>
          <w:rFonts w:ascii="Palatino Linotype" w:hAnsi="Palatino Linotype"/>
          <w:i/>
          <w:shd w:val="clear" w:color="auto" w:fill="FFFFFF"/>
          <w:lang w:val="es-ES_tradnl"/>
        </w:rPr>
        <w:t xml:space="preserve">violación a la igualdad de las partes </w:t>
      </w:r>
      <w:r w:rsidRPr="00D66245">
        <w:rPr>
          <w:rFonts w:ascii="Palatino Linotype" w:hAnsi="Palatino Linotype"/>
          <w:shd w:val="clear" w:color="auto" w:fill="FFFFFF"/>
          <w:lang w:val="es-ES_tradnl"/>
        </w:rPr>
        <w:t xml:space="preserve">o </w:t>
      </w:r>
      <w:r w:rsidRPr="00D66245">
        <w:rPr>
          <w:rFonts w:ascii="Palatino Linotype" w:hAnsi="Palatino Linotype"/>
          <w:i/>
          <w:shd w:val="clear" w:color="auto" w:fill="FFFFFF"/>
          <w:lang w:val="es-ES_tradnl"/>
        </w:rPr>
        <w:t xml:space="preserve">alteración a la teoría del caso, </w:t>
      </w:r>
      <w:r w:rsidRPr="00D66245">
        <w:rPr>
          <w:rFonts w:ascii="Palatino Linotype" w:hAnsi="Palatino Linotype"/>
          <w:shd w:val="clear" w:color="auto" w:fill="FFFFFF"/>
          <w:lang w:val="es-ES_tradnl"/>
        </w:rPr>
        <w:t>que se reclama. De acuerdo con el artículo 41.3, en la audiencia preliminar el juez puede sugerir o incorporar de oficio prueba. Esto tiene relevancia, pues es en esta audiencia donde se da</w:t>
      </w:r>
      <w:r w:rsidRPr="00D66245">
        <w:rPr>
          <w:rFonts w:ascii="Palatino Linotype" w:hAnsi="Palatino Linotype"/>
          <w:i/>
          <w:shd w:val="clear" w:color="auto" w:fill="FFFFFF"/>
          <w:lang w:val="es-ES_tradnl"/>
        </w:rPr>
        <w:t xml:space="preserve"> </w:t>
      </w:r>
      <w:r w:rsidRPr="00D66245">
        <w:rPr>
          <w:rFonts w:ascii="Palatino Linotype" w:hAnsi="Palatino Linotype"/>
          <w:shd w:val="clear" w:color="auto" w:fill="FFFFFF"/>
          <w:lang w:val="es-ES_tradnl"/>
        </w:rPr>
        <w:t xml:space="preserve">una mayor </w:t>
      </w:r>
      <w:r w:rsidRPr="00D66245">
        <w:rPr>
          <w:rFonts w:ascii="Palatino Linotype" w:hAnsi="Palatino Linotype"/>
          <w:bCs/>
          <w:shd w:val="clear" w:color="auto" w:fill="FFFFFF"/>
          <w:lang w:val="es-ES_tradnl"/>
        </w:rPr>
        <w:t>actividad dialéctica y de contradicción de las partes al definirse en esta los hechos controvertidos objeto de litigio y pronunciarse sobre la admisibilidad de la prueba</w:t>
      </w:r>
      <w:r w:rsidRPr="00D66245">
        <w:rPr>
          <w:rStyle w:val="Refdenotaalpie"/>
          <w:rFonts w:ascii="Palatino Linotype" w:hAnsi="Palatino Linotype"/>
          <w:bCs/>
          <w:shd w:val="clear" w:color="auto" w:fill="FFFFFF"/>
          <w:lang w:val="es-ES_tradnl"/>
        </w:rPr>
        <w:footnoteReference w:id="80"/>
      </w:r>
      <w:r w:rsidRPr="00D66245">
        <w:rPr>
          <w:rFonts w:ascii="Palatino Linotype" w:hAnsi="Palatino Linotype"/>
          <w:bCs/>
          <w:shd w:val="clear" w:color="auto" w:fill="FFFFFF"/>
          <w:lang w:val="es-ES_tradnl"/>
        </w:rPr>
        <w:t xml:space="preserve">. </w:t>
      </w:r>
    </w:p>
    <w:p w14:paraId="49019111" w14:textId="77777777" w:rsidR="008057F8" w:rsidRPr="00D66245" w:rsidRDefault="008057F8" w:rsidP="008057F8">
      <w:pPr>
        <w:spacing w:before="120" w:after="200" w:line="240" w:lineRule="auto"/>
        <w:ind w:firstLine="357"/>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 xml:space="preserve">Lo anterior permitirá que la prueba de oficio se haya originado de la propia actividad dialéctica y de contradicción de las partes y que los litigantes – de estimarlo procedente- puedan hacer ajustes a su estrategia, aunque es una realidad que la prueba de oficio y su relevancia en el proceso nunca es tan “de sorpresa” como se pretende hacer ver. </w:t>
      </w:r>
    </w:p>
    <w:p w14:paraId="5C270D8B" w14:textId="77777777" w:rsidR="008057F8" w:rsidRPr="00D66245" w:rsidRDefault="008057F8" w:rsidP="008057F8">
      <w:pPr>
        <w:pStyle w:val="Ttulo2"/>
        <w:spacing w:before="120" w:after="200" w:line="360" w:lineRule="auto"/>
        <w:jc w:val="both"/>
        <w:rPr>
          <w:rFonts w:ascii="Palatino Linotype" w:hAnsi="Palatino Linotype"/>
          <w:i/>
          <w:color w:val="auto"/>
          <w:sz w:val="22"/>
          <w:szCs w:val="22"/>
          <w:shd w:val="clear" w:color="auto" w:fill="FFFFFF"/>
          <w:lang w:val="es-ES_tradnl"/>
        </w:rPr>
      </w:pPr>
      <w:bookmarkStart w:id="53" w:name="_Toc8147343"/>
      <w:r w:rsidRPr="00D66245">
        <w:rPr>
          <w:rFonts w:ascii="Palatino Linotype" w:hAnsi="Palatino Linotype"/>
          <w:i/>
          <w:color w:val="auto"/>
          <w:sz w:val="22"/>
          <w:szCs w:val="22"/>
          <w:shd w:val="clear" w:color="auto" w:fill="FFFFFF"/>
          <w:lang w:val="es-ES_tradnl"/>
        </w:rPr>
        <w:t>4.5 Fomentar la desidia o negligencia de las partes</w:t>
      </w:r>
      <w:bookmarkEnd w:id="53"/>
    </w:p>
    <w:p w14:paraId="613F7B90" w14:textId="77777777" w:rsidR="008057F8" w:rsidRPr="00D66245" w:rsidRDefault="008057F8" w:rsidP="008057F8">
      <w:pPr>
        <w:autoSpaceDE w:val="0"/>
        <w:autoSpaceDN w:val="0"/>
        <w:adjustRightInd w:val="0"/>
        <w:spacing w:before="120" w:after="200" w:line="240" w:lineRule="auto"/>
        <w:ind w:firstLine="360"/>
        <w:jc w:val="both"/>
        <w:rPr>
          <w:rFonts w:ascii="Palatino Linotype" w:hAnsi="Palatino Linotype"/>
          <w:shd w:val="clear" w:color="auto" w:fill="FFFFFF"/>
          <w:lang w:val="es-ES_tradnl"/>
        </w:rPr>
      </w:pPr>
      <w:r w:rsidRPr="00D66245">
        <w:rPr>
          <w:rFonts w:ascii="Palatino Linotype" w:hAnsi="Palatino Linotype"/>
          <w:lang w:val="es-ES_tradnl"/>
        </w:rPr>
        <w:t>Finalmente, no es cierto que la iniciativa probatoria fomente la negligencia</w:t>
      </w:r>
      <w:r w:rsidRPr="00D66245">
        <w:rPr>
          <w:rStyle w:val="Refdenotaalpie"/>
          <w:rFonts w:ascii="Palatino Linotype" w:hAnsi="Palatino Linotype"/>
          <w:lang w:val="es-ES_tradnl"/>
        </w:rPr>
        <w:footnoteReference w:id="81"/>
      </w:r>
      <w:r w:rsidRPr="00D66245">
        <w:rPr>
          <w:rFonts w:ascii="Palatino Linotype" w:hAnsi="Palatino Linotype"/>
          <w:lang w:val="es-ES_tradnl"/>
        </w:rPr>
        <w:t xml:space="preserve"> de las partes o los litigantes para hacer llegar al proceso la prueba necesaria para acreditar las proposiciones fácticas de su demanda. Como se destacó anteriormente, la carga siempre la siguen teniendo las partes, el juez tiene una facultad que puede no utilizar si no lo considera necesario. Siendo así, la prueba de oficio no distorsiona los incentivos de las </w:t>
      </w:r>
      <w:r w:rsidRPr="00D66245">
        <w:rPr>
          <w:rFonts w:ascii="Palatino Linotype" w:hAnsi="Palatino Linotype"/>
          <w:lang w:val="es-ES_tradnl"/>
        </w:rPr>
        <w:lastRenderedPageBreak/>
        <w:t xml:space="preserve">partes, no provoca ese desinterés por procurar menos para probar los hechos. </w:t>
      </w:r>
    </w:p>
    <w:p w14:paraId="1554DBE1" w14:textId="77777777" w:rsidR="008057F8" w:rsidRPr="00D66245" w:rsidRDefault="008057F8" w:rsidP="008057F8">
      <w:pPr>
        <w:autoSpaceDE w:val="0"/>
        <w:autoSpaceDN w:val="0"/>
        <w:adjustRightInd w:val="0"/>
        <w:spacing w:before="120" w:after="200" w:line="240" w:lineRule="auto"/>
        <w:ind w:firstLine="357"/>
        <w:jc w:val="both"/>
        <w:rPr>
          <w:rFonts w:ascii="Palatino Linotype" w:hAnsi="Palatino Linotype"/>
          <w:lang w:val="es-ES_tradnl"/>
        </w:rPr>
      </w:pPr>
      <w:r w:rsidRPr="00D66245">
        <w:rPr>
          <w:rFonts w:ascii="Palatino Linotype" w:hAnsi="Palatino Linotype"/>
          <w:lang w:val="es-ES_tradnl"/>
        </w:rPr>
        <w:t>El no saber si el juez va a ordenar prueba de oficio y qué prueba va a ordenar es el mayor incentivo que pueden tener los litigantes para ofrecer toda la prueba que consideren necesaria para acreditar sus posiciones y, justamente, son estas dos carácteristicas las que hacen que durante la preparación de un litigio se considere dentro de la estrategia lo que no se aporta al proceso y que pueda proporcionarse por la parte contraria o por el propio juez al utilizar su iniciativa probatoria.</w:t>
      </w:r>
    </w:p>
    <w:p w14:paraId="73840706" w14:textId="77777777" w:rsidR="008057F8" w:rsidRPr="00D66245" w:rsidRDefault="008057F8" w:rsidP="008057F8">
      <w:pPr>
        <w:pStyle w:val="Ttulo1"/>
        <w:spacing w:before="120" w:after="200"/>
        <w:rPr>
          <w:rFonts w:ascii="Palatino Linotype" w:hAnsi="Palatino Linotype"/>
          <w:sz w:val="22"/>
          <w:szCs w:val="22"/>
          <w:shd w:val="clear" w:color="auto" w:fill="FFFFFF"/>
          <w:lang w:val="es-ES_tradnl"/>
        </w:rPr>
      </w:pPr>
      <w:bookmarkStart w:id="54" w:name="_Toc8147344"/>
      <w:r w:rsidRPr="00D66245">
        <w:rPr>
          <w:rFonts w:ascii="Palatino Linotype" w:hAnsi="Palatino Linotype"/>
          <w:sz w:val="22"/>
          <w:szCs w:val="22"/>
          <w:shd w:val="clear" w:color="auto" w:fill="FFFFFF"/>
          <w:lang w:val="es-ES_tradnl"/>
        </w:rPr>
        <w:t>5. CONCLUSIONES</w:t>
      </w:r>
      <w:bookmarkEnd w:id="54"/>
      <w:r w:rsidRPr="00D66245">
        <w:rPr>
          <w:rFonts w:ascii="Palatino Linotype" w:hAnsi="Palatino Linotype"/>
          <w:sz w:val="22"/>
          <w:szCs w:val="22"/>
          <w:shd w:val="clear" w:color="auto" w:fill="FFFFFF"/>
          <w:lang w:val="es-ES_tradnl"/>
        </w:rPr>
        <w:t xml:space="preserve"> </w:t>
      </w:r>
    </w:p>
    <w:p w14:paraId="2B0E6B8A" w14:textId="77777777" w:rsidR="008057F8" w:rsidRPr="00D66245" w:rsidRDefault="008057F8" w:rsidP="008057F8">
      <w:pPr>
        <w:numPr>
          <w:ilvl w:val="0"/>
          <w:numId w:val="86"/>
        </w:numPr>
        <w:spacing w:before="120" w:after="200" w:line="240" w:lineRule="auto"/>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 xml:space="preserve">El modelo de proceso y de juez que instaura el NCPC permite una mejor protección a los derechos privados y subjetivos de los ciudadanos, al asegurar la participación, pero reglada del juez y la obtención de una decisión judicial que se acerca más a la verdad de los hechos, produciendo entonces que el victorioso del proceso sea aquél que en la realidad ostentaba el derecho. </w:t>
      </w:r>
    </w:p>
    <w:p w14:paraId="6340586F" w14:textId="77777777" w:rsidR="008057F8" w:rsidRPr="00D66245" w:rsidRDefault="008057F8" w:rsidP="008057F8">
      <w:pPr>
        <w:numPr>
          <w:ilvl w:val="0"/>
          <w:numId w:val="86"/>
        </w:numPr>
        <w:spacing w:before="120" w:after="200" w:line="240" w:lineRule="auto"/>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 xml:space="preserve">En el NCPC, al juez se le concede la potestad de búsqueda de la verdad. Si lo anterior lo unimos al hecho de que la finalidad de la prueba es la averiguación de esa verdad, no parece existir ningún tipo de violación a principios de carácter constitucional como: debido proceso, derecho de defensa, entre otros, si el legislador no concentra la actividad probatoria únicamente en las partes y por el contrario también otorga al juez de iniciativa probatoria, a fin de que pueda cumplir con la potestad que le fue dada (art. 5.6 NCPC). </w:t>
      </w:r>
    </w:p>
    <w:p w14:paraId="368D8938" w14:textId="77777777" w:rsidR="008057F8" w:rsidRPr="00D66245" w:rsidRDefault="008057F8" w:rsidP="008057F8">
      <w:pPr>
        <w:numPr>
          <w:ilvl w:val="0"/>
          <w:numId w:val="86"/>
        </w:numPr>
        <w:spacing w:before="120" w:after="200" w:line="240" w:lineRule="auto"/>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Los medios de prueba son el instrumento racional y epistemológico que permite alcanzar la verdad, por lo que no puede considerarse su aportación al proceso como un monopolio de las partes. Es solo lógico y necesario que el juez, quien dirige el proceso, esté llamado a contribuir en el tema probatorio.</w:t>
      </w:r>
    </w:p>
    <w:p w14:paraId="6ED5FC96" w14:textId="77777777" w:rsidR="008057F8" w:rsidRPr="00D66245" w:rsidRDefault="008057F8" w:rsidP="008057F8">
      <w:pPr>
        <w:numPr>
          <w:ilvl w:val="0"/>
          <w:numId w:val="86"/>
        </w:numPr>
        <w:spacing w:before="120" w:after="200" w:line="240" w:lineRule="auto"/>
        <w:jc w:val="both"/>
        <w:rPr>
          <w:rFonts w:ascii="Palatino Linotype" w:hAnsi="Palatino Linotype"/>
          <w:shd w:val="clear" w:color="auto" w:fill="FFFFFF"/>
          <w:lang w:val="es-ES_tradnl"/>
        </w:rPr>
      </w:pPr>
      <w:r w:rsidRPr="00D66245">
        <w:rPr>
          <w:rFonts w:ascii="Palatino Linotype" w:hAnsi="Palatino Linotype"/>
          <w:iCs/>
          <w:shd w:val="clear" w:color="auto" w:fill="FFFFFF"/>
          <w:lang w:val="es-ES_tradnl"/>
        </w:rPr>
        <w:t xml:space="preserve">La iniciativa probatoria del juez tiene límites, pero su fundamento </w:t>
      </w:r>
      <w:r w:rsidRPr="00D66245">
        <w:rPr>
          <w:rFonts w:ascii="Palatino Linotype" w:hAnsi="Palatino Linotype"/>
          <w:shd w:val="clear" w:color="auto" w:fill="FFFFFF"/>
          <w:lang w:val="es-ES_tradnl"/>
        </w:rPr>
        <w:t xml:space="preserve">epistémico de incrementar el acervo probatorio para que el juez cuente con más elementos de juicio al momento de dictar la sentencia, hace imposible que se pueda considerar su eliminación.  </w:t>
      </w:r>
    </w:p>
    <w:p w14:paraId="2247FF21" w14:textId="77777777" w:rsidR="008057F8" w:rsidRPr="00D66245" w:rsidRDefault="008057F8" w:rsidP="008057F8">
      <w:pPr>
        <w:numPr>
          <w:ilvl w:val="0"/>
          <w:numId w:val="86"/>
        </w:numPr>
        <w:spacing w:before="120" w:after="200" w:line="240" w:lineRule="auto"/>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lastRenderedPageBreak/>
        <w:t xml:space="preserve">El principio dispositivo no resulta afectado por la iniciativa probatoria del juez. Los intervinientes del proceso conservan la libre disponibilidad de sus derechos privados, sin que la decisión del legislador de otorgar poderes probatorios al juez afecte dicho principio, pues lo que busca es acercar al proceso a la verdad, teniendo como objetivo la correcta aplicación de la norma jurídica. </w:t>
      </w:r>
    </w:p>
    <w:p w14:paraId="3F13598C" w14:textId="77777777" w:rsidR="008057F8" w:rsidRPr="00D66245" w:rsidRDefault="008057F8" w:rsidP="008057F8">
      <w:pPr>
        <w:numPr>
          <w:ilvl w:val="0"/>
          <w:numId w:val="86"/>
        </w:numPr>
        <w:spacing w:before="120" w:after="200" w:line="240" w:lineRule="auto"/>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 xml:space="preserve">Las críticas referentes a la violación o desaplicación de la carga de la prueba tampoco tienen fundamento, las partes siguen teniendo la carga de aportar la prueba de sus afirmaciones. Ni en la realidad ni en la normativa existe cambio en la conducta de las partes por otorgar esa potestad al juez. </w:t>
      </w:r>
    </w:p>
    <w:p w14:paraId="645F316A" w14:textId="77777777" w:rsidR="008057F8" w:rsidRPr="00D66245" w:rsidRDefault="008057F8" w:rsidP="008057F8">
      <w:pPr>
        <w:numPr>
          <w:ilvl w:val="0"/>
          <w:numId w:val="86"/>
        </w:numPr>
        <w:spacing w:before="120" w:after="200" w:line="240" w:lineRule="auto"/>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Tampoco se violenta la aplicación de la regla de juicio, pues esta actúa al final en sentencia y ante insuficiencia. La</w:t>
      </w:r>
      <w:r w:rsidRPr="00D66245">
        <w:rPr>
          <w:rFonts w:ascii="Palatino Linotype" w:hAnsi="Palatino Linotype"/>
          <w:b/>
          <w:shd w:val="clear" w:color="auto" w:fill="FFFFFF"/>
          <w:lang w:val="es-ES_tradnl"/>
        </w:rPr>
        <w:t xml:space="preserve"> </w:t>
      </w:r>
      <w:r w:rsidRPr="00D66245">
        <w:rPr>
          <w:rFonts w:ascii="Palatino Linotype" w:hAnsi="Palatino Linotype"/>
          <w:shd w:val="clear" w:color="auto" w:fill="FFFFFF"/>
          <w:lang w:val="es-ES_tradnl"/>
        </w:rPr>
        <w:t>prueba de oficio no garantiza el resultado de esa prueba o a quién va a beneficiar.</w:t>
      </w:r>
    </w:p>
    <w:p w14:paraId="32F79C61" w14:textId="77777777" w:rsidR="008057F8" w:rsidRPr="00D66245" w:rsidRDefault="008057F8" w:rsidP="008057F8">
      <w:pPr>
        <w:numPr>
          <w:ilvl w:val="0"/>
          <w:numId w:val="86"/>
        </w:numPr>
        <w:spacing w:before="120" w:after="200" w:line="240" w:lineRule="auto"/>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Tampoco existe una violación a la imparcialidad del juez en el tanto este no tiene interés en el resultado que puede dar la prueba ordenada, y si existiera algún interés, este no lo provoca la prueba de oficio, sino el propio juez al incumplir su deber de imparcialidad.</w:t>
      </w:r>
    </w:p>
    <w:p w14:paraId="60370C27" w14:textId="77777777" w:rsidR="008057F8" w:rsidRPr="00D66245" w:rsidRDefault="008057F8" w:rsidP="008057F8">
      <w:pPr>
        <w:numPr>
          <w:ilvl w:val="0"/>
          <w:numId w:val="86"/>
        </w:numPr>
        <w:spacing w:before="120" w:after="200" w:line="240" w:lineRule="auto"/>
        <w:jc w:val="both"/>
        <w:rPr>
          <w:rFonts w:ascii="Palatino Linotype" w:hAnsi="Palatino Linotype"/>
          <w:shd w:val="clear" w:color="auto" w:fill="FFFFFF"/>
          <w:lang w:val="es-ES_tradnl"/>
        </w:rPr>
      </w:pPr>
      <w:r w:rsidRPr="00D66245">
        <w:rPr>
          <w:rFonts w:ascii="Palatino Linotype" w:hAnsi="Palatino Linotype"/>
          <w:shd w:val="clear" w:color="auto" w:fill="FFFFFF"/>
          <w:lang w:val="es-ES_tradnl"/>
        </w:rPr>
        <w:t>Las etapas que el NCPC fijó para que el juez pudiera utilizar su iniciativa probatoria, colaboran para disminuir la supuesta alteración que la prueba de oficio pueda causar a la estrategia o teoría del caso de las partes, ya que al realizarse en la audiencia preliminar se produce debido a la actividad dialéctica y de contradicción realizada por las partes.</w:t>
      </w:r>
    </w:p>
    <w:p w14:paraId="3ADA28FB" w14:textId="77777777" w:rsidR="008057F8" w:rsidRPr="00D66245" w:rsidRDefault="008057F8" w:rsidP="008057F8">
      <w:pPr>
        <w:pStyle w:val="Ttulo1"/>
        <w:spacing w:before="120" w:after="200"/>
        <w:rPr>
          <w:rFonts w:ascii="Palatino Linotype" w:hAnsi="Palatino Linotype"/>
          <w:sz w:val="22"/>
          <w:szCs w:val="22"/>
          <w:shd w:val="clear" w:color="auto" w:fill="FFFFFF"/>
        </w:rPr>
      </w:pPr>
      <w:bookmarkStart w:id="55" w:name="_Toc8147345"/>
      <w:r w:rsidRPr="00D66245">
        <w:rPr>
          <w:rFonts w:ascii="Palatino Linotype" w:hAnsi="Palatino Linotype"/>
          <w:sz w:val="22"/>
          <w:szCs w:val="22"/>
          <w:shd w:val="clear" w:color="auto" w:fill="FFFFFF"/>
        </w:rPr>
        <w:t>6. BIBLIOGRAFÍA</w:t>
      </w:r>
      <w:bookmarkEnd w:id="55"/>
      <w:r w:rsidRPr="00D66245">
        <w:rPr>
          <w:rFonts w:ascii="Palatino Linotype" w:hAnsi="Palatino Linotype"/>
          <w:sz w:val="22"/>
          <w:szCs w:val="22"/>
          <w:shd w:val="clear" w:color="auto" w:fill="FFFFFF"/>
        </w:rPr>
        <w:t xml:space="preserve"> </w:t>
      </w:r>
    </w:p>
    <w:p w14:paraId="5E6305D7"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ABEL LLUCH. X y PICÓ I JUNOY. J. 2007. </w:t>
      </w:r>
      <w:r w:rsidRPr="00D66245">
        <w:rPr>
          <w:rFonts w:ascii="Palatino Linotype" w:hAnsi="Palatino Linotype"/>
          <w:i/>
          <w:shd w:val="clear" w:color="auto" w:fill="FFFFFF"/>
        </w:rPr>
        <w:t xml:space="preserve">El objeto y carga de la prueba civil, </w:t>
      </w:r>
      <w:r w:rsidRPr="00D66245">
        <w:rPr>
          <w:rFonts w:ascii="Palatino Linotype" w:hAnsi="Palatino Linotype"/>
          <w:shd w:val="clear" w:color="auto" w:fill="FFFFFF"/>
        </w:rPr>
        <w:t>Barcelona, Bosch Procesal.</w:t>
      </w:r>
    </w:p>
    <w:p w14:paraId="17E3EF16"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ABEL LLUCH. X. 2014. </w:t>
      </w:r>
      <w:r w:rsidRPr="00D66245">
        <w:rPr>
          <w:rFonts w:ascii="Palatino Linotype" w:hAnsi="Palatino Linotype"/>
          <w:i/>
          <w:shd w:val="clear" w:color="auto" w:fill="FFFFFF"/>
        </w:rPr>
        <w:t xml:space="preserve">La valoración de la prueba en el proceso civil, </w:t>
      </w:r>
      <w:r w:rsidRPr="00D66245">
        <w:rPr>
          <w:rFonts w:ascii="Palatino Linotype" w:hAnsi="Palatino Linotype"/>
          <w:shd w:val="clear" w:color="auto" w:fill="FFFFFF"/>
        </w:rPr>
        <w:t>España, Wolters Kluwer.</w:t>
      </w:r>
    </w:p>
    <w:p w14:paraId="1E57DAA3"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lang w:val="it-IT"/>
        </w:rPr>
        <w:t xml:space="preserve">ACOSTA. J. 1999. </w:t>
      </w:r>
      <w:r w:rsidRPr="00D66245">
        <w:rPr>
          <w:rFonts w:ascii="Palatino Linotype" w:hAnsi="Palatino Linotype"/>
          <w:i/>
          <w:shd w:val="clear" w:color="auto" w:fill="FFFFFF"/>
          <w:lang w:val="it-IT"/>
        </w:rPr>
        <w:t>Negligencia Probatoria, (</w:t>
      </w:r>
      <w:r w:rsidRPr="00D66245">
        <w:rPr>
          <w:rFonts w:ascii="Palatino Linotype" w:hAnsi="Palatino Linotype"/>
          <w:shd w:val="clear" w:color="auto" w:fill="FFFFFF"/>
          <w:lang w:val="it-IT"/>
        </w:rPr>
        <w:t xml:space="preserve">2ª ed). </w:t>
      </w:r>
      <w:r w:rsidRPr="00D66245">
        <w:rPr>
          <w:rFonts w:ascii="Palatino Linotype" w:hAnsi="Palatino Linotype"/>
          <w:shd w:val="clear" w:color="auto" w:fill="FFFFFF"/>
        </w:rPr>
        <w:t xml:space="preserve">Buenos Aires, Rubinzal Culzoni Editores. </w:t>
      </w:r>
    </w:p>
    <w:p w14:paraId="2B6B692C"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lastRenderedPageBreak/>
        <w:t xml:space="preserve">ÁGUILA GRANADOS. G. 2010. </w:t>
      </w:r>
      <w:r w:rsidRPr="00D66245">
        <w:rPr>
          <w:rFonts w:ascii="Palatino Linotype" w:hAnsi="Palatino Linotype"/>
          <w:i/>
          <w:shd w:val="clear" w:color="auto" w:fill="FFFFFF"/>
        </w:rPr>
        <w:t xml:space="preserve">Lecciones de Derecho Procesal Civil, </w:t>
      </w:r>
      <w:r w:rsidRPr="00D66245">
        <w:rPr>
          <w:rFonts w:ascii="Palatino Linotype" w:hAnsi="Palatino Linotype"/>
          <w:shd w:val="clear" w:color="auto" w:fill="FFFFFF"/>
        </w:rPr>
        <w:t>Perú, Fondo Editorial de la Escuela de Altos Estudios Jurídicos Egacal.</w:t>
      </w:r>
    </w:p>
    <w:p w14:paraId="52AE7B2D"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ALSINA, H. 1963. </w:t>
      </w:r>
      <w:r w:rsidRPr="00D66245">
        <w:rPr>
          <w:rFonts w:ascii="Palatino Linotype" w:hAnsi="Palatino Linotype"/>
          <w:i/>
          <w:shd w:val="clear" w:color="auto" w:fill="FFFFFF"/>
        </w:rPr>
        <w:t>Tratado Teórico-Práctico de Derecho Procesal y Civil y Comercial,</w:t>
      </w:r>
      <w:r w:rsidRPr="00D66245">
        <w:rPr>
          <w:rFonts w:ascii="Palatino Linotype" w:hAnsi="Palatino Linotype"/>
          <w:shd w:val="clear" w:color="auto" w:fill="FFFFFF"/>
        </w:rPr>
        <w:t xml:space="preserve"> T. I, (2ª ed), Buenos Aires, Editar SA.</w:t>
      </w:r>
    </w:p>
    <w:p w14:paraId="0AB83E0D"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ALVARADO VELLOSO. A. 2004. </w:t>
      </w:r>
      <w:r w:rsidRPr="00D66245">
        <w:rPr>
          <w:rFonts w:ascii="Palatino Linotype" w:hAnsi="Palatino Linotype"/>
          <w:i/>
          <w:shd w:val="clear" w:color="auto" w:fill="FFFFFF"/>
        </w:rPr>
        <w:t>Debido proceso versus Pruebas de oficio</w:t>
      </w:r>
      <w:r w:rsidRPr="00D66245">
        <w:rPr>
          <w:rFonts w:ascii="Palatino Linotype" w:hAnsi="Palatino Linotype"/>
          <w:shd w:val="clear" w:color="auto" w:fill="FFFFFF"/>
        </w:rPr>
        <w:t>, Bogotá, Editorial Temis.</w:t>
      </w:r>
    </w:p>
    <w:p w14:paraId="59311DE3"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ARTAVIA BARRANTES. S. y PICADO VARGAS. C. 2017. </w:t>
      </w:r>
      <w:r w:rsidRPr="00D66245">
        <w:rPr>
          <w:rFonts w:ascii="Palatino Linotype" w:hAnsi="Palatino Linotype"/>
          <w:i/>
          <w:shd w:val="clear" w:color="auto" w:fill="FFFFFF"/>
        </w:rPr>
        <w:t xml:space="preserve">Comentarios al Nuevo Código Procesal Civil. </w:t>
      </w:r>
      <w:r w:rsidRPr="00D66245">
        <w:rPr>
          <w:rFonts w:ascii="Palatino Linotype" w:hAnsi="Palatino Linotype"/>
          <w:shd w:val="clear" w:color="auto" w:fill="FFFFFF"/>
        </w:rPr>
        <w:t>Tomo I, (2ª  ed), San José, Editorial Faro.</w:t>
      </w:r>
    </w:p>
    <w:p w14:paraId="4C546AE6"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rPr>
        <w:t xml:space="preserve">CHIOVENDA, G. Ed. 2002.  </w:t>
      </w:r>
      <w:r w:rsidRPr="00D66245">
        <w:rPr>
          <w:rFonts w:ascii="Palatino Linotype" w:hAnsi="Palatino Linotype"/>
          <w:i/>
          <w:iCs/>
        </w:rPr>
        <w:t>Instituciones de derecho procesal civil. </w:t>
      </w:r>
      <w:r w:rsidRPr="00D66245">
        <w:rPr>
          <w:rFonts w:ascii="Palatino Linotype" w:hAnsi="Palatino Linotype"/>
        </w:rPr>
        <w:t xml:space="preserve">“Serie Clásicos del derecho procesal civil”. Volumen 3. México, Editorial Jurídica Universitaria. </w:t>
      </w:r>
    </w:p>
    <w:p w14:paraId="5D95E6CC"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DE LA OLIVA SANTOS. A. 2012. </w:t>
      </w:r>
      <w:r w:rsidRPr="00D66245">
        <w:rPr>
          <w:rFonts w:ascii="Palatino Linotype" w:hAnsi="Palatino Linotype"/>
          <w:i/>
          <w:shd w:val="clear" w:color="auto" w:fill="FFFFFF"/>
        </w:rPr>
        <w:t xml:space="preserve">El papel del juez en el proceso civil, </w:t>
      </w:r>
      <w:r w:rsidRPr="00D66245">
        <w:rPr>
          <w:rFonts w:ascii="Palatino Linotype" w:hAnsi="Palatino Linotype"/>
          <w:shd w:val="clear" w:color="auto" w:fill="FFFFFF"/>
        </w:rPr>
        <w:t xml:space="preserve">Navarra, Thomson Reuters (Legal) Limited. </w:t>
      </w:r>
    </w:p>
    <w:p w14:paraId="5AC419DE"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DE PAULA RAMOS. V. 2018. </w:t>
      </w:r>
      <w:r w:rsidRPr="00D66245">
        <w:rPr>
          <w:rFonts w:ascii="Palatino Linotype" w:hAnsi="Palatino Linotype"/>
          <w:i/>
          <w:shd w:val="clear" w:color="auto" w:fill="FFFFFF"/>
        </w:rPr>
        <w:t>Onus Da Prova No Processo Civil, (2ª ed), Sao Paulo, Thomson Reuters. Revista Dos Tribunais.</w:t>
      </w:r>
    </w:p>
    <w:p w14:paraId="302139DC"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DÍAZ CAIALE. J. 1996. </w:t>
      </w:r>
      <w:r w:rsidRPr="00D66245">
        <w:rPr>
          <w:rFonts w:ascii="Palatino Linotype" w:hAnsi="Palatino Linotype"/>
          <w:i/>
          <w:shd w:val="clear" w:color="auto" w:fill="FFFFFF"/>
        </w:rPr>
        <w:t xml:space="preserve">Principios de aportación de parte y acusatorio: la imparcialidad del juez, </w:t>
      </w:r>
      <w:r w:rsidRPr="00D66245">
        <w:rPr>
          <w:rFonts w:ascii="Palatino Linotype" w:hAnsi="Palatino Linotype"/>
          <w:shd w:val="clear" w:color="auto" w:fill="FFFFFF"/>
        </w:rPr>
        <w:t xml:space="preserve">Granada, Editorial Comares. </w:t>
      </w:r>
    </w:p>
    <w:p w14:paraId="05B56918"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FERNÁNDEZ LÓPEZ. M. 2006. </w:t>
      </w:r>
      <w:r w:rsidRPr="00D66245">
        <w:rPr>
          <w:rFonts w:ascii="Palatino Linotype" w:hAnsi="Palatino Linotype"/>
          <w:i/>
          <w:shd w:val="clear" w:color="auto" w:fill="FFFFFF"/>
        </w:rPr>
        <w:t xml:space="preserve">La carga de la prueba en el proceso en el civil, </w:t>
      </w:r>
      <w:r w:rsidRPr="00D66245">
        <w:rPr>
          <w:rFonts w:ascii="Palatino Linotype" w:hAnsi="Palatino Linotype"/>
          <w:shd w:val="clear" w:color="auto" w:fill="FFFFFF"/>
        </w:rPr>
        <w:t>Madrid, La Ley. Grupo Wolters Kluwer.</w:t>
      </w:r>
    </w:p>
    <w:p w14:paraId="1B8D6BBA" w14:textId="77777777" w:rsidR="008057F8" w:rsidRPr="00D66245" w:rsidRDefault="008057F8" w:rsidP="006469CD">
      <w:pPr>
        <w:numPr>
          <w:ilvl w:val="0"/>
          <w:numId w:val="82"/>
        </w:numPr>
        <w:spacing w:after="0" w:line="240" w:lineRule="auto"/>
        <w:rPr>
          <w:rFonts w:ascii="Palatino Linotype" w:hAnsi="Palatino Linotype"/>
        </w:rPr>
      </w:pPr>
      <w:r w:rsidRPr="00D66245">
        <w:rPr>
          <w:rFonts w:ascii="Palatino Linotype" w:hAnsi="Palatino Linotype"/>
        </w:rPr>
        <w:t xml:space="preserve">FERRAJOLI, L. 1998. </w:t>
      </w:r>
      <w:r w:rsidRPr="00D66245">
        <w:rPr>
          <w:rFonts w:ascii="Palatino Linotype" w:hAnsi="Palatino Linotype"/>
          <w:i/>
        </w:rPr>
        <w:t>“</w:t>
      </w:r>
      <w:r w:rsidRPr="00D66245">
        <w:rPr>
          <w:rFonts w:ascii="Palatino Linotype" w:hAnsi="Palatino Linotype"/>
        </w:rPr>
        <w:t>El juez en una sociedad democrática</w:t>
      </w:r>
      <w:r w:rsidRPr="00D66245">
        <w:rPr>
          <w:rFonts w:ascii="Palatino Linotype" w:hAnsi="Palatino Linotype"/>
          <w:i/>
        </w:rPr>
        <w:t>”,</w:t>
      </w:r>
      <w:r w:rsidRPr="00D66245">
        <w:rPr>
          <w:rFonts w:ascii="Palatino Linotype" w:hAnsi="Palatino Linotype"/>
        </w:rPr>
        <w:t xml:space="preserve"> </w:t>
      </w:r>
      <w:r w:rsidRPr="00D66245">
        <w:rPr>
          <w:rFonts w:ascii="Palatino Linotype" w:hAnsi="Palatino Linotype"/>
          <w:i/>
        </w:rPr>
        <w:t>Isonomía,</w:t>
      </w:r>
      <w:r w:rsidRPr="00D66245">
        <w:rPr>
          <w:rFonts w:ascii="Palatino Linotype" w:hAnsi="Palatino Linotype"/>
        </w:rPr>
        <w:t xml:space="preserve"> n.º 5.</w:t>
      </w:r>
    </w:p>
    <w:p w14:paraId="1B6A8647"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FERRER BELTRÁN, J. 2017. </w:t>
      </w:r>
      <w:r w:rsidRPr="00D66245">
        <w:rPr>
          <w:rFonts w:ascii="Palatino Linotype" w:hAnsi="Palatino Linotype"/>
          <w:i/>
          <w:shd w:val="clear" w:color="auto" w:fill="FFFFFF"/>
        </w:rPr>
        <w:t>Los poderes probatorios del juez y el modelo de proceso</w:t>
      </w:r>
      <w:r w:rsidRPr="00D66245">
        <w:rPr>
          <w:rFonts w:ascii="Palatino Linotype" w:hAnsi="Palatino Linotype"/>
          <w:shd w:val="clear" w:color="auto" w:fill="FFFFFF"/>
        </w:rPr>
        <w:t>, Cuadernos Eléctronicos de Filosofía del Derecho</w:t>
      </w:r>
      <w:r w:rsidRPr="00D66245">
        <w:rPr>
          <w:rFonts w:ascii="Palatino Linotype" w:hAnsi="Palatino Linotype"/>
          <w:i/>
          <w:shd w:val="clear" w:color="auto" w:fill="FFFFFF"/>
        </w:rPr>
        <w:t xml:space="preserve">, </w:t>
      </w:r>
      <w:r w:rsidRPr="00D66245">
        <w:rPr>
          <w:rFonts w:ascii="Palatino Linotype" w:hAnsi="Palatino Linotype"/>
          <w:shd w:val="clear" w:color="auto" w:fill="FFFFFF"/>
        </w:rPr>
        <w:t>n.</w:t>
      </w:r>
      <w:r w:rsidRPr="00D66245">
        <w:rPr>
          <w:rFonts w:ascii="Palatino Linotype" w:hAnsi="Palatino Linotype"/>
          <w:shd w:val="clear" w:color="auto" w:fill="FFFFFF"/>
          <w:vertAlign w:val="superscript"/>
        </w:rPr>
        <w:t>o</w:t>
      </w:r>
      <w:r w:rsidRPr="00D66245">
        <w:rPr>
          <w:rFonts w:ascii="Palatino Linotype" w:hAnsi="Palatino Linotype"/>
          <w:shd w:val="clear" w:color="auto" w:fill="FFFFFF"/>
        </w:rPr>
        <w:t xml:space="preserve"> 36, 2017.</w:t>
      </w:r>
    </w:p>
    <w:p w14:paraId="60AE251D"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FERRER BELTRÁN. J. 2007.</w:t>
      </w:r>
      <w:r w:rsidRPr="00D66245">
        <w:rPr>
          <w:rFonts w:ascii="Palatino Linotype" w:hAnsi="Palatino Linotype"/>
          <w:i/>
          <w:shd w:val="clear" w:color="auto" w:fill="FFFFFF"/>
        </w:rPr>
        <w:t xml:space="preserve"> La valoración racional de la prueba, </w:t>
      </w:r>
      <w:r w:rsidRPr="00D66245">
        <w:rPr>
          <w:rFonts w:ascii="Palatino Linotype" w:hAnsi="Palatino Linotype"/>
          <w:shd w:val="clear" w:color="auto" w:fill="FFFFFF"/>
        </w:rPr>
        <w:t>Madrid-Barcelona -Buenos Aires, Marcial Pons.</w:t>
      </w:r>
    </w:p>
    <w:p w14:paraId="13D2A2C7"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FERRER BELTRÁN. J. 2005. </w:t>
      </w:r>
      <w:r w:rsidRPr="00D66245">
        <w:rPr>
          <w:rFonts w:ascii="Palatino Linotype" w:hAnsi="Palatino Linotype"/>
          <w:i/>
          <w:shd w:val="clear" w:color="auto" w:fill="FFFFFF"/>
        </w:rPr>
        <w:t xml:space="preserve">Prueba y Verdad en el Derecho. </w:t>
      </w:r>
      <w:r w:rsidRPr="00D66245">
        <w:rPr>
          <w:rFonts w:ascii="Palatino Linotype" w:hAnsi="Palatino Linotype"/>
          <w:shd w:val="clear" w:color="auto" w:fill="FFFFFF"/>
        </w:rPr>
        <w:t>Madrid, Marcial Pons.</w:t>
      </w:r>
    </w:p>
    <w:p w14:paraId="12BB6C96" w14:textId="77777777" w:rsidR="008057F8" w:rsidRPr="00D66245" w:rsidRDefault="008057F8" w:rsidP="006469CD">
      <w:pPr>
        <w:numPr>
          <w:ilvl w:val="0"/>
          <w:numId w:val="82"/>
        </w:numPr>
        <w:spacing w:after="0" w:line="240" w:lineRule="auto"/>
        <w:jc w:val="both"/>
        <w:rPr>
          <w:rFonts w:ascii="Palatino Linotype" w:hAnsi="Palatino Linotype"/>
        </w:rPr>
      </w:pPr>
      <w:r w:rsidRPr="00D66245">
        <w:rPr>
          <w:rFonts w:ascii="Palatino Linotype" w:hAnsi="Palatino Linotype"/>
        </w:rPr>
        <w:t xml:space="preserve">GASCÓN ABELLÁN. M. 2003. </w:t>
      </w:r>
      <w:r w:rsidRPr="00D66245">
        <w:rPr>
          <w:rFonts w:ascii="Palatino Linotype" w:hAnsi="Palatino Linotype"/>
          <w:i/>
        </w:rPr>
        <w:t xml:space="preserve">Concepciones de la prueba. Observación a propósito de “Algunas consideraciones sobre la relación entre prueba y verdad”, </w:t>
      </w:r>
      <w:r w:rsidRPr="00D66245">
        <w:rPr>
          <w:rFonts w:ascii="Palatino Linotype" w:hAnsi="Palatino Linotype"/>
        </w:rPr>
        <w:t xml:space="preserve">Discusiones: Prueba y conocimiento. Núm. 3. 2012. </w:t>
      </w:r>
      <w:r w:rsidRPr="00D66245">
        <w:rPr>
          <w:rFonts w:ascii="Palatino Linotype" w:hAnsi="Palatino Linotype"/>
          <w:i/>
        </w:rPr>
        <w:t xml:space="preserve">Cuestiones probatorias, </w:t>
      </w:r>
      <w:r w:rsidRPr="00D66245">
        <w:rPr>
          <w:rFonts w:ascii="Palatino Linotype" w:hAnsi="Palatino Linotype"/>
        </w:rPr>
        <w:t>Colombia, Universidad Externo de Colombia.</w:t>
      </w:r>
    </w:p>
    <w:p w14:paraId="3B416420" w14:textId="77777777" w:rsidR="008057F8" w:rsidRPr="00D66245" w:rsidRDefault="008057F8" w:rsidP="006469CD">
      <w:pPr>
        <w:numPr>
          <w:ilvl w:val="0"/>
          <w:numId w:val="82"/>
        </w:numPr>
        <w:spacing w:after="0" w:line="240" w:lineRule="auto"/>
        <w:jc w:val="both"/>
        <w:rPr>
          <w:rFonts w:ascii="Palatino Linotype" w:hAnsi="Palatino Linotype"/>
        </w:rPr>
      </w:pPr>
      <w:r w:rsidRPr="00D66245">
        <w:rPr>
          <w:rFonts w:ascii="Palatino Linotype" w:hAnsi="Palatino Linotype"/>
        </w:rPr>
        <w:t>GASCÓN ABELLÁN. M. 2012.</w:t>
      </w:r>
      <w:r w:rsidRPr="00D66245">
        <w:rPr>
          <w:rFonts w:ascii="Palatino Linotype" w:hAnsi="Palatino Linotype"/>
          <w:i/>
        </w:rPr>
        <w:t xml:space="preserve"> Cuestiones Probatorias, </w:t>
      </w:r>
      <w:r w:rsidRPr="00D66245">
        <w:rPr>
          <w:rFonts w:ascii="Palatino Linotype" w:hAnsi="Palatino Linotype"/>
        </w:rPr>
        <w:t>Bogotá, Universidad Externado de Colombia.</w:t>
      </w:r>
    </w:p>
    <w:p w14:paraId="56AAEADA"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GARBERÍ LLOBREGAT, J y BUITRÓN RAMÍREZ, G. 2004. </w:t>
      </w:r>
      <w:r w:rsidRPr="00D66245">
        <w:rPr>
          <w:rFonts w:ascii="Palatino Linotype" w:hAnsi="Palatino Linotype"/>
          <w:i/>
          <w:shd w:val="clear" w:color="auto" w:fill="FFFFFF"/>
        </w:rPr>
        <w:t xml:space="preserve">La Prueba Civil. Doctrina, jurisprudencia y formularios sobre prueba y medios de prueba en la nueva Ley de Enjuiciamiento Civil, </w:t>
      </w:r>
      <w:r w:rsidRPr="00D66245">
        <w:rPr>
          <w:rFonts w:ascii="Palatino Linotype" w:hAnsi="Palatino Linotype"/>
          <w:shd w:val="clear" w:color="auto" w:fill="FFFFFF"/>
        </w:rPr>
        <w:t>Valencia, Tiran Lo Blanch.</w:t>
      </w:r>
    </w:p>
    <w:p w14:paraId="7600951E"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lang w:val="en-US"/>
        </w:rPr>
      </w:pPr>
      <w:r w:rsidRPr="00D66245">
        <w:rPr>
          <w:rFonts w:ascii="Palatino Linotype" w:hAnsi="Palatino Linotype"/>
          <w:shd w:val="clear" w:color="auto" w:fill="FFFFFF"/>
        </w:rPr>
        <w:lastRenderedPageBreak/>
        <w:t xml:space="preserve">KAYE H. D. Y SENSABAUGH, G. 2000. </w:t>
      </w:r>
      <w:r w:rsidRPr="00D66245">
        <w:rPr>
          <w:rFonts w:ascii="Palatino Linotype" w:hAnsi="Palatino Linotype"/>
          <w:i/>
          <w:shd w:val="clear" w:color="auto" w:fill="FFFFFF"/>
          <w:lang w:val="en-US"/>
        </w:rPr>
        <w:t xml:space="preserve">Reference Guide on DNA Identification Evidence, </w:t>
      </w:r>
      <w:r w:rsidRPr="00D66245">
        <w:rPr>
          <w:rFonts w:ascii="Palatino Linotype" w:hAnsi="Palatino Linotype"/>
          <w:shd w:val="clear" w:color="auto" w:fill="FFFFFF"/>
          <w:lang w:val="en-US"/>
        </w:rPr>
        <w:t xml:space="preserve">en </w:t>
      </w:r>
      <w:r w:rsidRPr="00D66245">
        <w:rPr>
          <w:rStyle w:val="nfasis"/>
          <w:rFonts w:ascii="Palatino Linotype" w:hAnsi="Palatino Linotype"/>
          <w:i w:val="0"/>
          <w:lang w:val="en-US"/>
        </w:rPr>
        <w:t>Reference Manual on Scientific Evidence: (Third Edition). Washington, DC: The National Academies Press.</w:t>
      </w:r>
    </w:p>
    <w:p w14:paraId="0F659DA2"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lang w:val="it-IT"/>
        </w:rPr>
      </w:pPr>
      <w:r w:rsidRPr="00D66245">
        <w:rPr>
          <w:rFonts w:ascii="Palatino Linotype" w:hAnsi="Palatino Linotype"/>
          <w:shd w:val="clear" w:color="auto" w:fill="FFFFFF"/>
          <w:lang w:val="it-IT"/>
        </w:rPr>
        <w:t>LIEBMAN, T. 1960. “Fundamento del principio dispositivo”, Rivista di Diritto Processuale, No 4.</w:t>
      </w:r>
    </w:p>
    <w:p w14:paraId="485CFB89"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MASCIOTRA. M. 2014. </w:t>
      </w:r>
      <w:r w:rsidRPr="00D66245">
        <w:rPr>
          <w:rFonts w:ascii="Palatino Linotype" w:hAnsi="Palatino Linotype"/>
          <w:i/>
          <w:shd w:val="clear" w:color="auto" w:fill="FFFFFF"/>
        </w:rPr>
        <w:t xml:space="preserve">Poderes-deberes del juez en el Proceso Civil, </w:t>
      </w:r>
      <w:r w:rsidRPr="00D66245">
        <w:rPr>
          <w:rFonts w:ascii="Palatino Linotype" w:hAnsi="Palatino Linotype"/>
          <w:shd w:val="clear" w:color="auto" w:fill="FFFFFF"/>
        </w:rPr>
        <w:t>Buenos Aires -Bogotá, Astrea.</w:t>
      </w:r>
    </w:p>
    <w:p w14:paraId="322A8CA3"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MONTERO AROCA. J. 1999. </w:t>
      </w:r>
      <w:r w:rsidRPr="00D66245">
        <w:rPr>
          <w:rFonts w:ascii="Palatino Linotype" w:hAnsi="Palatino Linotype"/>
          <w:i/>
          <w:shd w:val="clear" w:color="auto" w:fill="FFFFFF"/>
        </w:rPr>
        <w:t xml:space="preserve">Sobre la imparcialidad del juez y la incompatibilidad de funciones procesales, </w:t>
      </w:r>
      <w:r w:rsidRPr="00D66245">
        <w:rPr>
          <w:rFonts w:ascii="Palatino Linotype" w:hAnsi="Palatino Linotype"/>
          <w:shd w:val="clear" w:color="auto" w:fill="FFFFFF"/>
        </w:rPr>
        <w:t>Valencia, Tirant Lo Blanch.</w:t>
      </w:r>
    </w:p>
    <w:p w14:paraId="25622933"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MONTERO AROCA J. 2007.  </w:t>
      </w:r>
      <w:r w:rsidRPr="00D66245">
        <w:rPr>
          <w:rFonts w:ascii="Palatino Linotype" w:hAnsi="Palatino Linotype"/>
          <w:i/>
          <w:shd w:val="clear" w:color="auto" w:fill="FFFFFF"/>
        </w:rPr>
        <w:t>La prueba en el Proceso Civil, (</w:t>
      </w:r>
      <w:r w:rsidRPr="00D66245">
        <w:rPr>
          <w:rFonts w:ascii="Palatino Linotype" w:hAnsi="Palatino Linotype"/>
          <w:shd w:val="clear" w:color="auto" w:fill="FFFFFF"/>
        </w:rPr>
        <w:t>5ª  ed), Pamplona, Editorial Aranzadi S.A.</w:t>
      </w:r>
    </w:p>
    <w:p w14:paraId="41D35727"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MORELLO. A. 1991. </w:t>
      </w:r>
      <w:r w:rsidRPr="00D66245">
        <w:rPr>
          <w:rFonts w:ascii="Palatino Linotype" w:hAnsi="Palatino Linotype"/>
          <w:i/>
          <w:shd w:val="clear" w:color="auto" w:fill="FFFFFF"/>
        </w:rPr>
        <w:t>La Prueb</w:t>
      </w:r>
      <w:r w:rsidRPr="00D66245">
        <w:rPr>
          <w:rFonts w:ascii="Palatino Linotype" w:hAnsi="Palatino Linotype"/>
          <w:shd w:val="clear" w:color="auto" w:fill="FFFFFF"/>
        </w:rPr>
        <w:t xml:space="preserve">a </w:t>
      </w:r>
      <w:r w:rsidRPr="00D66245">
        <w:rPr>
          <w:rFonts w:ascii="Palatino Linotype" w:hAnsi="Palatino Linotype"/>
          <w:i/>
          <w:shd w:val="clear" w:color="auto" w:fill="FFFFFF"/>
        </w:rPr>
        <w:t>Tendencias Modernas, (</w:t>
      </w:r>
      <w:r w:rsidRPr="00D66245">
        <w:rPr>
          <w:rFonts w:ascii="Palatino Linotype" w:hAnsi="Palatino Linotype"/>
          <w:shd w:val="clear" w:color="auto" w:fill="FFFFFF"/>
        </w:rPr>
        <w:t>2ª ed) ampliada, Buenos Aires, Abeledo-Perrot.</w:t>
      </w:r>
    </w:p>
    <w:p w14:paraId="63C353E6"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eastAsia="Calibri" w:hAnsi="Palatino Linotype"/>
          <w:lang w:val="es-ES_tradnl"/>
        </w:rPr>
        <w:t xml:space="preserve">MUÑOZ ARANGUREN. A. 2011. </w:t>
      </w:r>
      <w:r w:rsidRPr="00D66245">
        <w:rPr>
          <w:rFonts w:ascii="Palatino Linotype" w:eastAsia="Calibri" w:hAnsi="Palatino Linotype"/>
          <w:i/>
          <w:lang w:val="es-ES_tradnl"/>
        </w:rPr>
        <w:t>La influencia de los sesgos cognitivos en las</w:t>
      </w:r>
      <w:r w:rsidRPr="00D66245">
        <w:rPr>
          <w:rFonts w:ascii="Palatino Linotype" w:hAnsi="Palatino Linotype"/>
          <w:i/>
          <w:shd w:val="clear" w:color="auto" w:fill="FFFFFF"/>
        </w:rPr>
        <w:t xml:space="preserve"> </w:t>
      </w:r>
      <w:r w:rsidRPr="00D66245">
        <w:rPr>
          <w:rFonts w:ascii="Palatino Linotype" w:eastAsia="Calibri" w:hAnsi="Palatino Linotype"/>
          <w:i/>
          <w:lang w:val="es-ES_tradnl"/>
        </w:rPr>
        <w:t>decisiones jurisdiccionales: el factor humano. Una aproximación</w:t>
      </w:r>
      <w:r w:rsidRPr="00D66245">
        <w:rPr>
          <w:rFonts w:ascii="Palatino Linotype" w:eastAsia="Calibri" w:hAnsi="Palatino Linotype"/>
          <w:lang w:val="es-ES_tradnl"/>
        </w:rPr>
        <w:t>, InDret, n.º 2, Barcelona.</w:t>
      </w:r>
    </w:p>
    <w:p w14:paraId="57768B80"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MUÑOZ SABATÉ. LL. 2001. </w:t>
      </w:r>
      <w:r w:rsidRPr="00D66245">
        <w:rPr>
          <w:rFonts w:ascii="Palatino Linotype" w:hAnsi="Palatino Linotype"/>
          <w:i/>
          <w:shd w:val="clear" w:color="auto" w:fill="FFFFFF"/>
        </w:rPr>
        <w:t xml:space="preserve">Fundamentos de Prueba Civil L.E.C. 1/2000, </w:t>
      </w:r>
      <w:r w:rsidRPr="00D66245">
        <w:rPr>
          <w:rFonts w:ascii="Palatino Linotype" w:hAnsi="Palatino Linotype"/>
          <w:shd w:val="clear" w:color="auto" w:fill="FFFFFF"/>
        </w:rPr>
        <w:t>Barcelona, J.M. Bosch.</w:t>
      </w:r>
    </w:p>
    <w:p w14:paraId="79D28B62"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MUÑOZ SABATÉ. LL. 1993. </w:t>
      </w:r>
      <w:r w:rsidRPr="00D66245">
        <w:rPr>
          <w:rFonts w:ascii="Palatino Linotype" w:hAnsi="Palatino Linotype"/>
          <w:i/>
          <w:shd w:val="clear" w:color="auto" w:fill="FFFFFF"/>
        </w:rPr>
        <w:t xml:space="preserve">Técnica Probatoria, </w:t>
      </w:r>
      <w:r w:rsidRPr="00D66245">
        <w:rPr>
          <w:rFonts w:ascii="Palatino Linotype" w:hAnsi="Palatino Linotype"/>
          <w:shd w:val="clear" w:color="auto" w:fill="FFFFFF"/>
        </w:rPr>
        <w:t>Barcelona, Editorial Praxis, S.A.</w:t>
      </w:r>
    </w:p>
    <w:p w14:paraId="1D3A1F4C"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PARRA QUIJANO, J. 2004. </w:t>
      </w:r>
      <w:r w:rsidRPr="00D66245">
        <w:rPr>
          <w:rFonts w:ascii="Palatino Linotype" w:hAnsi="Palatino Linotype"/>
          <w:i/>
          <w:shd w:val="clear" w:color="auto" w:fill="FFFFFF"/>
        </w:rPr>
        <w:t xml:space="preserve">Racionalidad e ideología en las pruebas de oficio, </w:t>
      </w:r>
      <w:r w:rsidRPr="00D66245">
        <w:rPr>
          <w:rFonts w:ascii="Palatino Linotype" w:hAnsi="Palatino Linotype"/>
          <w:shd w:val="clear" w:color="auto" w:fill="FFFFFF"/>
        </w:rPr>
        <w:t xml:space="preserve">Bogotá, Editorial Temis. </w:t>
      </w:r>
    </w:p>
    <w:p w14:paraId="59CF6147"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PICÓ I JUNOY, J.  2011. </w:t>
      </w:r>
      <w:r w:rsidRPr="00D66245">
        <w:rPr>
          <w:rFonts w:ascii="Palatino Linotype" w:hAnsi="Palatino Linotype"/>
          <w:i/>
          <w:shd w:val="clear" w:color="auto" w:fill="FFFFFF"/>
        </w:rPr>
        <w:t xml:space="preserve">El Juez y la Prueba, </w:t>
      </w:r>
      <w:r w:rsidRPr="00D66245">
        <w:rPr>
          <w:rFonts w:ascii="Palatino Linotype" w:hAnsi="Palatino Linotype"/>
          <w:shd w:val="clear" w:color="auto" w:fill="FFFFFF"/>
        </w:rPr>
        <w:t>Bogotá, Grupo Editorial Ibáñez.</w:t>
      </w:r>
    </w:p>
    <w:p w14:paraId="03D3C341"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PICADO VARGAS C. 2017. </w:t>
      </w:r>
      <w:r w:rsidRPr="00D66245">
        <w:rPr>
          <w:rFonts w:ascii="Palatino Linotype" w:hAnsi="Palatino Linotype"/>
          <w:i/>
          <w:shd w:val="clear" w:color="auto" w:fill="FFFFFF"/>
        </w:rPr>
        <w:t xml:space="preserve">El “ser o no ser” del Juez: La prueba de oficio en la Reforma Procesal Civil y Laboral” </w:t>
      </w:r>
      <w:r w:rsidRPr="00D66245">
        <w:rPr>
          <w:rFonts w:ascii="Palatino Linotype" w:hAnsi="Palatino Linotype"/>
          <w:shd w:val="clear" w:color="auto" w:fill="FFFFFF"/>
        </w:rPr>
        <w:t>en Memorias VI Congreso Internacional Derecho Procesal, La Prueba Judicial, San José, Editorial Jurídica Faro.</w:t>
      </w:r>
    </w:p>
    <w:p w14:paraId="6DF63BA6"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PLÁCIDO FERNÁNDEZ-VIAGAS. B. 1997. </w:t>
      </w:r>
      <w:r w:rsidRPr="00D66245">
        <w:rPr>
          <w:rFonts w:ascii="Palatino Linotype" w:hAnsi="Palatino Linotype"/>
          <w:i/>
          <w:shd w:val="clear" w:color="auto" w:fill="FFFFFF"/>
        </w:rPr>
        <w:t>El juez imparcial,</w:t>
      </w:r>
      <w:r w:rsidRPr="00D66245">
        <w:rPr>
          <w:rFonts w:ascii="Palatino Linotype" w:hAnsi="Palatino Linotype"/>
          <w:shd w:val="clear" w:color="auto" w:fill="FFFFFF"/>
        </w:rPr>
        <w:t xml:space="preserve"> Granada, Editorial Comares.</w:t>
      </w:r>
    </w:p>
    <w:p w14:paraId="1A5B417F"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rPr>
        <w:t xml:space="preserve">ROSENBERG, L. 2002. </w:t>
      </w:r>
      <w:r w:rsidRPr="00D66245">
        <w:rPr>
          <w:rFonts w:ascii="Palatino Linotype" w:hAnsi="Palatino Linotype"/>
          <w:i/>
        </w:rPr>
        <w:t>La carga de la prueba. (2ª ed.),</w:t>
      </w:r>
      <w:r w:rsidRPr="00D66245">
        <w:rPr>
          <w:rFonts w:ascii="Palatino Linotype" w:hAnsi="Palatino Linotype"/>
        </w:rPr>
        <w:t xml:space="preserve"> de la traducción al castellano, Buenos Aires, Euros editores S.R.L. </w:t>
      </w:r>
    </w:p>
    <w:p w14:paraId="39EC7815"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TARUFFO. M. 2008. </w:t>
      </w:r>
      <w:r w:rsidRPr="00D66245">
        <w:rPr>
          <w:rFonts w:ascii="Palatino Linotype" w:hAnsi="Palatino Linotype"/>
          <w:i/>
          <w:shd w:val="clear" w:color="auto" w:fill="FFFFFF"/>
        </w:rPr>
        <w:t>La prueba</w:t>
      </w:r>
      <w:r w:rsidRPr="00D66245">
        <w:rPr>
          <w:rFonts w:ascii="Palatino Linotype" w:hAnsi="Palatino Linotype"/>
          <w:shd w:val="clear" w:color="auto" w:fill="FFFFFF"/>
        </w:rPr>
        <w:t>, Madrid-Barcelona -Buenos Aires, Marcial Pons.</w:t>
      </w:r>
    </w:p>
    <w:p w14:paraId="3FC79A64"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TARUFFO. M. 2009 a. </w:t>
      </w:r>
      <w:r w:rsidRPr="00D66245">
        <w:rPr>
          <w:rFonts w:ascii="Palatino Linotype" w:hAnsi="Palatino Linotype"/>
          <w:i/>
          <w:shd w:val="clear" w:color="auto" w:fill="FFFFFF"/>
        </w:rPr>
        <w:t xml:space="preserve">Páginas sobre la justicia civil. </w:t>
      </w:r>
      <w:r w:rsidRPr="00D66245">
        <w:rPr>
          <w:rFonts w:ascii="Palatino Linotype" w:hAnsi="Palatino Linotype"/>
          <w:shd w:val="clear" w:color="auto" w:fill="FFFFFF"/>
        </w:rPr>
        <w:t>Madrid, Parcial Pons.</w:t>
      </w:r>
    </w:p>
    <w:p w14:paraId="677AC338"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lang w:val="it-IT"/>
        </w:rPr>
      </w:pPr>
      <w:r w:rsidRPr="00D66245">
        <w:rPr>
          <w:rFonts w:ascii="Palatino Linotype" w:hAnsi="Palatino Linotype"/>
          <w:shd w:val="clear" w:color="auto" w:fill="FFFFFF"/>
        </w:rPr>
        <w:lastRenderedPageBreak/>
        <w:t xml:space="preserve">TARUFFO. M. 2009 b. </w:t>
      </w:r>
      <w:r w:rsidRPr="00D66245">
        <w:rPr>
          <w:rFonts w:ascii="Palatino Linotype" w:hAnsi="Palatino Linotype"/>
          <w:i/>
          <w:shd w:val="clear" w:color="auto" w:fill="FFFFFF"/>
        </w:rPr>
        <w:t xml:space="preserve">La prueba de los hechos. </w:t>
      </w:r>
      <w:r w:rsidRPr="00D66245">
        <w:rPr>
          <w:rFonts w:ascii="Palatino Linotype" w:hAnsi="Palatino Linotype"/>
          <w:i/>
          <w:shd w:val="clear" w:color="auto" w:fill="FFFFFF"/>
          <w:lang w:val="it-IT"/>
        </w:rPr>
        <w:t>(</w:t>
      </w:r>
      <w:r w:rsidRPr="00D66245">
        <w:rPr>
          <w:rFonts w:ascii="Palatino Linotype" w:hAnsi="Palatino Linotype"/>
          <w:shd w:val="clear" w:color="auto" w:fill="FFFFFF"/>
          <w:lang w:val="it-IT"/>
        </w:rPr>
        <w:t>3</w:t>
      </w:r>
      <w:r w:rsidRPr="00D66245">
        <w:rPr>
          <w:rFonts w:ascii="Palatino Linotype" w:hAnsi="Palatino Linotype"/>
          <w:shd w:val="clear" w:color="auto" w:fill="FFFFFF"/>
          <w:vertAlign w:val="superscript"/>
          <w:lang w:val="it-IT"/>
        </w:rPr>
        <w:t>a</w:t>
      </w:r>
      <w:r w:rsidRPr="00D66245">
        <w:rPr>
          <w:rFonts w:ascii="Palatino Linotype" w:hAnsi="Palatino Linotype"/>
          <w:i/>
          <w:shd w:val="clear" w:color="auto" w:fill="FFFFFF"/>
          <w:lang w:val="it-IT"/>
        </w:rPr>
        <w:t xml:space="preserve"> </w:t>
      </w:r>
      <w:r w:rsidRPr="00D66245">
        <w:rPr>
          <w:rFonts w:ascii="Palatino Linotype" w:hAnsi="Palatino Linotype"/>
          <w:shd w:val="clear" w:color="auto" w:fill="FFFFFF"/>
          <w:lang w:val="it-IT"/>
        </w:rPr>
        <w:t>ed), Madrid, Editorial Trotta.</w:t>
      </w:r>
    </w:p>
    <w:p w14:paraId="6BA033D3" w14:textId="77777777" w:rsidR="008057F8" w:rsidRPr="00D66245" w:rsidRDefault="008057F8" w:rsidP="006469CD">
      <w:pPr>
        <w:pStyle w:val="Prrafodelista"/>
        <w:numPr>
          <w:ilvl w:val="0"/>
          <w:numId w:val="82"/>
        </w:numPr>
        <w:spacing w:after="0" w:line="240" w:lineRule="auto"/>
        <w:contextualSpacing w:val="0"/>
        <w:jc w:val="both"/>
        <w:rPr>
          <w:rFonts w:ascii="Palatino Linotype" w:hAnsi="Palatino Linotype"/>
          <w:shd w:val="clear" w:color="auto" w:fill="FFFFFF"/>
        </w:rPr>
      </w:pPr>
      <w:r w:rsidRPr="00D66245">
        <w:rPr>
          <w:rFonts w:ascii="Palatino Linotype" w:hAnsi="Palatino Linotype"/>
          <w:shd w:val="clear" w:color="auto" w:fill="FFFFFF"/>
        </w:rPr>
        <w:t xml:space="preserve">TOSCANO LÓPEZ. F. 2017. </w:t>
      </w:r>
      <w:r w:rsidRPr="00D66245">
        <w:rPr>
          <w:rFonts w:ascii="Palatino Linotype" w:hAnsi="Palatino Linotype"/>
          <w:i/>
          <w:shd w:val="clear" w:color="auto" w:fill="FFFFFF"/>
        </w:rPr>
        <w:t xml:space="preserve">La imparcialidad en materia probatoria, </w:t>
      </w:r>
      <w:r w:rsidRPr="00D66245">
        <w:rPr>
          <w:rFonts w:ascii="Palatino Linotype" w:hAnsi="Palatino Linotype"/>
          <w:shd w:val="clear" w:color="auto" w:fill="FFFFFF"/>
        </w:rPr>
        <w:t>Bogotá, Universidad Externado de Colombia.</w:t>
      </w:r>
    </w:p>
    <w:p w14:paraId="7BF128D9" w14:textId="77777777" w:rsidR="008057F8" w:rsidRPr="00D66245" w:rsidRDefault="008057F8" w:rsidP="006469CD">
      <w:pPr>
        <w:spacing w:after="0" w:line="240" w:lineRule="auto"/>
        <w:jc w:val="both"/>
        <w:rPr>
          <w:rFonts w:ascii="Palatino Linotype" w:hAnsi="Palatino Linotype"/>
          <w:b/>
          <w:shd w:val="clear" w:color="auto" w:fill="FFFFFF"/>
        </w:rPr>
      </w:pPr>
      <w:r w:rsidRPr="00D66245">
        <w:rPr>
          <w:rFonts w:ascii="Palatino Linotype" w:hAnsi="Palatino Linotype"/>
          <w:b/>
          <w:shd w:val="clear" w:color="auto" w:fill="FFFFFF"/>
        </w:rPr>
        <w:t>Normas</w:t>
      </w:r>
    </w:p>
    <w:p w14:paraId="6DB90F21" w14:textId="77777777" w:rsidR="008057F8" w:rsidRPr="00D66245" w:rsidRDefault="008057F8" w:rsidP="006469CD">
      <w:pPr>
        <w:numPr>
          <w:ilvl w:val="0"/>
          <w:numId w:val="83"/>
        </w:numPr>
        <w:spacing w:after="0" w:line="240" w:lineRule="auto"/>
        <w:jc w:val="both"/>
        <w:rPr>
          <w:rFonts w:ascii="Palatino Linotype" w:hAnsi="Palatino Linotype"/>
          <w:shd w:val="clear" w:color="auto" w:fill="FFFFFF"/>
        </w:rPr>
      </w:pPr>
      <w:r w:rsidRPr="00D66245">
        <w:rPr>
          <w:rFonts w:ascii="Palatino Linotype" w:hAnsi="Palatino Linotype"/>
          <w:shd w:val="clear" w:color="auto" w:fill="FFFFFF"/>
        </w:rPr>
        <w:t>Constitución Política de Costa Rica, 7 de noviembre de 1949.</w:t>
      </w:r>
    </w:p>
    <w:p w14:paraId="6F866065" w14:textId="77777777" w:rsidR="008057F8" w:rsidRPr="00D66245" w:rsidRDefault="008057F8" w:rsidP="006469CD">
      <w:pPr>
        <w:numPr>
          <w:ilvl w:val="0"/>
          <w:numId w:val="83"/>
        </w:numPr>
        <w:spacing w:after="0" w:line="240" w:lineRule="auto"/>
        <w:jc w:val="both"/>
        <w:rPr>
          <w:rFonts w:ascii="Palatino Linotype" w:hAnsi="Palatino Linotype"/>
          <w:b/>
          <w:shd w:val="clear" w:color="auto" w:fill="FFFFFF"/>
        </w:rPr>
      </w:pPr>
      <w:r w:rsidRPr="00D66245">
        <w:rPr>
          <w:rFonts w:ascii="Palatino Linotype" w:hAnsi="Palatino Linotype"/>
          <w:shd w:val="clear" w:color="auto" w:fill="FFFFFF"/>
        </w:rPr>
        <w:t xml:space="preserve">Código Procesal Civil (DEROGADO), </w:t>
      </w:r>
      <w:r w:rsidRPr="00D66245">
        <w:rPr>
          <w:rFonts w:ascii="Palatino Linotype" w:hAnsi="Palatino Linotype"/>
        </w:rPr>
        <w:t>Ley n.</w:t>
      </w:r>
      <w:r w:rsidRPr="00D66245">
        <w:rPr>
          <w:rFonts w:ascii="Palatino Linotype" w:hAnsi="Palatino Linotype"/>
          <w:vertAlign w:val="superscript"/>
        </w:rPr>
        <w:t>o</w:t>
      </w:r>
      <w:r w:rsidRPr="00D66245">
        <w:rPr>
          <w:rFonts w:ascii="Palatino Linotype" w:hAnsi="Palatino Linotype"/>
        </w:rPr>
        <w:t xml:space="preserve"> 7130 del 22 de julio de 1989.</w:t>
      </w:r>
    </w:p>
    <w:p w14:paraId="112CE2D4" w14:textId="77777777" w:rsidR="008057F8" w:rsidRPr="00D66245" w:rsidRDefault="008057F8" w:rsidP="006469CD">
      <w:pPr>
        <w:numPr>
          <w:ilvl w:val="0"/>
          <w:numId w:val="83"/>
        </w:numPr>
        <w:spacing w:after="0" w:line="240" w:lineRule="auto"/>
        <w:jc w:val="both"/>
        <w:rPr>
          <w:rFonts w:ascii="Palatino Linotype" w:hAnsi="Palatino Linotype"/>
          <w:b/>
          <w:shd w:val="clear" w:color="auto" w:fill="FFFFFF"/>
        </w:rPr>
      </w:pPr>
      <w:r w:rsidRPr="00D66245">
        <w:rPr>
          <w:rFonts w:ascii="Palatino Linotype" w:hAnsi="Palatino Linotype"/>
          <w:shd w:val="clear" w:color="auto" w:fill="FFFFFF"/>
        </w:rPr>
        <w:t xml:space="preserve">Código Procesal Civil, Expediente 15979. </w:t>
      </w:r>
      <w:r w:rsidRPr="00D66245">
        <w:rPr>
          <w:rFonts w:ascii="Palatino Linotype" w:hAnsi="Palatino Linotype"/>
        </w:rPr>
        <w:t>Ley 9342 del 03 de febrero del 2018. Publicado en el alcance digital n.</w:t>
      </w:r>
      <w:r w:rsidRPr="00D66245">
        <w:rPr>
          <w:rFonts w:ascii="Palatino Linotype" w:hAnsi="Palatino Linotype"/>
          <w:vertAlign w:val="superscript"/>
        </w:rPr>
        <w:t>o</w:t>
      </w:r>
      <w:r w:rsidRPr="00D66245">
        <w:rPr>
          <w:rFonts w:ascii="Palatino Linotype" w:hAnsi="Palatino Linotype"/>
        </w:rPr>
        <w:t xml:space="preserve"> 54 de La Gaceta n.</w:t>
      </w:r>
      <w:r w:rsidRPr="00D66245">
        <w:rPr>
          <w:rFonts w:ascii="Palatino Linotype" w:hAnsi="Palatino Linotype"/>
          <w:vertAlign w:val="superscript"/>
        </w:rPr>
        <w:t>o</w:t>
      </w:r>
      <w:r w:rsidRPr="00D66245">
        <w:rPr>
          <w:rFonts w:ascii="Palatino Linotype" w:hAnsi="Palatino Linotype"/>
        </w:rPr>
        <w:t xml:space="preserve"> 68 del viernes 08 de abril del 2016.</w:t>
      </w:r>
    </w:p>
    <w:p w14:paraId="66BC844E" w14:textId="77777777" w:rsidR="008057F8" w:rsidRDefault="008057F8" w:rsidP="006469CD">
      <w:pPr>
        <w:spacing w:after="0" w:line="240" w:lineRule="auto"/>
        <w:jc w:val="both"/>
        <w:rPr>
          <w:rFonts w:ascii="Palatino Linotype" w:hAnsi="Palatino Linotype" w:cs="Arial"/>
        </w:rPr>
      </w:pPr>
    </w:p>
    <w:p w14:paraId="6EE5287F" w14:textId="77777777" w:rsidR="00BE4897" w:rsidRDefault="00BE4897" w:rsidP="006469CD">
      <w:pPr>
        <w:spacing w:after="0" w:line="240" w:lineRule="auto"/>
        <w:jc w:val="both"/>
        <w:rPr>
          <w:rFonts w:ascii="Palatino Linotype" w:hAnsi="Palatino Linotype" w:cs="Arial"/>
        </w:rPr>
      </w:pPr>
    </w:p>
    <w:p w14:paraId="4AA421ED" w14:textId="77777777" w:rsidR="00BE4897" w:rsidRDefault="00BE4897" w:rsidP="006469CD">
      <w:pPr>
        <w:spacing w:after="0" w:line="240" w:lineRule="auto"/>
        <w:jc w:val="both"/>
        <w:rPr>
          <w:rFonts w:ascii="Palatino Linotype" w:hAnsi="Palatino Linotype" w:cs="Arial"/>
        </w:rPr>
      </w:pPr>
    </w:p>
    <w:p w14:paraId="40E57136" w14:textId="77777777" w:rsidR="00BE4897" w:rsidRDefault="00BE4897" w:rsidP="00BE4897">
      <w:pPr>
        <w:spacing w:after="0" w:line="240" w:lineRule="auto"/>
        <w:jc w:val="center"/>
        <w:outlineLvl w:val="0"/>
        <w:rPr>
          <w:rFonts w:ascii="Palatino Linotype" w:hAnsi="Palatino Linotype"/>
          <w:b/>
        </w:rPr>
        <w:sectPr w:rsidR="00BE4897" w:rsidSect="00BA1B42">
          <w:headerReference w:type="even" r:id="rId40"/>
          <w:type w:val="nextColumn"/>
          <w:pgSz w:w="12242" w:h="15842" w:code="1"/>
          <w:pgMar w:top="1474" w:right="2098" w:bottom="1021" w:left="2778" w:header="851" w:footer="2835" w:gutter="0"/>
          <w:cols w:space="708"/>
          <w:titlePg/>
          <w:docGrid w:linePitch="360"/>
        </w:sectPr>
      </w:pPr>
      <w:bookmarkStart w:id="56" w:name="_Hlk8652748"/>
    </w:p>
    <w:p w14:paraId="5173BA57" w14:textId="12AE39A0" w:rsidR="008057F8" w:rsidRPr="00D66245" w:rsidRDefault="008057F8" w:rsidP="00BE4897">
      <w:pPr>
        <w:spacing w:after="0" w:line="240" w:lineRule="auto"/>
        <w:jc w:val="center"/>
        <w:outlineLvl w:val="0"/>
        <w:rPr>
          <w:rFonts w:ascii="Palatino Linotype" w:hAnsi="Palatino Linotype"/>
          <w:b/>
        </w:rPr>
      </w:pPr>
      <w:r w:rsidRPr="00D66245">
        <w:rPr>
          <w:rFonts w:ascii="Palatino Linotype" w:hAnsi="Palatino Linotype"/>
          <w:b/>
        </w:rPr>
        <w:lastRenderedPageBreak/>
        <w:t>CARGA DE LA PRUEBA: PRINCIPIO DE APORTACIÓN</w:t>
      </w:r>
    </w:p>
    <w:p w14:paraId="5FC0852E" w14:textId="77777777" w:rsidR="008057F8" w:rsidRPr="00D66245" w:rsidRDefault="008057F8" w:rsidP="008057F8">
      <w:pPr>
        <w:spacing w:after="0" w:line="240" w:lineRule="auto"/>
        <w:jc w:val="center"/>
        <w:outlineLvl w:val="0"/>
        <w:rPr>
          <w:rFonts w:ascii="Palatino Linotype" w:hAnsi="Palatino Linotype"/>
          <w:b/>
          <w:i/>
          <w:u w:val="single"/>
        </w:rPr>
      </w:pPr>
      <w:r w:rsidRPr="00D66245">
        <w:rPr>
          <w:rFonts w:ascii="Palatino Linotype" w:hAnsi="Palatino Linotype"/>
          <w:b/>
        </w:rPr>
        <w:t xml:space="preserve">O CARGA PROBATORIA DINÁMICA </w:t>
      </w:r>
    </w:p>
    <w:p w14:paraId="77C223ED" w14:textId="77777777" w:rsidR="008057F8" w:rsidRPr="00D66245" w:rsidRDefault="008057F8" w:rsidP="00674E90">
      <w:pPr>
        <w:spacing w:before="120" w:after="200" w:line="240" w:lineRule="auto"/>
        <w:ind w:left="3540"/>
        <w:rPr>
          <w:rFonts w:ascii="Palatino Linotype" w:hAnsi="Palatino Linotype"/>
          <w:b/>
        </w:rPr>
      </w:pPr>
      <w:r w:rsidRPr="00D66245">
        <w:rPr>
          <w:rFonts w:ascii="Palatino Linotype" w:hAnsi="Palatino Linotype"/>
          <w:b/>
        </w:rPr>
        <w:t>MSc. Nohelia Vega Carvajal</w:t>
      </w:r>
      <w:bookmarkEnd w:id="56"/>
      <w:r w:rsidRPr="00D66245">
        <w:rPr>
          <w:rStyle w:val="Refdenotaalpie"/>
          <w:rFonts w:ascii="Palatino Linotype" w:hAnsi="Palatino Linotype"/>
          <w:b/>
        </w:rPr>
        <w:footnoteReference w:id="82"/>
      </w:r>
    </w:p>
    <w:p w14:paraId="6DE942B7" w14:textId="77777777" w:rsidR="008057F8" w:rsidRPr="00D66245" w:rsidRDefault="008057F8" w:rsidP="008057F8">
      <w:pPr>
        <w:spacing w:before="120" w:after="200" w:line="360" w:lineRule="auto"/>
        <w:rPr>
          <w:rFonts w:ascii="Palatino Linotype" w:hAnsi="Palatino Linotype"/>
          <w:b/>
        </w:rPr>
      </w:pPr>
    </w:p>
    <w:p w14:paraId="28B15DFE" w14:textId="77777777" w:rsidR="008057F8" w:rsidRPr="00D66245" w:rsidRDefault="008057F8" w:rsidP="008057F8">
      <w:pPr>
        <w:spacing w:before="120" w:after="200" w:line="240" w:lineRule="auto"/>
        <w:jc w:val="both"/>
        <w:rPr>
          <w:rFonts w:ascii="Palatino Linotype" w:hAnsi="Palatino Linotype"/>
          <w:i/>
        </w:rPr>
      </w:pPr>
      <w:r w:rsidRPr="00D66245">
        <w:rPr>
          <w:rFonts w:ascii="Palatino Linotype" w:hAnsi="Palatino Linotype"/>
          <w:b/>
          <w:i/>
        </w:rPr>
        <w:t xml:space="preserve">Sumario: 1. </w:t>
      </w:r>
      <w:r w:rsidRPr="00D66245">
        <w:rPr>
          <w:rFonts w:ascii="Palatino Linotype" w:hAnsi="Palatino Linotype"/>
          <w:i/>
        </w:rPr>
        <w:t xml:space="preserve">Introducción. 2. Nociones generales sobre carga de la prueba y criterios de distribución del riesgo probatorio. 2.1. La carga de la prueba. Concepto y dimensiones. 2.2. Reglas de asignación o distribución de la carga de la prueba. 2.3. Inversión de la carga probatoria. 2.4. Principios de disponibilidad y facilidad probatoria. 2.5. Carga probatoria dinámica. 3. Análisis de la nueva regulación de la carga de la prueba en el CPC costarricense. 3.1. Principales cambios introducidos por el CPC respecto de la carga de la prueba. 3.2. Algunas críticas a la reforma de la carga de la prueba en el CPC y sus implicaciones. 4.Conclusiones. 5. Bibliografía </w:t>
      </w:r>
    </w:p>
    <w:p w14:paraId="519943D4" w14:textId="77777777" w:rsidR="008057F8" w:rsidRPr="00D66245" w:rsidRDefault="008057F8" w:rsidP="008057F8">
      <w:pPr>
        <w:pStyle w:val="Prrafodelista"/>
        <w:numPr>
          <w:ilvl w:val="0"/>
          <w:numId w:val="92"/>
        </w:numPr>
        <w:spacing w:before="120" w:after="200" w:line="360" w:lineRule="auto"/>
        <w:contextualSpacing w:val="0"/>
        <w:jc w:val="both"/>
        <w:outlineLvl w:val="0"/>
        <w:rPr>
          <w:rFonts w:ascii="Palatino Linotype" w:hAnsi="Palatino Linotype"/>
          <w:b/>
        </w:rPr>
      </w:pPr>
      <w:r w:rsidRPr="00D66245">
        <w:rPr>
          <w:rFonts w:ascii="Palatino Linotype" w:hAnsi="Palatino Linotype"/>
          <w:b/>
        </w:rPr>
        <w:t>Introducción</w:t>
      </w:r>
    </w:p>
    <w:p w14:paraId="7FCC0762" w14:textId="77777777" w:rsidR="008057F8" w:rsidRPr="00D66245" w:rsidRDefault="008057F8" w:rsidP="008057F8">
      <w:pPr>
        <w:widowControl w:val="0"/>
        <w:tabs>
          <w:tab w:val="left" w:pos="426"/>
        </w:tabs>
        <w:spacing w:before="120" w:after="200" w:line="240" w:lineRule="auto"/>
        <w:jc w:val="both"/>
        <w:outlineLvl w:val="0"/>
        <w:rPr>
          <w:rFonts w:ascii="Palatino Linotype" w:hAnsi="Palatino Linotype"/>
          <w:lang w:val="es-ES_tradnl"/>
        </w:rPr>
      </w:pPr>
      <w:r w:rsidRPr="00D66245">
        <w:rPr>
          <w:rFonts w:ascii="Palatino Linotype" w:hAnsi="Palatino Linotype"/>
        </w:rPr>
        <w:tab/>
      </w:r>
      <w:r w:rsidRPr="00D66245">
        <w:rPr>
          <w:rFonts w:ascii="Palatino Linotype" w:hAnsi="Palatino Linotype"/>
          <w:lang w:val="es-ES_tradnl"/>
        </w:rPr>
        <w:t>Uno de los temas de mayor discusión doctrinaria y filosófica a lo largo del tiempo en materia probatoria corresponde al estudio de la carga de la prueba, particularmente la determinación de los criterios de atribución. Se ha considerado que los criterios clásicos empleados resultan de tal rigidez que en algunos casos ha impedido a la parte más “débil” de la relación procesal garantizar el efectivo acceso a la justicia, ya que se encuentra en una imposibilidad de aportar la prueba necesaria y que, en aplicación de una carga de la prueba estricta, recae en ella las consecuencias derivadas de la insuficiencia probatoria de un hecho o hechos relevantes para el proceso, según el estándar exigido.</w:t>
      </w:r>
    </w:p>
    <w:p w14:paraId="514445F8" w14:textId="77777777" w:rsidR="008057F8" w:rsidRPr="00D66245" w:rsidRDefault="008057F8" w:rsidP="008057F8">
      <w:pPr>
        <w:widowControl w:val="0"/>
        <w:tabs>
          <w:tab w:val="left" w:pos="426"/>
        </w:tabs>
        <w:spacing w:before="120" w:after="200" w:line="240" w:lineRule="auto"/>
        <w:jc w:val="both"/>
        <w:outlineLvl w:val="0"/>
        <w:rPr>
          <w:rFonts w:ascii="Palatino Linotype" w:hAnsi="Palatino Linotype"/>
        </w:rPr>
      </w:pPr>
      <w:r w:rsidRPr="00D66245">
        <w:rPr>
          <w:rFonts w:ascii="Palatino Linotype" w:hAnsi="Palatino Linotype"/>
        </w:rPr>
        <w:tab/>
        <w:t xml:space="preserve">Con este contexto, surge la doctrina de las denominadas cargas dinámicas de la prueba como una forma de flexibilización, la cual ha venido tomando gran fuerza en el marco latinoamericano y ha sigo recogida en </w:t>
      </w:r>
      <w:r w:rsidRPr="00D66245">
        <w:rPr>
          <w:rFonts w:ascii="Palatino Linotype" w:hAnsi="Palatino Linotype"/>
        </w:rPr>
        <w:lastRenderedPageBreak/>
        <w:t>varios Códigos Procesales Civiles como una aspiración para traer información relevante al proceso en una búsqueda de la verdad como presupuesto para una decisión justa, siendo un análisis judicial casuístico lo que determine su aplicación según las características del caso concreto. Sin embargo, su utilización no es un tema pacífico en la doctrina y su empleo lleva a una serie de dificultades y cuestionamientos.</w:t>
      </w:r>
    </w:p>
    <w:p w14:paraId="433D0F3D" w14:textId="77777777" w:rsidR="008057F8" w:rsidRPr="00D66245" w:rsidRDefault="008057F8" w:rsidP="008057F8">
      <w:pPr>
        <w:widowControl w:val="0"/>
        <w:tabs>
          <w:tab w:val="left" w:pos="426"/>
        </w:tabs>
        <w:spacing w:before="120" w:after="200" w:line="240" w:lineRule="auto"/>
        <w:jc w:val="both"/>
        <w:outlineLvl w:val="0"/>
        <w:rPr>
          <w:rFonts w:ascii="Palatino Linotype" w:hAnsi="Palatino Linotype"/>
        </w:rPr>
      </w:pPr>
      <w:r w:rsidRPr="00D66245">
        <w:rPr>
          <w:rFonts w:ascii="Palatino Linotype" w:hAnsi="Palatino Linotype"/>
        </w:rPr>
        <w:tab/>
        <w:t xml:space="preserve">Con la entrada en vigencia del Código Procesal Civil (en adelante CPC) se incorpora los criterios de facilidad y disponibilidad probatoria en relación con la carga de la prueba. Asimismo, la nueva normativa procesal da una prevalencia sustancial a los deberes de las partes referidos a la buena fe, la probidad y la cooperación, y se establece como criterio de valoración de la prueba la conducta dentro del proceso lo cual tiene un impacto especial en el tema de la carga probatoria. </w:t>
      </w:r>
    </w:p>
    <w:p w14:paraId="45A7FFD6" w14:textId="71D49E0C" w:rsidR="008057F8" w:rsidRPr="00D66245" w:rsidRDefault="008057F8" w:rsidP="008057F8">
      <w:pPr>
        <w:widowControl w:val="0"/>
        <w:tabs>
          <w:tab w:val="left" w:pos="426"/>
        </w:tabs>
        <w:spacing w:before="120" w:after="200" w:line="240" w:lineRule="auto"/>
        <w:jc w:val="both"/>
        <w:outlineLvl w:val="0"/>
        <w:rPr>
          <w:rFonts w:ascii="Palatino Linotype" w:hAnsi="Palatino Linotype"/>
        </w:rPr>
      </w:pPr>
      <w:r w:rsidRPr="00D66245">
        <w:rPr>
          <w:rFonts w:ascii="Palatino Linotype" w:hAnsi="Palatino Linotype"/>
        </w:rPr>
        <w:tab/>
        <w:t xml:space="preserve">Más allá de tratarse de una corriente en boga en el ámbito internacional, la doctrina de las cargas probatorias dinámicas contiene en sí misma una serie de contrariedades por lo que en el presente trabajo se pretende analizar su procedencia en el CPC costarricense y sus implicaciones epistémicas en contraste con los costos asociados de su uso. </w:t>
      </w:r>
    </w:p>
    <w:p w14:paraId="590E8CDB" w14:textId="77777777" w:rsidR="008057F8" w:rsidRPr="00D66245" w:rsidRDefault="008057F8" w:rsidP="008057F8">
      <w:pPr>
        <w:pStyle w:val="Prrafodelista"/>
        <w:numPr>
          <w:ilvl w:val="0"/>
          <w:numId w:val="92"/>
        </w:numPr>
        <w:spacing w:before="120" w:after="200" w:line="360" w:lineRule="auto"/>
        <w:contextualSpacing w:val="0"/>
        <w:jc w:val="both"/>
        <w:outlineLvl w:val="0"/>
        <w:rPr>
          <w:rFonts w:ascii="Palatino Linotype" w:hAnsi="Palatino Linotype"/>
          <w:b/>
        </w:rPr>
      </w:pPr>
      <w:r w:rsidRPr="00D66245">
        <w:rPr>
          <w:rFonts w:ascii="Palatino Linotype" w:hAnsi="Palatino Linotype"/>
          <w:b/>
        </w:rPr>
        <w:t>Nociones generales sobre la carga de la prueba</w:t>
      </w:r>
    </w:p>
    <w:p w14:paraId="1E3E9EC7" w14:textId="77777777" w:rsidR="008057F8" w:rsidRPr="00D66245" w:rsidRDefault="008057F8" w:rsidP="008057F8">
      <w:pPr>
        <w:pStyle w:val="Prrafodelista"/>
        <w:numPr>
          <w:ilvl w:val="1"/>
          <w:numId w:val="92"/>
        </w:numPr>
        <w:spacing w:before="120" w:after="200" w:line="360" w:lineRule="auto"/>
        <w:contextualSpacing w:val="0"/>
        <w:jc w:val="both"/>
        <w:outlineLvl w:val="0"/>
        <w:rPr>
          <w:rFonts w:ascii="Palatino Linotype" w:hAnsi="Palatino Linotype"/>
          <w:b/>
        </w:rPr>
      </w:pPr>
      <w:r w:rsidRPr="00D66245">
        <w:rPr>
          <w:rFonts w:ascii="Palatino Linotype" w:hAnsi="Palatino Linotype"/>
          <w:b/>
        </w:rPr>
        <w:t xml:space="preserve"> La carga de la prueba. Concepto y dimensiones.</w:t>
      </w:r>
    </w:p>
    <w:p w14:paraId="635DFD60" w14:textId="77777777" w:rsidR="008057F8" w:rsidRPr="00D66245" w:rsidRDefault="008057F8" w:rsidP="008057F8">
      <w:pPr>
        <w:spacing w:before="120" w:after="200" w:line="240" w:lineRule="auto"/>
        <w:ind w:firstLine="708"/>
        <w:jc w:val="both"/>
        <w:rPr>
          <w:rFonts w:ascii="Palatino Linotype" w:hAnsi="Palatino Linotype"/>
        </w:rPr>
      </w:pPr>
      <w:r w:rsidRPr="00D66245">
        <w:rPr>
          <w:rFonts w:ascii="Palatino Linotype" w:hAnsi="Palatino Linotype"/>
        </w:rPr>
        <w:t xml:space="preserve">La potestad jurisdiccional de los órganos judiciales hace nacer el deber inexorable e inexcusable de resolver todos los asuntos y controversias que le sean plateados, existiendo una prohibición expresa de </w:t>
      </w:r>
      <w:r w:rsidRPr="00D66245">
        <w:rPr>
          <w:rFonts w:ascii="Palatino Linotype" w:hAnsi="Palatino Linotype"/>
          <w:i/>
        </w:rPr>
        <w:t>non liquet</w:t>
      </w:r>
      <w:r w:rsidRPr="00D66245">
        <w:rPr>
          <w:rFonts w:ascii="Palatino Linotype" w:hAnsi="Palatino Linotype"/>
        </w:rPr>
        <w:t>. Por otro lado, con el principio de aportación de parte son éstas quienes deber realizar las alegaciones, sea proponer los hechos y las pruebas que les incumban para efectos de la eventual decisión. No obstante, existen situaciones en las cuales a la hora de resolver la cuestión litigiosa el juez advierte que existe duda o incertidumbre sobre la acreditación de los hechos</w:t>
      </w:r>
      <w:r w:rsidRPr="00D66245">
        <w:rPr>
          <w:rStyle w:val="Refdenotaalpie"/>
          <w:rFonts w:ascii="Palatino Linotype" w:hAnsi="Palatino Linotype"/>
        </w:rPr>
        <w:footnoteReference w:id="83"/>
      </w:r>
      <w:r w:rsidRPr="00D66245">
        <w:rPr>
          <w:rFonts w:ascii="Palatino Linotype" w:hAnsi="Palatino Linotype"/>
        </w:rPr>
        <w:t xml:space="preserve"> alegados. Tanto el principio de aportación de parte como la </w:t>
      </w:r>
      <w:r w:rsidRPr="00D66245">
        <w:rPr>
          <w:rFonts w:ascii="Palatino Linotype" w:hAnsi="Palatino Linotype"/>
        </w:rPr>
        <w:lastRenderedPageBreak/>
        <w:t>obligación jurisdiccional de dictar sentencia, configuran el fundamento mismo de la carga de la prueba.</w:t>
      </w:r>
    </w:p>
    <w:p w14:paraId="27CE37D9" w14:textId="77777777" w:rsidR="008057F8" w:rsidRPr="00D66245" w:rsidRDefault="008057F8" w:rsidP="008057F8">
      <w:pPr>
        <w:spacing w:before="120" w:after="200" w:line="240" w:lineRule="auto"/>
        <w:ind w:firstLine="708"/>
        <w:jc w:val="both"/>
        <w:rPr>
          <w:rFonts w:ascii="Palatino Linotype" w:hAnsi="Palatino Linotype"/>
        </w:rPr>
      </w:pPr>
      <w:r w:rsidRPr="00D66245">
        <w:rPr>
          <w:rFonts w:ascii="Palatino Linotype" w:hAnsi="Palatino Linotype"/>
        </w:rPr>
        <w:t xml:space="preserve">De esta forma, esta figura jurídica surge como herramienta o criterio para el juzgador conforme la cual se determina el contenido de la decisión, tratándose de casos en los cuales existe incertidumbre sobre los hechos a juzgar, de forma tal que el juez imputa dicha incertidumbre a la parte que afirmó. Con ello, en caso de no demostrarse los presupuestos del precepto jurídico aducido, este no será aplicado a la parte que soporta la carga, por lo que se le imputa a ésta la incertidumbre relativa a los hechos. </w:t>
      </w:r>
    </w:p>
    <w:p w14:paraId="3DA15E19" w14:textId="77777777" w:rsidR="008057F8" w:rsidRPr="00D66245" w:rsidRDefault="008057F8" w:rsidP="008057F8">
      <w:pPr>
        <w:spacing w:before="120" w:after="200" w:line="240" w:lineRule="auto"/>
        <w:ind w:firstLine="426"/>
        <w:jc w:val="both"/>
        <w:rPr>
          <w:rFonts w:ascii="Palatino Linotype" w:hAnsi="Palatino Linotype"/>
        </w:rPr>
      </w:pPr>
      <w:r w:rsidRPr="00D66245">
        <w:rPr>
          <w:rFonts w:ascii="Palatino Linotype" w:hAnsi="Palatino Linotype"/>
        </w:rPr>
        <w:t>En la concepción clásica se ha distinguido dos dimensiones</w:t>
      </w:r>
      <w:r w:rsidRPr="00D66245">
        <w:rPr>
          <w:rStyle w:val="Refdenotaalpie"/>
          <w:rFonts w:ascii="Palatino Linotype" w:hAnsi="Palatino Linotype"/>
        </w:rPr>
        <w:footnoteReference w:id="84"/>
      </w:r>
      <w:r w:rsidRPr="00D66245">
        <w:rPr>
          <w:rFonts w:ascii="Palatino Linotype" w:hAnsi="Palatino Linotype"/>
        </w:rPr>
        <w:t xml:space="preserve"> de carga de la prueba: </w:t>
      </w:r>
    </w:p>
    <w:p w14:paraId="72A3C13E" w14:textId="77777777" w:rsidR="008057F8" w:rsidRPr="00D66245" w:rsidRDefault="008057F8" w:rsidP="008057F8">
      <w:pPr>
        <w:pStyle w:val="Prrafodelista"/>
        <w:numPr>
          <w:ilvl w:val="0"/>
          <w:numId w:val="90"/>
        </w:numPr>
        <w:spacing w:before="120" w:after="200" w:line="240" w:lineRule="auto"/>
        <w:ind w:left="709" w:hanging="283"/>
        <w:contextualSpacing w:val="0"/>
        <w:jc w:val="both"/>
        <w:rPr>
          <w:rFonts w:ascii="Palatino Linotype" w:hAnsi="Palatino Linotype"/>
          <w:lang w:val="es-ES"/>
        </w:rPr>
      </w:pPr>
      <w:r w:rsidRPr="00D66245">
        <w:rPr>
          <w:rFonts w:ascii="Palatino Linotype" w:hAnsi="Palatino Linotype"/>
          <w:b/>
          <w:lang w:val="es-ES"/>
        </w:rPr>
        <w:t>La carga de la prueba subjetiva o formal</w:t>
      </w:r>
      <w:r w:rsidRPr="00D66245">
        <w:rPr>
          <w:rFonts w:ascii="Palatino Linotype" w:hAnsi="Palatino Linotype"/>
          <w:lang w:val="es-ES"/>
        </w:rPr>
        <w:t xml:space="preserve"> en virtud de la cual se busca identificar quién es el que debe suministrar la prueba en el proceso civil a fin de evitar la decisión desfavorable (Rosenberg, 2002, p.34)</w:t>
      </w:r>
      <w:r w:rsidRPr="00D66245">
        <w:rPr>
          <w:rStyle w:val="Refdenotaalpie"/>
          <w:rFonts w:ascii="Palatino Linotype" w:hAnsi="Palatino Linotype"/>
          <w:lang w:val="es-ES"/>
        </w:rPr>
        <w:footnoteReference w:id="85"/>
      </w:r>
      <w:r w:rsidRPr="00D66245">
        <w:rPr>
          <w:rFonts w:ascii="Palatino Linotype" w:hAnsi="Palatino Linotype"/>
          <w:lang w:val="es-ES"/>
        </w:rPr>
        <w:t xml:space="preserve">. En ese sentido, se entiende la carga de la prueba como actividad procesal o regla de conducta de las partes. No obstante, esta posición ha recibido diversas críticas ya que dicho argumento se ve deteriorado con la existencia del principio de adquisición de la prueba, toda vez que resulta irrelevante quien proporcionó los elementos de convicción. Según Chiovenda (1925, p 205), los resultados de la actividad procesal son comunes entre las partes por lo que las pruebas son del proceso y están destinadas al juez con independencia de quien las haya proporcionado. Asimismo, el problema de la carga de la prueba sólo se presenta cuando la prueba no se ha producido o la misma es insuficiente. Pese a lo anterior, es </w:t>
      </w:r>
      <w:r w:rsidRPr="00D66245">
        <w:rPr>
          <w:rFonts w:ascii="Palatino Linotype" w:hAnsi="Palatino Linotype"/>
          <w:lang w:val="es-ES"/>
        </w:rPr>
        <w:lastRenderedPageBreak/>
        <w:t xml:space="preserve">innegable la importancia que este enfoque tiene para las partes y su diseño de la estrategia procesal al tener claridad sobre quién debe aportar determinadas pruebas al proceso, sin embargo, no como carga de la prueba propiamente como se analizará más adelante, sino como acertadamente algunos autores denominan reglas técnicas o reglas de instrucción, es decir, aquellas que orientan a las partes en su actividad procesal que no necesariamente corresponden a carga de la prueba </w:t>
      </w:r>
      <w:r w:rsidRPr="00D66245">
        <w:rPr>
          <w:rFonts w:ascii="Palatino Linotype" w:hAnsi="Palatino Linotype"/>
        </w:rPr>
        <w:t>(</w:t>
      </w:r>
      <w:r w:rsidRPr="00D66245">
        <w:rPr>
          <w:rFonts w:ascii="Palatino Linotype" w:hAnsi="Palatino Linotype"/>
          <w:lang w:val="es-ES"/>
        </w:rPr>
        <w:t xml:space="preserve">Ferrer, 2018, p.136-137 y De Paula Ramos, 2018, p.54).  </w:t>
      </w:r>
      <w:r w:rsidRPr="00D66245">
        <w:rPr>
          <w:rFonts w:ascii="Palatino Linotype" w:hAnsi="Palatino Linotype"/>
        </w:rPr>
        <w:t>En un análisis económico, la carga subjetiva de la prueba no desempeña un incentivo eficiente para que las partes aporten prueba al proceso, ya que tratándose de carga, existe la facultad de la parte de elegir su aportación o no asumiendo su riesgo, no se trata de una sanción en sentido estricto, por lo que queda a su criterio el análisis de costo – beneficio en relación con su estrategia procesal. Aunado a lo anterior, cabe señalar que este enfoque no dice nada sobre la calidad de la prueba que eventualmente se pueda llevar al proceso.</w:t>
      </w:r>
    </w:p>
    <w:p w14:paraId="24F482DC" w14:textId="77777777" w:rsidR="008057F8" w:rsidRPr="00D66245" w:rsidRDefault="008057F8" w:rsidP="008057F8">
      <w:pPr>
        <w:pStyle w:val="Prrafodelista"/>
        <w:numPr>
          <w:ilvl w:val="0"/>
          <w:numId w:val="90"/>
        </w:numPr>
        <w:spacing w:before="120" w:after="200" w:line="240" w:lineRule="auto"/>
        <w:ind w:left="709" w:hanging="283"/>
        <w:contextualSpacing w:val="0"/>
        <w:jc w:val="both"/>
        <w:rPr>
          <w:rFonts w:ascii="Palatino Linotype" w:hAnsi="Palatino Linotype"/>
        </w:rPr>
      </w:pPr>
      <w:r w:rsidRPr="00D66245">
        <w:rPr>
          <w:rFonts w:ascii="Palatino Linotype" w:hAnsi="Palatino Linotype"/>
          <w:b/>
          <w:lang w:val="es-ES"/>
        </w:rPr>
        <w:t>La carga de la prueba objetiva o material</w:t>
      </w:r>
      <w:r w:rsidRPr="00D66245">
        <w:rPr>
          <w:rFonts w:ascii="Palatino Linotype" w:hAnsi="Palatino Linotype"/>
          <w:lang w:val="es-ES"/>
        </w:rPr>
        <w:t>, refiere a quién soporta las consecuencias por la incertidumbre de un hecho -insuficiencia probatoria-, entendida esta como reglas de juicio que “hace sucumbir a la parte cargada en caso de incertidumbre acerca de la situación de hecho” (Rosenberg, 2002, p.42). Esta dimensión es entendida como regla de juicio al momento de resolver, sea como pauta a seguir por el juez para decidir la controversia con incertidumbre probática</w:t>
      </w:r>
      <w:r w:rsidRPr="00D66245">
        <w:rPr>
          <w:rStyle w:val="Refdenotaalpie"/>
          <w:rFonts w:ascii="Palatino Linotype" w:hAnsi="Palatino Linotype"/>
          <w:lang w:val="es-ES"/>
        </w:rPr>
        <w:footnoteReference w:id="86"/>
      </w:r>
      <w:r w:rsidRPr="00D66245">
        <w:rPr>
          <w:rFonts w:ascii="Palatino Linotype" w:hAnsi="Palatino Linotype"/>
          <w:lang w:val="es-ES"/>
        </w:rPr>
        <w:t>. En ese sentido, evoca a la prueba como resultado, es decir, como conclusión a la que el juez llega tras la apreciación y valoración del acervo probatorio, por lo que su aplicación resulta residual. Como señalaba Rosenberg (1955, p.222), la teoría de la carga de la prueba es la teoría de las consecuencias de la falta de prueba.</w:t>
      </w:r>
    </w:p>
    <w:p w14:paraId="49149FB3"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 xml:space="preserve">Con lo anterior, podemos concluir que la condición </w:t>
      </w:r>
      <w:r w:rsidRPr="00D66245">
        <w:rPr>
          <w:rFonts w:ascii="Palatino Linotype" w:hAnsi="Palatino Linotype"/>
          <w:i/>
        </w:rPr>
        <w:t>sine qua non</w:t>
      </w:r>
      <w:r w:rsidRPr="00D66245">
        <w:rPr>
          <w:rFonts w:ascii="Palatino Linotype" w:hAnsi="Palatino Linotype"/>
        </w:rPr>
        <w:t xml:space="preserve"> para la aplicación de la carga de la prueba como regla de juicio es la existencia de un hecho incierto, es decir, que no ha quedado suficientemente probada la existencia o inexistencia de los hechos controvertidos, sea por no haberse aportado prueba o que las mismas resultan insuficientes en función del </w:t>
      </w:r>
      <w:r w:rsidRPr="00D66245">
        <w:rPr>
          <w:rFonts w:ascii="Palatino Linotype" w:hAnsi="Palatino Linotype"/>
        </w:rPr>
        <w:lastRenderedPageBreak/>
        <w:t>estándar establecido (insuficiencia probatoria). En ese sentido, podemos realizar algunas consideraciones de los presupuestos para su aplicación:</w:t>
      </w:r>
    </w:p>
    <w:p w14:paraId="17B08974" w14:textId="77777777" w:rsidR="008057F8" w:rsidRPr="00D66245" w:rsidRDefault="008057F8" w:rsidP="008057F8">
      <w:pPr>
        <w:pStyle w:val="Prrafodelista"/>
        <w:numPr>
          <w:ilvl w:val="0"/>
          <w:numId w:val="89"/>
        </w:numPr>
        <w:spacing w:before="120" w:after="200" w:line="240" w:lineRule="auto"/>
        <w:ind w:right="474"/>
        <w:contextualSpacing w:val="0"/>
        <w:jc w:val="both"/>
        <w:rPr>
          <w:rFonts w:ascii="Palatino Linotype" w:hAnsi="Palatino Linotype"/>
        </w:rPr>
      </w:pPr>
      <w:r w:rsidRPr="00D66245">
        <w:rPr>
          <w:rFonts w:ascii="Palatino Linotype" w:hAnsi="Palatino Linotype"/>
        </w:rPr>
        <w:t xml:space="preserve">La duda radica exclusivamente sobre </w:t>
      </w:r>
      <w:r w:rsidRPr="00D66245">
        <w:rPr>
          <w:rFonts w:ascii="Palatino Linotype" w:hAnsi="Palatino Linotype"/>
          <w:b/>
        </w:rPr>
        <w:t>cuestiones de hecho</w:t>
      </w:r>
      <w:r w:rsidRPr="00D66245">
        <w:rPr>
          <w:rFonts w:ascii="Palatino Linotype" w:hAnsi="Palatino Linotype"/>
        </w:rPr>
        <w:t xml:space="preserve">, no sobre aspectos jurídicos. </w:t>
      </w:r>
    </w:p>
    <w:p w14:paraId="6A95DE49" w14:textId="77777777" w:rsidR="008057F8" w:rsidRPr="00D66245" w:rsidRDefault="008057F8" w:rsidP="008057F8">
      <w:pPr>
        <w:pStyle w:val="Prrafodelista"/>
        <w:numPr>
          <w:ilvl w:val="0"/>
          <w:numId w:val="89"/>
        </w:numPr>
        <w:spacing w:before="120" w:after="200" w:line="240" w:lineRule="auto"/>
        <w:contextualSpacing w:val="0"/>
        <w:jc w:val="both"/>
        <w:rPr>
          <w:rFonts w:ascii="Palatino Linotype" w:hAnsi="Palatino Linotype"/>
        </w:rPr>
      </w:pPr>
      <w:r w:rsidRPr="00D66245">
        <w:rPr>
          <w:rFonts w:ascii="Palatino Linotype" w:hAnsi="Palatino Linotype"/>
        </w:rPr>
        <w:t xml:space="preserve">La duda o incertidumbre probática es sobre los </w:t>
      </w:r>
      <w:r w:rsidRPr="00D66245">
        <w:rPr>
          <w:rFonts w:ascii="Palatino Linotype" w:hAnsi="Palatino Linotype"/>
          <w:b/>
        </w:rPr>
        <w:t>hechos relevantes</w:t>
      </w:r>
      <w:r w:rsidRPr="00D66245">
        <w:rPr>
          <w:rStyle w:val="Refdenotaalpie"/>
          <w:rFonts w:ascii="Palatino Linotype" w:hAnsi="Palatino Linotype"/>
        </w:rPr>
        <w:footnoteReference w:id="87"/>
      </w:r>
      <w:r w:rsidRPr="00D66245">
        <w:rPr>
          <w:rFonts w:ascii="Palatino Linotype" w:hAnsi="Palatino Linotype"/>
          <w:b/>
        </w:rPr>
        <w:t xml:space="preserve"> </w:t>
      </w:r>
      <w:r w:rsidRPr="00D66245">
        <w:rPr>
          <w:rFonts w:ascii="Palatino Linotype" w:hAnsi="Palatino Linotype"/>
        </w:rPr>
        <w:t xml:space="preserve">para la decisión (Muñoz, 2001, </w:t>
      </w:r>
      <w:r w:rsidRPr="00D66245">
        <w:rPr>
          <w:rFonts w:ascii="Palatino Linotype" w:hAnsi="Palatino Linotype"/>
          <w:lang w:val="es-ES"/>
        </w:rPr>
        <w:t>p168)</w:t>
      </w:r>
      <w:r w:rsidRPr="00D66245">
        <w:rPr>
          <w:rFonts w:ascii="Palatino Linotype" w:hAnsi="Palatino Linotype"/>
        </w:rPr>
        <w:t xml:space="preserve">. </w:t>
      </w:r>
    </w:p>
    <w:p w14:paraId="127D8ABD" w14:textId="77777777" w:rsidR="008057F8" w:rsidRPr="00D66245" w:rsidRDefault="008057F8" w:rsidP="008057F8">
      <w:pPr>
        <w:pStyle w:val="Prrafodelista"/>
        <w:numPr>
          <w:ilvl w:val="0"/>
          <w:numId w:val="89"/>
        </w:numPr>
        <w:spacing w:before="120" w:after="200" w:line="240" w:lineRule="auto"/>
        <w:contextualSpacing w:val="0"/>
        <w:jc w:val="both"/>
        <w:rPr>
          <w:rFonts w:ascii="Palatino Linotype" w:hAnsi="Palatino Linotype"/>
        </w:rPr>
      </w:pPr>
      <w:r w:rsidRPr="00D66245">
        <w:rPr>
          <w:rFonts w:ascii="Palatino Linotype" w:hAnsi="Palatino Linotype"/>
        </w:rPr>
        <w:t xml:space="preserve">El meollo del problema es determinar cuándo hay </w:t>
      </w:r>
      <w:r w:rsidRPr="00D66245">
        <w:rPr>
          <w:rFonts w:ascii="Palatino Linotype" w:hAnsi="Palatino Linotype"/>
          <w:b/>
        </w:rPr>
        <w:t>insuficiencia probatoria</w:t>
      </w:r>
      <w:r w:rsidRPr="00D66245">
        <w:rPr>
          <w:rStyle w:val="Refdenotaalpie"/>
          <w:rFonts w:ascii="Palatino Linotype" w:hAnsi="Palatino Linotype"/>
          <w:b/>
        </w:rPr>
        <w:footnoteReference w:id="88"/>
      </w:r>
      <w:r w:rsidRPr="00D66245">
        <w:rPr>
          <w:rFonts w:ascii="Palatino Linotype" w:hAnsi="Palatino Linotype"/>
        </w:rPr>
        <w:t>. Sin embargo, más allá de ello, la carga de la prueba en sí misma no establece cuándo debe considerarse incierto el hecho, por lo que dependerá del grado de certeza exigido para la prueba de los hechos, es decir, la carga de la prueba aplica sólo cuando los elementos de juicio no superan el estándar de prueba</w:t>
      </w:r>
      <w:r w:rsidRPr="00D66245">
        <w:rPr>
          <w:rStyle w:val="Refdenotaalpie"/>
          <w:rFonts w:ascii="Palatino Linotype" w:hAnsi="Palatino Linotype"/>
        </w:rPr>
        <w:t xml:space="preserve"> </w:t>
      </w:r>
      <w:r w:rsidRPr="00D66245">
        <w:rPr>
          <w:rFonts w:ascii="Palatino Linotype" w:hAnsi="Palatino Linotype"/>
        </w:rPr>
        <w:t>previsto para ese tipo de caso (</w:t>
      </w:r>
      <w:r w:rsidRPr="00D66245">
        <w:rPr>
          <w:rFonts w:ascii="Palatino Linotype" w:hAnsi="Palatino Linotype"/>
          <w:lang w:val="es-ES"/>
        </w:rPr>
        <w:t>Ferrer, 2018, p.133)</w:t>
      </w:r>
      <w:r w:rsidRPr="00D66245">
        <w:rPr>
          <w:rFonts w:ascii="Palatino Linotype" w:hAnsi="Palatino Linotype"/>
        </w:rPr>
        <w:t xml:space="preserve">. </w:t>
      </w:r>
    </w:p>
    <w:p w14:paraId="75401D91" w14:textId="77777777" w:rsidR="008057F8" w:rsidRPr="00D66245" w:rsidRDefault="008057F8" w:rsidP="008057F8">
      <w:pPr>
        <w:pStyle w:val="Prrafodelista"/>
        <w:numPr>
          <w:ilvl w:val="0"/>
          <w:numId w:val="89"/>
        </w:numPr>
        <w:spacing w:before="120" w:after="200" w:line="240" w:lineRule="auto"/>
        <w:contextualSpacing w:val="0"/>
        <w:jc w:val="both"/>
        <w:rPr>
          <w:rFonts w:ascii="Palatino Linotype" w:hAnsi="Palatino Linotype"/>
        </w:rPr>
      </w:pPr>
      <w:r w:rsidRPr="00D66245">
        <w:rPr>
          <w:rFonts w:ascii="Palatino Linotype" w:hAnsi="Palatino Linotype"/>
        </w:rPr>
        <w:t xml:space="preserve">Asimismo, debe indicarse que la carga de la prueba aplica </w:t>
      </w:r>
      <w:r w:rsidRPr="00D66245">
        <w:rPr>
          <w:rFonts w:ascii="Palatino Linotype" w:hAnsi="Palatino Linotype"/>
          <w:b/>
        </w:rPr>
        <w:t xml:space="preserve">al momento de dictarse la sentencia </w:t>
      </w:r>
      <w:r w:rsidRPr="00D66245">
        <w:rPr>
          <w:rFonts w:ascii="Palatino Linotype" w:hAnsi="Palatino Linotype"/>
        </w:rPr>
        <w:t>cuando</w:t>
      </w:r>
      <w:r w:rsidRPr="00D66245">
        <w:rPr>
          <w:rFonts w:ascii="Palatino Linotype" w:hAnsi="Palatino Linotype"/>
          <w:b/>
        </w:rPr>
        <w:t xml:space="preserve"> </w:t>
      </w:r>
      <w:r w:rsidRPr="00D66245">
        <w:rPr>
          <w:rFonts w:ascii="Palatino Linotype" w:hAnsi="Palatino Linotype"/>
        </w:rPr>
        <w:t xml:space="preserve">exista la duda probatoria, es decir, como última </w:t>
      </w:r>
      <w:r w:rsidRPr="00D66245">
        <w:rPr>
          <w:rFonts w:ascii="Palatino Linotype" w:hAnsi="Palatino Linotype"/>
          <w:i/>
        </w:rPr>
        <w:t>ratio</w:t>
      </w:r>
      <w:r w:rsidRPr="00D66245">
        <w:rPr>
          <w:rFonts w:ascii="Palatino Linotype" w:hAnsi="Palatino Linotype"/>
        </w:rPr>
        <w:t xml:space="preserve"> en la fase de sentencia</w:t>
      </w:r>
      <w:r w:rsidRPr="00D66245">
        <w:rPr>
          <w:rStyle w:val="Refdenotaalpie"/>
          <w:rFonts w:ascii="Palatino Linotype" w:hAnsi="Palatino Linotype"/>
        </w:rPr>
        <w:footnoteReference w:id="89"/>
      </w:r>
      <w:r w:rsidRPr="00D66245">
        <w:rPr>
          <w:rFonts w:ascii="Palatino Linotype" w:hAnsi="Palatino Linotype"/>
        </w:rPr>
        <w:t>. La regla de la carga de la prueba despliega sus efectos cuando ya la fase probatoria se ha cerrado negativamente y el juzgador debe extraer las consecuencias jurídicas esa situación de insuficiencia probatoria. Es decir, la carga de la prueba entra en aplicación, como última ratio tras haberse evacuado la prueba de las partes y la prueba de oficio requerida por el juez (</w:t>
      </w:r>
      <w:r w:rsidRPr="00D66245">
        <w:rPr>
          <w:rFonts w:ascii="Palatino Linotype" w:hAnsi="Palatino Linotype"/>
          <w:lang w:val="es-ES"/>
        </w:rPr>
        <w:t>De Paula Ramos, 2018, p.52)</w:t>
      </w:r>
      <w:r w:rsidRPr="00D66245">
        <w:rPr>
          <w:rFonts w:ascii="Palatino Linotype" w:hAnsi="Palatino Linotype"/>
        </w:rPr>
        <w:t xml:space="preserve">. </w:t>
      </w:r>
    </w:p>
    <w:p w14:paraId="37BB4A9F" w14:textId="77777777" w:rsidR="008057F8" w:rsidRPr="00D66245" w:rsidRDefault="008057F8" w:rsidP="008057F8">
      <w:pPr>
        <w:pStyle w:val="Prrafodelista"/>
        <w:numPr>
          <w:ilvl w:val="1"/>
          <w:numId w:val="92"/>
        </w:numPr>
        <w:spacing w:before="120" w:after="200" w:line="240" w:lineRule="auto"/>
        <w:contextualSpacing w:val="0"/>
        <w:jc w:val="both"/>
        <w:rPr>
          <w:rFonts w:ascii="Palatino Linotype" w:hAnsi="Palatino Linotype"/>
          <w:b/>
        </w:rPr>
      </w:pPr>
      <w:r w:rsidRPr="00D66245">
        <w:rPr>
          <w:rFonts w:ascii="Palatino Linotype" w:hAnsi="Palatino Linotype"/>
          <w:b/>
        </w:rPr>
        <w:lastRenderedPageBreak/>
        <w:t xml:space="preserve"> Reglas de asignación o distribución de la carga de la prueba</w:t>
      </w:r>
    </w:p>
    <w:p w14:paraId="272A94D9"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Ahora bien, sobre la distribución de la carga de la prueba históricamente se ha buscado establecer una regla general que permita determinar qué hechos ha de probar cada una de las partes en el proceso</w:t>
      </w:r>
      <w:r w:rsidRPr="00D66245">
        <w:rPr>
          <w:rStyle w:val="Refdenotaalpie"/>
          <w:rFonts w:ascii="Palatino Linotype" w:hAnsi="Palatino Linotype"/>
        </w:rPr>
        <w:footnoteReference w:id="90"/>
      </w:r>
      <w:r w:rsidRPr="00D66245">
        <w:rPr>
          <w:rFonts w:ascii="Palatino Linotype" w:hAnsi="Palatino Linotype"/>
        </w:rPr>
        <w:t>, resumido en la pregunta ¿quién debe probar qué en cada situación? a fin de identificar quien asume el riesgo de la insuficiencia probatoria.</w:t>
      </w:r>
    </w:p>
    <w:p w14:paraId="279D0F91"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Uno de los criterios más difundidos y replicados en muchas legislaciones ha sido la clasificación de los hechos como punto definitorio. De esta suerte, en términos generales, al actor le corresponde probar los hechos constitutivos de los presupuestos de la norma en que se funda su pretensión y, en contraproposición, el demandado corre con la carga de probar los hechos impeditivos, extintivos y excluyentes que enerven la eficacia jurídica de los hechos constitutivos de la pretensión del actor.</w:t>
      </w:r>
      <w:r w:rsidRPr="00D66245">
        <w:rPr>
          <w:rStyle w:val="Refdenotaalpie"/>
          <w:rFonts w:ascii="Palatino Linotype" w:hAnsi="Palatino Linotype"/>
        </w:rPr>
        <w:footnoteReference w:id="91"/>
      </w:r>
      <w:r w:rsidRPr="00D66245">
        <w:rPr>
          <w:rFonts w:ascii="Palatino Linotype" w:hAnsi="Palatino Linotype"/>
        </w:rPr>
        <w:t xml:space="preserve">  </w:t>
      </w:r>
    </w:p>
    <w:p w14:paraId="4F6AF322"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 xml:space="preserve">Esta crítica ha sido analizada por diversos autores quienes han considerado que existen ciertas situaciones en las cuales la rigidez del </w:t>
      </w:r>
      <w:r w:rsidRPr="00D66245">
        <w:rPr>
          <w:rFonts w:ascii="Palatino Linotype" w:hAnsi="Palatino Linotype"/>
          <w:i/>
        </w:rPr>
        <w:t>onus probandi</w:t>
      </w:r>
      <w:r w:rsidRPr="00D66245">
        <w:rPr>
          <w:rFonts w:ascii="Palatino Linotype" w:hAnsi="Palatino Linotype"/>
        </w:rPr>
        <w:t xml:space="preserve"> puede conducir a la imposibilidad de probar, por lo que en la búsqueda de una mejor adecuación a la realidad surgen la necesidad de </w:t>
      </w:r>
      <w:r w:rsidRPr="00D66245">
        <w:rPr>
          <w:rFonts w:ascii="Palatino Linotype" w:hAnsi="Palatino Linotype"/>
        </w:rPr>
        <w:lastRenderedPageBreak/>
        <w:t>flexibilizar estas reglas de distribución probatoria bajo diversas modalidades, entre ellas la inversión de la prueba.</w:t>
      </w:r>
    </w:p>
    <w:p w14:paraId="54FE47CD" w14:textId="77777777" w:rsidR="008057F8" w:rsidRPr="00D66245" w:rsidRDefault="008057F8" w:rsidP="008057F8">
      <w:pPr>
        <w:pStyle w:val="Prrafodelista"/>
        <w:numPr>
          <w:ilvl w:val="1"/>
          <w:numId w:val="92"/>
        </w:numPr>
        <w:spacing w:before="120" w:after="200" w:line="360" w:lineRule="auto"/>
        <w:contextualSpacing w:val="0"/>
        <w:jc w:val="both"/>
        <w:rPr>
          <w:rFonts w:ascii="Palatino Linotype" w:hAnsi="Palatino Linotype"/>
          <w:b/>
        </w:rPr>
      </w:pPr>
      <w:r w:rsidRPr="00D66245">
        <w:rPr>
          <w:rFonts w:ascii="Palatino Linotype" w:hAnsi="Palatino Linotype"/>
          <w:b/>
        </w:rPr>
        <w:t xml:space="preserve"> Inversión de la carga de la prueba </w:t>
      </w:r>
    </w:p>
    <w:p w14:paraId="3A156541"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La expresión inversión de la carga de la prueba carece de contenido unívoco, no obstante, en términos generales podemos indicar que alude a la existencia de una norma que establece una distribución de la carga de la prueba diferente de la fijada en la norma o regla clásica, es decir, cuando se produce el efecto de modificar los criterios de distribución establecidos legalmente (Fernández, 2006, p.117)</w:t>
      </w:r>
      <w:r w:rsidRPr="00D66245">
        <w:rPr>
          <w:rStyle w:val="Refdenotaalpie"/>
          <w:rFonts w:ascii="Palatino Linotype" w:hAnsi="Palatino Linotype"/>
        </w:rPr>
        <w:footnoteReference w:id="92"/>
      </w:r>
      <w:r w:rsidRPr="00D66245">
        <w:rPr>
          <w:rFonts w:ascii="Palatino Linotype" w:hAnsi="Palatino Linotype"/>
        </w:rPr>
        <w:t>, y su efecto es que una de las partes queda exenta de probar un determinado hecho - que según la aplicación de las reglas clásicas de distribución le habría correspondido – y ahora le corresponderá dicha carga a la contraparte. El fundamento de esta figura está en la protección a la parte que se encuentra en una posición de dificultad probatoria del hecho alegado.</w:t>
      </w:r>
    </w:p>
    <w:p w14:paraId="61DA4A06" w14:textId="77777777" w:rsidR="008057F8" w:rsidRPr="00D66245" w:rsidRDefault="008057F8" w:rsidP="00BE6A34">
      <w:pPr>
        <w:pStyle w:val="Prrafodelista"/>
        <w:numPr>
          <w:ilvl w:val="1"/>
          <w:numId w:val="92"/>
        </w:numPr>
        <w:spacing w:after="0" w:line="240" w:lineRule="auto"/>
        <w:ind w:left="714" w:hanging="357"/>
        <w:contextualSpacing w:val="0"/>
        <w:jc w:val="both"/>
        <w:rPr>
          <w:rFonts w:ascii="Palatino Linotype" w:hAnsi="Palatino Linotype"/>
          <w:b/>
        </w:rPr>
      </w:pPr>
      <w:r w:rsidRPr="00D66245">
        <w:rPr>
          <w:rFonts w:ascii="Palatino Linotype" w:hAnsi="Palatino Linotype"/>
          <w:b/>
        </w:rPr>
        <w:t>Principios de disponibilidad y facilidad probatoria</w:t>
      </w:r>
    </w:p>
    <w:p w14:paraId="0E56B91A"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Bajo esta línea, se ha buscado flexibilizar o matizar la aplicación de la distribución de las reglas de la carga de la prueba a través de la aplicación de los denominados principios “correctores” de disponibilidad y facilidad probatoria. En ese sentido, lo que se busca es traer al proceso información relevante de quien no tiene incentivos para aportarla y evitar una situación de indefensión para quien no tiene facilidad y disponibilidad probatoria, sustentado en el deber de colaboración con la administración de justicia.</w:t>
      </w:r>
    </w:p>
    <w:p w14:paraId="3007C3A8" w14:textId="77777777" w:rsidR="008057F8" w:rsidRPr="00D66245" w:rsidRDefault="008057F8" w:rsidP="008057F8">
      <w:pPr>
        <w:pStyle w:val="Prrafodelista"/>
        <w:numPr>
          <w:ilvl w:val="0"/>
          <w:numId w:val="88"/>
        </w:numPr>
        <w:spacing w:before="120" w:after="200" w:line="360" w:lineRule="auto"/>
        <w:ind w:left="709"/>
        <w:contextualSpacing w:val="0"/>
        <w:jc w:val="both"/>
        <w:rPr>
          <w:rFonts w:ascii="Palatino Linotype" w:hAnsi="Palatino Linotype"/>
        </w:rPr>
      </w:pPr>
      <w:r w:rsidRPr="00D66245">
        <w:rPr>
          <w:rFonts w:ascii="Palatino Linotype" w:hAnsi="Palatino Linotype"/>
          <w:b/>
          <w:u w:val="single"/>
        </w:rPr>
        <w:t>Principio de disponibilidad probatoria</w:t>
      </w:r>
      <w:r w:rsidRPr="00D66245">
        <w:rPr>
          <w:rFonts w:ascii="Palatino Linotype" w:hAnsi="Palatino Linotype"/>
        </w:rPr>
        <w:t xml:space="preserve">: </w:t>
      </w:r>
    </w:p>
    <w:p w14:paraId="34E9DA20" w14:textId="77777777" w:rsidR="008057F8" w:rsidRPr="00D66245" w:rsidRDefault="008057F8" w:rsidP="008057F8">
      <w:pPr>
        <w:spacing w:before="120" w:after="200" w:line="240" w:lineRule="auto"/>
        <w:ind w:left="709"/>
        <w:jc w:val="both"/>
        <w:rPr>
          <w:rFonts w:ascii="Palatino Linotype" w:hAnsi="Palatino Linotype"/>
        </w:rPr>
      </w:pPr>
      <w:r w:rsidRPr="00D66245">
        <w:rPr>
          <w:rFonts w:ascii="Palatino Linotype" w:hAnsi="Palatino Linotype"/>
        </w:rPr>
        <w:t xml:space="preserve">Refiere a una situación de cercanía o contacto con la prueba. En palabras de Montero Aroca, la disponibilidad refiere a la proximidad de la parte con la fuente de prueba y esta puede ser material, por ejemplo la tenencia del documento, o intelectual como sería el conocimiento de la información (Montero, 2007, p.136). Para Fernández, tiene que ver con quién tiene en su poder la prueba </w:t>
      </w:r>
      <w:r w:rsidRPr="00D66245">
        <w:rPr>
          <w:rFonts w:ascii="Palatino Linotype" w:hAnsi="Palatino Linotype"/>
        </w:rPr>
        <w:lastRenderedPageBreak/>
        <w:t xml:space="preserve">necesaria para acreditar los hechos de la contraparte (Fernández, 2006, p.158). </w:t>
      </w:r>
    </w:p>
    <w:p w14:paraId="0A61CC27" w14:textId="77777777" w:rsidR="008057F8" w:rsidRPr="00D66245" w:rsidRDefault="008057F8" w:rsidP="008057F8">
      <w:pPr>
        <w:pStyle w:val="Prrafodelista"/>
        <w:numPr>
          <w:ilvl w:val="0"/>
          <w:numId w:val="88"/>
        </w:numPr>
        <w:spacing w:before="120" w:after="200" w:line="360" w:lineRule="auto"/>
        <w:ind w:left="709"/>
        <w:contextualSpacing w:val="0"/>
        <w:jc w:val="both"/>
        <w:rPr>
          <w:rFonts w:ascii="Palatino Linotype" w:hAnsi="Palatino Linotype"/>
        </w:rPr>
      </w:pPr>
      <w:r w:rsidRPr="00D66245">
        <w:rPr>
          <w:rFonts w:ascii="Palatino Linotype" w:hAnsi="Palatino Linotype"/>
          <w:b/>
          <w:u w:val="single"/>
        </w:rPr>
        <w:t>Principio de facilidad probatoria</w:t>
      </w:r>
      <w:r w:rsidRPr="00D66245">
        <w:rPr>
          <w:rFonts w:ascii="Palatino Linotype" w:hAnsi="Palatino Linotype"/>
        </w:rPr>
        <w:t>:</w:t>
      </w:r>
    </w:p>
    <w:p w14:paraId="64E1B56E" w14:textId="77777777" w:rsidR="008057F8" w:rsidRPr="00D66245" w:rsidRDefault="008057F8" w:rsidP="008057F8">
      <w:pPr>
        <w:spacing w:before="120" w:after="200" w:line="240" w:lineRule="auto"/>
        <w:ind w:left="709"/>
        <w:jc w:val="both"/>
        <w:rPr>
          <w:rFonts w:ascii="Palatino Linotype" w:hAnsi="Palatino Linotype"/>
        </w:rPr>
      </w:pPr>
      <w:r w:rsidRPr="00D66245">
        <w:rPr>
          <w:rFonts w:ascii="Palatino Linotype" w:hAnsi="Palatino Linotype"/>
        </w:rPr>
        <w:t>Su concepto es más amplio que el de disponibilidad, por lo que todos los casos de disponibilidad probatoria implican también facilidad, pero no todos los casos de facilidad corresponden a disponibilidad. Para Muñoz Sabaté, la parte se encuentra en una posición más fácil o menos gravosa para aportar la prueba por la relación con el hecho, para lo cual habrá que considerarse el comportamiento de la parte en el proceso, así como la buena fe procesal (Montero, 2007, p.135).</w:t>
      </w:r>
    </w:p>
    <w:p w14:paraId="41FA1ED1" w14:textId="77777777" w:rsidR="008057F8" w:rsidRPr="00D66245" w:rsidRDefault="008057F8" w:rsidP="008057F8">
      <w:pPr>
        <w:pStyle w:val="Prrafodelista"/>
        <w:numPr>
          <w:ilvl w:val="1"/>
          <w:numId w:val="92"/>
        </w:numPr>
        <w:spacing w:before="120" w:after="200" w:line="360" w:lineRule="auto"/>
        <w:contextualSpacing w:val="0"/>
        <w:jc w:val="both"/>
        <w:rPr>
          <w:rFonts w:ascii="Palatino Linotype" w:hAnsi="Palatino Linotype"/>
          <w:b/>
        </w:rPr>
      </w:pPr>
      <w:r w:rsidRPr="00D66245">
        <w:rPr>
          <w:rFonts w:ascii="Palatino Linotype" w:hAnsi="Palatino Linotype"/>
          <w:b/>
        </w:rPr>
        <w:t xml:space="preserve"> Carga probatoria dinámica.</w:t>
      </w:r>
    </w:p>
    <w:p w14:paraId="337D1A4F"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En 1978, Jorge Peyrano acuña la denominada doctrina de las cargas probatorias dinámicas (Peyrano, 2018, p.120) en la cual pretendía flexibilizar las reglas de distribución de las cargas probatorias ante circunstancias excepcionales. Bajo esta teoría, se deben considerar las reglas de la carga de la prueba en función de quién se encuentre en mejores condiciones para producirla, según las circunstancias del caso concreto. De esta forma, la doctrina busca sustentarse en la aplicación de los principios de solidaridad</w:t>
      </w:r>
      <w:r w:rsidRPr="00D66245">
        <w:rPr>
          <w:rStyle w:val="Refdenotaalpie"/>
          <w:rFonts w:ascii="Palatino Linotype" w:hAnsi="Palatino Linotype"/>
        </w:rPr>
        <w:footnoteReference w:id="93"/>
      </w:r>
      <w:r w:rsidRPr="00D66245">
        <w:rPr>
          <w:rFonts w:ascii="Palatino Linotype" w:hAnsi="Palatino Linotype"/>
        </w:rPr>
        <w:t>, deber de colaboración procesal de las partes</w:t>
      </w:r>
      <w:r w:rsidRPr="00D66245">
        <w:rPr>
          <w:rStyle w:val="Refdenotaalpie"/>
          <w:rFonts w:ascii="Palatino Linotype" w:hAnsi="Palatino Linotype"/>
        </w:rPr>
        <w:footnoteReference w:id="94"/>
      </w:r>
      <w:r w:rsidRPr="00D66245">
        <w:rPr>
          <w:rFonts w:ascii="Palatino Linotype" w:hAnsi="Palatino Linotype"/>
        </w:rPr>
        <w:t>, lealtad, probidad y buena fe, pero más aún, bajo la base epistémica de la búsqueda de la verdad sobre los hechos a través de un incentivo para traer información relevante al proceso, sin embargo, como analizaré, gran parte de la discusión refiere a si en realidad se trata de un incentivo eficiente para la prosecusión del fin buscado y su relación entre costo y beneficio.</w:t>
      </w:r>
    </w:p>
    <w:p w14:paraId="61670F21" w14:textId="77777777" w:rsidR="008057F8" w:rsidRPr="00D66245" w:rsidRDefault="008057F8" w:rsidP="008057F8">
      <w:pPr>
        <w:spacing w:before="120" w:after="200" w:line="240" w:lineRule="auto"/>
        <w:ind w:firstLine="360"/>
        <w:jc w:val="both"/>
        <w:rPr>
          <w:rFonts w:ascii="Palatino Linotype" w:hAnsi="Palatino Linotype"/>
          <w:i/>
        </w:rPr>
      </w:pPr>
      <w:r w:rsidRPr="00D66245">
        <w:rPr>
          <w:rFonts w:ascii="Palatino Linotype" w:hAnsi="Palatino Linotype"/>
        </w:rPr>
        <w:lastRenderedPageBreak/>
        <w:t>El padre la doctrina define la carga probatoria dinámica como “un desplazamiento del onus probando, según fueren las circunstancias del caso, en cuyo mérito aquél puede recaer, verbigracia, en cabeza de quien está en mejores condiciones técnicas, profesionales o fácticas para producirlas, más allá del emplazamiento como actor o demandado o de tratarse de hechos constitutivos, impeditivos, modificativos o extintivos” (Peyrano, a.2008, p.20)</w:t>
      </w:r>
      <w:r w:rsidRPr="00D66245">
        <w:rPr>
          <w:rFonts w:ascii="Palatino Linotype" w:hAnsi="Palatino Linotype"/>
          <w:i/>
        </w:rPr>
        <w:t>.</w:t>
      </w:r>
    </w:p>
    <w:p w14:paraId="49BC5B4D" w14:textId="77777777" w:rsidR="008057F8" w:rsidRPr="00D66245" w:rsidRDefault="008057F8" w:rsidP="008057F8">
      <w:pPr>
        <w:spacing w:before="120" w:after="200" w:line="240" w:lineRule="auto"/>
        <w:ind w:firstLine="360"/>
        <w:jc w:val="both"/>
        <w:rPr>
          <w:rFonts w:ascii="Palatino Linotype" w:hAnsi="Palatino Linotype"/>
          <w:i/>
        </w:rPr>
      </w:pPr>
      <w:r w:rsidRPr="00D66245">
        <w:rPr>
          <w:rFonts w:ascii="Palatino Linotype" w:hAnsi="Palatino Linotype"/>
        </w:rPr>
        <w:t>De lo anterior podemos señalar algunas consideraciones importantes</w:t>
      </w:r>
      <w:r w:rsidRPr="00D66245">
        <w:rPr>
          <w:rFonts w:ascii="Palatino Linotype" w:hAnsi="Palatino Linotype"/>
          <w:i/>
        </w:rPr>
        <w:t xml:space="preserve">: </w:t>
      </w:r>
    </w:p>
    <w:p w14:paraId="5A076B8B" w14:textId="77777777" w:rsidR="008057F8" w:rsidRPr="00D66245" w:rsidRDefault="008057F8" w:rsidP="008057F8">
      <w:pPr>
        <w:pStyle w:val="Prrafodelista"/>
        <w:numPr>
          <w:ilvl w:val="0"/>
          <w:numId w:val="91"/>
        </w:numPr>
        <w:spacing w:before="120" w:after="200" w:line="240" w:lineRule="auto"/>
        <w:contextualSpacing w:val="0"/>
        <w:jc w:val="both"/>
        <w:rPr>
          <w:rFonts w:ascii="Palatino Linotype" w:hAnsi="Palatino Linotype"/>
        </w:rPr>
      </w:pPr>
      <w:r w:rsidRPr="00D66245">
        <w:rPr>
          <w:rFonts w:ascii="Palatino Linotype" w:hAnsi="Palatino Linotype"/>
        </w:rPr>
        <w:t xml:space="preserve">Su uso es excepcional, en casos extremos. Procede sólo cuando la aplicación de las reglas clásicas generaría una consecuencia inconveniente e inicua. </w:t>
      </w:r>
    </w:p>
    <w:p w14:paraId="69B593C7" w14:textId="77777777" w:rsidR="008057F8" w:rsidRPr="00D66245" w:rsidRDefault="008057F8" w:rsidP="008057F8">
      <w:pPr>
        <w:pStyle w:val="Prrafodelista"/>
        <w:numPr>
          <w:ilvl w:val="0"/>
          <w:numId w:val="91"/>
        </w:numPr>
        <w:spacing w:before="120" w:after="200" w:line="240" w:lineRule="auto"/>
        <w:contextualSpacing w:val="0"/>
        <w:jc w:val="both"/>
        <w:rPr>
          <w:rFonts w:ascii="Palatino Linotype" w:hAnsi="Palatino Linotype"/>
        </w:rPr>
      </w:pPr>
      <w:r w:rsidRPr="00D66245">
        <w:rPr>
          <w:rFonts w:ascii="Palatino Linotype" w:hAnsi="Palatino Linotype"/>
        </w:rPr>
        <w:t>Aplica para supuestos de desigualdad trascendente en cuanto a las posibilidades probatorias.</w:t>
      </w:r>
      <w:r w:rsidRPr="00D66245">
        <w:rPr>
          <w:rStyle w:val="Refdenotaalpie"/>
          <w:rFonts w:ascii="Palatino Linotype" w:hAnsi="Palatino Linotype"/>
        </w:rPr>
        <w:footnoteReference w:id="95"/>
      </w:r>
    </w:p>
    <w:p w14:paraId="75F322CA" w14:textId="77777777" w:rsidR="008057F8" w:rsidRPr="00D66245" w:rsidRDefault="008057F8" w:rsidP="008057F8">
      <w:pPr>
        <w:pStyle w:val="Prrafodelista"/>
        <w:numPr>
          <w:ilvl w:val="0"/>
          <w:numId w:val="91"/>
        </w:numPr>
        <w:spacing w:before="120" w:after="200" w:line="240" w:lineRule="auto"/>
        <w:contextualSpacing w:val="0"/>
        <w:jc w:val="both"/>
        <w:rPr>
          <w:rFonts w:ascii="Palatino Linotype" w:hAnsi="Palatino Linotype"/>
          <w:lang w:val="es-ES"/>
        </w:rPr>
      </w:pPr>
      <w:r w:rsidRPr="00D66245">
        <w:rPr>
          <w:rFonts w:ascii="Palatino Linotype" w:hAnsi="Palatino Linotype"/>
        </w:rPr>
        <w:t xml:space="preserve">Se releva del </w:t>
      </w:r>
      <w:r w:rsidRPr="00D66245">
        <w:rPr>
          <w:rFonts w:ascii="Palatino Linotype" w:hAnsi="Palatino Linotype"/>
          <w:i/>
        </w:rPr>
        <w:t>onus probando</w:t>
      </w:r>
      <w:r w:rsidRPr="00D66245">
        <w:rPr>
          <w:rFonts w:ascii="Palatino Linotype" w:hAnsi="Palatino Linotype"/>
        </w:rPr>
        <w:t xml:space="preserve"> a la parte considerada como “débil” procesalmente y recae sobre la parte que está en mejores condiciones para producir la prueba. Estas mejores condiciones pueden ser técnicas, profesionales o fácticas.</w:t>
      </w:r>
      <w:r w:rsidRPr="00D66245">
        <w:rPr>
          <w:rStyle w:val="Refdenotaalpie"/>
          <w:rFonts w:ascii="Palatino Linotype" w:hAnsi="Palatino Linotype"/>
        </w:rPr>
        <w:footnoteReference w:id="96"/>
      </w:r>
    </w:p>
    <w:p w14:paraId="0B8A95FF" w14:textId="77777777" w:rsidR="008057F8" w:rsidRPr="00D66245" w:rsidRDefault="008057F8" w:rsidP="008057F8">
      <w:pPr>
        <w:pStyle w:val="Prrafodelista"/>
        <w:numPr>
          <w:ilvl w:val="0"/>
          <w:numId w:val="91"/>
        </w:numPr>
        <w:spacing w:before="120" w:after="200" w:line="240" w:lineRule="auto"/>
        <w:contextualSpacing w:val="0"/>
        <w:jc w:val="both"/>
        <w:rPr>
          <w:rFonts w:ascii="Palatino Linotype" w:hAnsi="Palatino Linotype"/>
        </w:rPr>
      </w:pPr>
      <w:r w:rsidRPr="00D66245">
        <w:rPr>
          <w:rFonts w:ascii="Palatino Linotype" w:hAnsi="Palatino Linotype"/>
        </w:rPr>
        <w:t>No implica desplazamiento completo de la carga de la prueba, sino sólo parcial. Ese desplazamiento es sobre determinados hechos o circunstancias y no de todo el material fáctico, por lo que se mantiene la carga de la prueba sobre lo restante (</w:t>
      </w:r>
      <w:r w:rsidRPr="00D66245">
        <w:rPr>
          <w:rFonts w:ascii="Palatino Linotype" w:hAnsi="Palatino Linotype"/>
          <w:lang w:val="es-ES"/>
        </w:rPr>
        <w:t>Peyrano, b.</w:t>
      </w:r>
      <w:r w:rsidRPr="00D66245">
        <w:rPr>
          <w:rFonts w:ascii="Palatino Linotype" w:hAnsi="Palatino Linotype"/>
        </w:rPr>
        <w:t>2008, p</w:t>
      </w:r>
      <w:r w:rsidRPr="00D66245">
        <w:rPr>
          <w:rFonts w:ascii="Palatino Linotype" w:hAnsi="Palatino Linotype"/>
          <w:lang w:val="es-ES"/>
        </w:rPr>
        <w:t>.95)</w:t>
      </w:r>
      <w:r w:rsidRPr="00D66245">
        <w:rPr>
          <w:rFonts w:ascii="Palatino Linotype" w:hAnsi="Palatino Linotype"/>
        </w:rPr>
        <w:t xml:space="preserve">. </w:t>
      </w:r>
    </w:p>
    <w:p w14:paraId="5EA91FCB" w14:textId="77777777" w:rsidR="008057F8" w:rsidRPr="00D66245" w:rsidRDefault="008057F8" w:rsidP="008057F8">
      <w:pPr>
        <w:pStyle w:val="Prrafodelista"/>
        <w:numPr>
          <w:ilvl w:val="0"/>
          <w:numId w:val="91"/>
        </w:numPr>
        <w:spacing w:before="120" w:after="200" w:line="240" w:lineRule="auto"/>
        <w:contextualSpacing w:val="0"/>
        <w:jc w:val="both"/>
        <w:rPr>
          <w:rFonts w:ascii="Palatino Linotype" w:hAnsi="Palatino Linotype"/>
        </w:rPr>
      </w:pPr>
      <w:r w:rsidRPr="00D66245">
        <w:rPr>
          <w:rFonts w:ascii="Palatino Linotype" w:hAnsi="Palatino Linotype"/>
        </w:rPr>
        <w:lastRenderedPageBreak/>
        <w:t>Como consecuencia de lo anterior, la doctrina de las cargas probatorias dinámicas no implica la desaplicación de las reglas clásicas de carga de la prueba ni su sustitución.</w:t>
      </w:r>
      <w:r w:rsidRPr="00D66245">
        <w:rPr>
          <w:rStyle w:val="Refdenotaalpie"/>
          <w:rFonts w:ascii="Palatino Linotype" w:hAnsi="Palatino Linotype"/>
          <w:i/>
        </w:rPr>
        <w:footnoteReference w:id="97"/>
      </w:r>
    </w:p>
    <w:p w14:paraId="354FD978" w14:textId="77777777" w:rsidR="008057F8" w:rsidRPr="00D66245" w:rsidRDefault="008057F8" w:rsidP="008057F8">
      <w:pPr>
        <w:spacing w:before="120" w:after="200" w:line="240" w:lineRule="auto"/>
        <w:ind w:firstLine="360"/>
        <w:jc w:val="both"/>
        <w:outlineLvl w:val="0"/>
        <w:rPr>
          <w:rFonts w:ascii="Palatino Linotype" w:hAnsi="Palatino Linotype"/>
        </w:rPr>
      </w:pPr>
      <w:r w:rsidRPr="00D66245">
        <w:rPr>
          <w:rFonts w:ascii="Palatino Linotype" w:hAnsi="Palatino Linotype"/>
        </w:rPr>
        <w:t xml:space="preserve">Si bien, esta inversión parcial de la carga de la prueba puede constituir un incentivo para traer información relevante al proceso, no resulta necesariamente eficiente. Tratándose de una carga jurídica, su cumplimiento resulta facultativo para la parte. Pero, además, bien puede la parte en mejores condiciones no aportar la prueba requerida y, en su lugar, presentar prueba contundente de descargo con lo que el juez, a pesar de la negativa de cooperación, no puede dejar de valorar la prueba en su conjunto y, si del resultado se infiere probado el hecho de la parte en mejores condiciones, así debe fallar. </w:t>
      </w:r>
    </w:p>
    <w:p w14:paraId="53569321" w14:textId="77777777" w:rsidR="008057F8" w:rsidRPr="00D66245" w:rsidRDefault="008057F8" w:rsidP="008057F8">
      <w:pPr>
        <w:spacing w:before="120" w:after="200" w:line="240" w:lineRule="auto"/>
        <w:ind w:firstLine="360"/>
        <w:jc w:val="both"/>
        <w:outlineLvl w:val="0"/>
        <w:rPr>
          <w:rFonts w:ascii="Palatino Linotype" w:hAnsi="Palatino Linotype"/>
        </w:rPr>
      </w:pPr>
      <w:r w:rsidRPr="00D66245">
        <w:rPr>
          <w:rFonts w:ascii="Palatino Linotype" w:hAnsi="Palatino Linotype"/>
        </w:rPr>
        <w:t xml:space="preserve">La doctrina postulada, no establece en su construcción en qué situaciones debe ser aplicada, sino que precisamente busca que sea el juzgador quien determine, dependiendo de las características y naturaleza propia del caso, su eventual aplicación. Pero más grave aún, no existe claridad sobre cuándo y cómo se aplicaría. Si bien, la doctrina no pretende ser una respuesta completa y cada ordenamiento que pretenda su adopción establecerá la forma para hacerlo, lo cierto es que su adopción encuentra importantes contradicciones con la doctrina y dificultades para su implementación. </w:t>
      </w:r>
    </w:p>
    <w:p w14:paraId="3B573E38"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 xml:space="preserve">Podríamos concluir que en aplicación de esta doctrina, las partes deben ofrecer toda la prueba que consideren para acreditar sus pretensiones. En ese sentido, la parte que requiera prueba en facilidad o disponibilidad de la contraria, deberá así solicitarlo desde los actos de alegación, sea con la interposición de la demanda, reconvención o contestación según sea el caso, a fin de que el juez valore la solicitud y en caso de considerar procedente, realice el requerimiento formal a la otra parte. Ello genera tres consecuencias: </w:t>
      </w:r>
    </w:p>
    <w:p w14:paraId="1CFAAD08" w14:textId="77777777" w:rsidR="008057F8" w:rsidRPr="00D66245" w:rsidRDefault="008057F8" w:rsidP="008057F8">
      <w:pPr>
        <w:pStyle w:val="Prrafodelista"/>
        <w:numPr>
          <w:ilvl w:val="0"/>
          <w:numId w:val="93"/>
        </w:numPr>
        <w:spacing w:before="120" w:after="200" w:line="240" w:lineRule="auto"/>
        <w:contextualSpacing w:val="0"/>
        <w:jc w:val="both"/>
        <w:rPr>
          <w:rFonts w:ascii="Palatino Linotype" w:hAnsi="Palatino Linotype"/>
        </w:rPr>
      </w:pPr>
      <w:r w:rsidRPr="00D66245">
        <w:rPr>
          <w:rFonts w:ascii="Palatino Linotype" w:hAnsi="Palatino Linotype"/>
        </w:rPr>
        <w:t xml:space="preserve">La parte procesalmente “débil” debe realizar un cierto esfuerzo probatorio, que justifique que no se encuentra en condición de facilidad y disponibilidad probatoria, y que ello no obedece a </w:t>
      </w:r>
      <w:r w:rsidRPr="00D66245">
        <w:rPr>
          <w:rFonts w:ascii="Palatino Linotype" w:hAnsi="Palatino Linotype"/>
        </w:rPr>
        <w:lastRenderedPageBreak/>
        <w:t>negligencia probatoria y, por otra parte, que la contraria efectivamente este en mejores condiciones de probar.</w:t>
      </w:r>
    </w:p>
    <w:p w14:paraId="57CCD8B5" w14:textId="77777777" w:rsidR="008057F8" w:rsidRPr="00D66245" w:rsidRDefault="008057F8" w:rsidP="008057F8">
      <w:pPr>
        <w:pStyle w:val="Prrafodelista"/>
        <w:numPr>
          <w:ilvl w:val="0"/>
          <w:numId w:val="93"/>
        </w:numPr>
        <w:spacing w:before="120" w:after="200" w:line="240" w:lineRule="auto"/>
        <w:contextualSpacing w:val="0"/>
        <w:jc w:val="both"/>
        <w:rPr>
          <w:rFonts w:ascii="Palatino Linotype" w:hAnsi="Palatino Linotype"/>
        </w:rPr>
      </w:pPr>
      <w:r w:rsidRPr="00D66245">
        <w:rPr>
          <w:rFonts w:ascii="Palatino Linotype" w:hAnsi="Palatino Linotype"/>
        </w:rPr>
        <w:t>La solucitud de prueba en razón de la facilidad probatoria no debe implicar un otorgamiento automático por parte del juez. Es necesario verificar que la propia parte no se haya colocado en esa situación o no responda a una negligencia de su parte.</w:t>
      </w:r>
    </w:p>
    <w:p w14:paraId="68A2788F" w14:textId="77777777" w:rsidR="008057F8" w:rsidRPr="00D66245" w:rsidRDefault="008057F8" w:rsidP="008057F8">
      <w:pPr>
        <w:pStyle w:val="Prrafodelista"/>
        <w:numPr>
          <w:ilvl w:val="0"/>
          <w:numId w:val="93"/>
        </w:numPr>
        <w:spacing w:before="120" w:after="200" w:line="240" w:lineRule="auto"/>
        <w:contextualSpacing w:val="0"/>
        <w:jc w:val="both"/>
        <w:rPr>
          <w:rFonts w:ascii="Palatino Linotype" w:hAnsi="Palatino Linotype"/>
          <w:lang w:val="es-ES"/>
        </w:rPr>
      </w:pPr>
      <w:r w:rsidRPr="00D66245">
        <w:rPr>
          <w:rFonts w:ascii="Palatino Linotype" w:hAnsi="Palatino Linotype"/>
        </w:rPr>
        <w:t xml:space="preserve">Es indispensable que la parte en mejores condiciones pueda manifestarse sobre su efectiva condición respecto de la prueba requerida (sea porque no esta en mejores condiciones o se encuentra igualmente imposibilitada, por ejemplo) y poder aportar la prueba de descargo en caso de que el requerimiento sea de oficio en una etapa posterior del ofrecimiento de pruebas. Lo anterior es de vital importancia a fin de que se evite general </w:t>
      </w:r>
      <w:r w:rsidRPr="00D66245">
        <w:rPr>
          <w:rFonts w:ascii="Palatino Linotype" w:hAnsi="Palatino Linotype"/>
          <w:lang w:val="es-ES"/>
        </w:rPr>
        <w:t>un incentivo perverso a la parte probatoriamente negligente.</w:t>
      </w:r>
    </w:p>
    <w:p w14:paraId="33396D0D"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Por otra parte, no es correcto afirmar como erróneamente varios autores</w:t>
      </w:r>
      <w:r w:rsidRPr="00D66245">
        <w:rPr>
          <w:rStyle w:val="Refdenotaalpie"/>
          <w:rFonts w:ascii="Palatino Linotype" w:hAnsi="Palatino Linotype"/>
        </w:rPr>
        <w:footnoteReference w:id="98"/>
      </w:r>
      <w:r w:rsidRPr="00D66245">
        <w:rPr>
          <w:rFonts w:ascii="Palatino Linotype" w:hAnsi="Palatino Linotype"/>
        </w:rPr>
        <w:t xml:space="preserve"> sostienen que la no aportación de las pruebas según la mejor disponibilidad probatoria acarrea la consecuencia automática de una sentencia en contra, ya que por un lado, resulta absolutamente desproporcionado e igualmente injusto cargar con todo el peso probatorio en una sóla de las partes, pero además, porque aun aceptando la aplicación de esta doctrina, la carga dinámica aplicará respecto de ciertos hechos, no de todo el cuadro fáctico y en aquellos casos de insuficiencia probatoria con fundamento en los deberes propios del juez y el principio de adquisición procesal deberá analizar el resto del material probatorio existente en el caso.</w:t>
      </w:r>
    </w:p>
    <w:p w14:paraId="3D19566D" w14:textId="77777777" w:rsidR="008057F8" w:rsidRPr="00D66245" w:rsidRDefault="008057F8" w:rsidP="00BE4897">
      <w:pPr>
        <w:spacing w:before="120" w:after="200" w:line="240" w:lineRule="auto"/>
        <w:ind w:right="-5" w:firstLine="360"/>
        <w:jc w:val="both"/>
        <w:rPr>
          <w:rFonts w:ascii="Palatino Linotype" w:hAnsi="Palatino Linotype"/>
        </w:rPr>
      </w:pPr>
      <w:r w:rsidRPr="00D66245">
        <w:rPr>
          <w:rFonts w:ascii="Palatino Linotype" w:hAnsi="Palatino Linotype"/>
        </w:rPr>
        <w:t>Si aceptamos que la carga de la prueba es una herramienta para el juez en aquellos casos donde exista incertidumbre sobre la existencia o no de un hecho, la simple aportación de prueba como deber de cooperación, no guarda relación con la aplicación de las consecuencias de insufiencia probatoria, implicando una inversión casuística de la carga de la prueba a menos que se considere como una sanción directa, pero en este caso, no correspondería a un tema de razonamiento probatorio.</w:t>
      </w:r>
    </w:p>
    <w:p w14:paraId="1015711D" w14:textId="77777777" w:rsidR="008057F8" w:rsidRPr="00D66245" w:rsidRDefault="008057F8" w:rsidP="008057F8">
      <w:pPr>
        <w:pStyle w:val="Prrafodelista"/>
        <w:numPr>
          <w:ilvl w:val="0"/>
          <w:numId w:val="92"/>
        </w:numPr>
        <w:spacing w:before="120" w:after="200" w:line="240" w:lineRule="auto"/>
        <w:contextualSpacing w:val="0"/>
        <w:jc w:val="both"/>
        <w:outlineLvl w:val="0"/>
        <w:rPr>
          <w:rFonts w:ascii="Palatino Linotype" w:hAnsi="Palatino Linotype"/>
          <w:b/>
          <w:lang w:val="es-ES"/>
        </w:rPr>
      </w:pPr>
      <w:r w:rsidRPr="00D66245">
        <w:rPr>
          <w:rFonts w:ascii="Palatino Linotype" w:hAnsi="Palatino Linotype"/>
          <w:b/>
        </w:rPr>
        <w:lastRenderedPageBreak/>
        <w:t xml:space="preserve">Análisis de la nueva regulación de la </w:t>
      </w:r>
      <w:r w:rsidRPr="00D66245">
        <w:rPr>
          <w:rFonts w:ascii="Palatino Linotype" w:hAnsi="Palatino Linotype"/>
          <w:b/>
          <w:lang w:val="es-ES"/>
        </w:rPr>
        <w:t>carga de la prueba en el CPC costarricense</w:t>
      </w:r>
    </w:p>
    <w:p w14:paraId="21A10D06" w14:textId="77777777" w:rsidR="008057F8" w:rsidRPr="00D66245" w:rsidRDefault="008057F8" w:rsidP="008057F8">
      <w:pPr>
        <w:pStyle w:val="Prrafodelista"/>
        <w:numPr>
          <w:ilvl w:val="1"/>
          <w:numId w:val="92"/>
        </w:numPr>
        <w:spacing w:before="120" w:after="200" w:line="240" w:lineRule="auto"/>
        <w:contextualSpacing w:val="0"/>
        <w:jc w:val="both"/>
        <w:outlineLvl w:val="0"/>
        <w:rPr>
          <w:rFonts w:ascii="Palatino Linotype" w:hAnsi="Palatino Linotype"/>
        </w:rPr>
      </w:pPr>
      <w:r w:rsidRPr="00D66245">
        <w:rPr>
          <w:rFonts w:ascii="Palatino Linotype" w:hAnsi="Palatino Linotype"/>
          <w:b/>
          <w:lang w:val="es-ES"/>
        </w:rPr>
        <w:t xml:space="preserve"> Principales cambios introducidos por el CPC respecto de la carga de la prueba </w:t>
      </w:r>
    </w:p>
    <w:p w14:paraId="3A7D6E74"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En 1998 se puso en evidencia la necesidad de reformar la justicia civil costarricense a fin de modernizar el proceso civil y solventar los problemas prácticos existentes, particularmente, la mora judicial. Para ello se integraron varias comisiones de las cuales derivaron en diversos anteproyectos, pero no fue hasta el 03 de febrero de 2016 cuando finalmente se aprobó el nuevo CPC</w:t>
      </w:r>
      <w:r w:rsidRPr="00D66245">
        <w:rPr>
          <w:rStyle w:val="Refdenotaalpie"/>
          <w:rFonts w:ascii="Palatino Linotype" w:hAnsi="Palatino Linotype"/>
        </w:rPr>
        <w:footnoteReference w:id="99"/>
      </w:r>
      <w:r w:rsidRPr="00D66245">
        <w:rPr>
          <w:rFonts w:ascii="Palatino Linotype" w:hAnsi="Palatino Linotype"/>
        </w:rPr>
        <w:t xml:space="preserve">, el cual propuso la introducción de la oralidad, mayor celeridad y una búsqueda del efectivo cumplimiento de los deberes procesales de las partes y el juez, entre otras. </w:t>
      </w:r>
    </w:p>
    <w:p w14:paraId="790338B8"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Para efectos del diseño de dicha normativa se tomó como base el Código Procesal Modelo para Iberoamérica, el Código Modelo de Procesos Colectivos para Iberoamérica, el Código General del Proceso de Uruguay, la Ley de Enjuiciamiento Civil de España 1/2000, el Código de Proceso de Brasil, el Código Procesal Civil Alemán, el proyecto de Código Procesal Civil de El Salvador; el proyecto de Código Procesal Civil de Honduras y el proyecto de Código Laboral (Exposición de motivos del Código Procesal Civil, p.13-14.).</w:t>
      </w:r>
    </w:p>
    <w:p w14:paraId="0BA3F038" w14:textId="77777777" w:rsidR="008057F8" w:rsidRPr="00D66245" w:rsidRDefault="008057F8" w:rsidP="008057F8">
      <w:pPr>
        <w:spacing w:before="120" w:after="200" w:line="240" w:lineRule="auto"/>
        <w:ind w:firstLine="567"/>
        <w:jc w:val="both"/>
        <w:rPr>
          <w:rFonts w:ascii="Palatino Linotype" w:hAnsi="Palatino Linotype"/>
        </w:rPr>
      </w:pPr>
      <w:r w:rsidRPr="00D66245">
        <w:rPr>
          <w:rFonts w:ascii="Palatino Linotype" w:hAnsi="Palatino Linotype"/>
        </w:rPr>
        <w:t>Sobre el tema de la carga de la prueba, el CPC introduce una serie de cambios y novedades. El</w:t>
      </w:r>
      <w:r w:rsidRPr="00D66245">
        <w:rPr>
          <w:rFonts w:ascii="Palatino Linotype" w:hAnsi="Palatino Linotype"/>
          <w:bCs/>
        </w:rPr>
        <w:t xml:space="preserve"> artículo 41.1 mantiene incólume la regla clásica de distribución que estaba regulada en el CPC derogado</w:t>
      </w:r>
      <w:r w:rsidRPr="00D66245">
        <w:rPr>
          <w:rStyle w:val="Refdenotaalpie"/>
          <w:rFonts w:ascii="Palatino Linotype" w:hAnsi="Palatino Linotype"/>
          <w:bCs/>
        </w:rPr>
        <w:footnoteReference w:id="100"/>
      </w:r>
      <w:r w:rsidRPr="00D66245">
        <w:rPr>
          <w:rFonts w:ascii="Palatino Linotype" w:hAnsi="Palatino Linotype"/>
          <w:bCs/>
        </w:rPr>
        <w:t xml:space="preserve">, en virtud de </w:t>
      </w:r>
      <w:r w:rsidRPr="00D66245">
        <w:rPr>
          <w:rFonts w:ascii="Palatino Linotype" w:hAnsi="Palatino Linotype"/>
        </w:rPr>
        <w:t xml:space="preserve">la cual incumbe la carga de la prueba: i) a quien formule una pretensión, respecto de los hechos constitutivos de su derecho y ii) a quien se oponga a una pretensión, en cuanto a los hechos impeditivos, modificativos o extintivos del derecho del actor, pero además, en esta nueva normativa se adiciona: </w:t>
      </w:r>
    </w:p>
    <w:p w14:paraId="2B43541C" w14:textId="6832A1EB" w:rsidR="008057F8" w:rsidRPr="00D66245" w:rsidRDefault="008057F8" w:rsidP="008057F8">
      <w:pPr>
        <w:spacing w:before="120" w:after="200" w:line="240" w:lineRule="auto"/>
        <w:ind w:left="567" w:right="615"/>
        <w:jc w:val="both"/>
        <w:rPr>
          <w:rFonts w:ascii="Palatino Linotype" w:hAnsi="Palatino Linotype"/>
          <w:i/>
        </w:rPr>
      </w:pPr>
      <w:r w:rsidRPr="00D66245">
        <w:rPr>
          <w:rFonts w:ascii="Palatino Linotype" w:hAnsi="Palatino Linotype"/>
          <w:i/>
        </w:rPr>
        <w:t xml:space="preserve">“Para la aplicación de lo dispuesto en los incisos anteriores de este artículo, se deberá tener presente la disponibilidad y facilidad probatoria que corresponde a cada una de las partes, de acuerdo con la naturaleza de lo debatido. Las normas precedentes se aplicarán siempre </w:t>
      </w:r>
      <w:r w:rsidRPr="00D66245">
        <w:rPr>
          <w:rFonts w:ascii="Palatino Linotype" w:hAnsi="Palatino Linotype"/>
          <w:i/>
        </w:rPr>
        <w:lastRenderedPageBreak/>
        <w:t>que una disposición legal expresa no distribuya con criterios especiales la carga de la prueba”.</w:t>
      </w:r>
    </w:p>
    <w:p w14:paraId="50FE7FC0" w14:textId="77777777" w:rsidR="008057F8" w:rsidRPr="00D66245" w:rsidRDefault="008057F8" w:rsidP="008057F8">
      <w:pPr>
        <w:pStyle w:val="Prrafodelista"/>
        <w:numPr>
          <w:ilvl w:val="1"/>
          <w:numId w:val="92"/>
        </w:numPr>
        <w:spacing w:before="120" w:after="200" w:line="240" w:lineRule="auto"/>
        <w:contextualSpacing w:val="0"/>
        <w:jc w:val="both"/>
        <w:outlineLvl w:val="0"/>
        <w:rPr>
          <w:rFonts w:ascii="Palatino Linotype" w:hAnsi="Palatino Linotype"/>
          <w:b/>
        </w:rPr>
      </w:pPr>
      <w:r w:rsidRPr="00D66245">
        <w:rPr>
          <w:rFonts w:ascii="Palatino Linotype" w:hAnsi="Palatino Linotype"/>
          <w:b/>
        </w:rPr>
        <w:t xml:space="preserve"> Algunas críticas a la reforma de la carga de la prueba en el CPC y sus implicaciones.</w:t>
      </w:r>
    </w:p>
    <w:p w14:paraId="4E77D0D3" w14:textId="77777777" w:rsidR="008057F8" w:rsidRPr="00D66245" w:rsidRDefault="008057F8" w:rsidP="008057F8">
      <w:pPr>
        <w:spacing w:before="120" w:after="200" w:line="240" w:lineRule="auto"/>
        <w:ind w:firstLine="360"/>
        <w:jc w:val="both"/>
        <w:outlineLvl w:val="0"/>
        <w:rPr>
          <w:rFonts w:ascii="Palatino Linotype" w:hAnsi="Palatino Linotype"/>
        </w:rPr>
      </w:pPr>
      <w:r w:rsidRPr="00D66245">
        <w:rPr>
          <w:rFonts w:ascii="Palatino Linotype" w:hAnsi="Palatino Linotype"/>
        </w:rPr>
        <w:t xml:space="preserve">Tal como analizamos supra, la carga de la prueba corresponde a una herramienta dirigida al juez para decidir aquellos casos donde exista insuficiencia probatoria. A lo largo del tiempo se trató la conocida dimensión subjetiva de la carga como una derivación indirecta de la regla de juicio, sin embargo, comparto con Ferrer que se debe prescindir de la noción de la carga de la prueba subjetiva (Ferrer, 2018, p.143), ya que efectivamente las dos dimensiones que se ha asignado a la carga de la prueba corresponden a temas completamente diferentes. </w:t>
      </w:r>
    </w:p>
    <w:p w14:paraId="659313F4" w14:textId="77777777" w:rsidR="008057F8" w:rsidRPr="00D66245" w:rsidRDefault="008057F8" w:rsidP="008057F8">
      <w:pPr>
        <w:spacing w:before="120" w:after="200" w:line="240" w:lineRule="auto"/>
        <w:ind w:firstLine="360"/>
        <w:jc w:val="both"/>
        <w:outlineLvl w:val="0"/>
        <w:rPr>
          <w:rFonts w:ascii="Palatino Linotype" w:hAnsi="Palatino Linotype"/>
        </w:rPr>
      </w:pPr>
      <w:r w:rsidRPr="00D66245">
        <w:rPr>
          <w:rFonts w:ascii="Palatino Linotype" w:hAnsi="Palatino Linotype"/>
        </w:rPr>
        <w:t>La dimensión objetiva evoca a una regla de decisión que establece quién pierde si hay insuficiencia probatoria. Incluso, cuando se dinamiza, lo único que se hace es decirle a quien se ha considerado que tiene facilidad probatoria que pierde el caso por no haber presentado pruebas suficientes, vinculadas con la pretensión. Por su parte, la dimensión subjetiva refiere a una regla de instrucción o regla técnica, es decir, en realidad corresponde a determinar los hechos que debe -en sentido no estricto- probar la parte si desea obtener un resultado favorable en el proceso, sin embargo, ello pierde fuerza con el principio de adquisición procesal bajo el cual resulta irrelevante quien aporte las pruebas al proceso. La corroboración de una hipótesis fáctica no tiene necesariamente una relación directa y automática con la actividad desplegada por las partes. En ese sentido,</w:t>
      </w:r>
      <w:r w:rsidRPr="00D66245">
        <w:rPr>
          <w:rFonts w:ascii="Palatino Linotype" w:hAnsi="Palatino Linotype"/>
          <w:i/>
        </w:rPr>
        <w:t xml:space="preserve"> </w:t>
      </w:r>
      <w:r w:rsidRPr="00D66245">
        <w:rPr>
          <w:rFonts w:ascii="Palatino Linotype" w:hAnsi="Palatino Linotype"/>
        </w:rPr>
        <w:t>la carga de la prueba no tiene la función de disciplinar la conducta de las partes, sino la de orientar la decisión del juez (De Paula Ramos, 2018, p.99).</w:t>
      </w:r>
    </w:p>
    <w:p w14:paraId="567167A8" w14:textId="77777777" w:rsidR="008057F8" w:rsidRPr="00D66245" w:rsidRDefault="008057F8" w:rsidP="008057F8">
      <w:pPr>
        <w:spacing w:before="120" w:after="200" w:line="240" w:lineRule="auto"/>
        <w:ind w:firstLine="426"/>
        <w:jc w:val="both"/>
        <w:outlineLvl w:val="0"/>
        <w:rPr>
          <w:rFonts w:ascii="Palatino Linotype" w:hAnsi="Palatino Linotype"/>
        </w:rPr>
      </w:pPr>
      <w:r w:rsidRPr="00D66245">
        <w:rPr>
          <w:rFonts w:ascii="Palatino Linotype" w:hAnsi="Palatino Linotype"/>
        </w:rPr>
        <w:t>En Costa Rica, se suele dar gran énfasis a la dimensión subjetiva, inclusive definir la carga a partir de ella vinculando así la construcción de la teoría del caso y estrategia procesal. Esto se ve reflejado en el análisis y eventual tratamiento de la facilidad y disponibilidad probatoria. El problema al que nos enfrentamos al abordar el artículo 41.1 del CPC es que la norma es poco precisa, no solo respecto del momento de su aplicación sino, además, sobre su efecto jurídico. En ese sentido, surge la interrogante si lo establecido sobre la facilidad y disponibilidad probatoria corresponde a carga dinámica de la prueba o, por el contrario, refiere a otra figura jurídica.</w:t>
      </w:r>
    </w:p>
    <w:p w14:paraId="57A28713" w14:textId="77777777" w:rsidR="008057F8" w:rsidRPr="00D66245" w:rsidRDefault="008057F8" w:rsidP="008057F8">
      <w:pPr>
        <w:spacing w:before="120" w:after="200" w:line="240" w:lineRule="auto"/>
        <w:ind w:firstLine="426"/>
        <w:jc w:val="both"/>
        <w:outlineLvl w:val="0"/>
        <w:rPr>
          <w:rFonts w:ascii="Palatino Linotype" w:hAnsi="Palatino Linotype"/>
        </w:rPr>
      </w:pPr>
      <w:r w:rsidRPr="00D66245">
        <w:rPr>
          <w:rFonts w:ascii="Palatino Linotype" w:hAnsi="Palatino Linotype"/>
        </w:rPr>
        <w:lastRenderedPageBreak/>
        <w:t xml:space="preserve">El artículo referido establece en los incisos uno y dos el criterio clásico de distribución de la carga probatoria el cual lleva implicita la regla de juicio, es decir, a la luz de la doctrina en caso de que exista insuficiencia probatoria el juez deberá determinar a quién atribuye el riesgo de pérdida del proceso. Ahora bien, el párrafo tercero de la norma citada establece que a la hora de considerar la distribución de la carga de la prueba el juez tomará en consideración esa facilidad y disponibilidad probatoria, con lo que no parecería ser solo un deber de aportación sino que tiene incidencia directa en el tema de la carga de la prueba, entendido como quién asume las consecuencias negativas de la insuficiencia probatoria. Es decir, de un análisis integral de la normativa, se hace una remisión directa a la noción de carga dinámica de la prueba ya que bajo la redacción de la propia norma flexibiliza la eventual aplicación de los criterios de distribución probatoria en función de la mejor condición respecto de la prueba que pueda tener una de las partes. </w:t>
      </w:r>
    </w:p>
    <w:p w14:paraId="1124C516" w14:textId="77777777" w:rsidR="008057F8" w:rsidRPr="00D66245" w:rsidRDefault="008057F8" w:rsidP="008057F8">
      <w:pPr>
        <w:spacing w:before="120" w:after="200" w:line="240" w:lineRule="auto"/>
        <w:ind w:firstLine="426"/>
        <w:jc w:val="both"/>
        <w:outlineLvl w:val="0"/>
        <w:rPr>
          <w:rFonts w:ascii="Palatino Linotype" w:hAnsi="Palatino Linotype"/>
        </w:rPr>
      </w:pPr>
      <w:r w:rsidRPr="00D66245">
        <w:rPr>
          <w:rFonts w:ascii="Palatino Linotype" w:hAnsi="Palatino Linotype"/>
        </w:rPr>
        <w:t>La pregunta que se plantea ante la imprecisión de la norma es si con la adopción de la carga de la prueba como inversión parcial, dicha transferencia de la carga de una parte a la otra, implicaría que el demandado debe demostrar los hechos impeditivos, modificativos y extintivos - lo que no implicaría variacion alguna a las reglas clásicas de distribución de la carga- y aportar la prueba que le requiera la contraparte o si, por el contrario, también debe probar los hechos constitutivos del actor, exonerándose de probar ciertos hechos en virtud del desplazamiento probatorio.</w:t>
      </w:r>
    </w:p>
    <w:p w14:paraId="4AA9A705" w14:textId="77777777" w:rsidR="008057F8" w:rsidRPr="00D66245" w:rsidRDefault="008057F8" w:rsidP="008057F8">
      <w:pPr>
        <w:spacing w:before="120" w:after="200" w:line="240" w:lineRule="auto"/>
        <w:ind w:firstLine="426"/>
        <w:jc w:val="both"/>
        <w:rPr>
          <w:rFonts w:ascii="Palatino Linotype" w:hAnsi="Palatino Linotype"/>
        </w:rPr>
      </w:pPr>
      <w:r w:rsidRPr="00D66245">
        <w:rPr>
          <w:rFonts w:ascii="Palatino Linotype" w:hAnsi="Palatino Linotype"/>
        </w:rPr>
        <w:t xml:space="preserve">Uno de los aspectos conflictivos de la carga dinámica de la prueba es que entremezcla el deber de aportación con la carga probatoria. Bajo la regla clásica es el actor quien debe acreditar el hecho contstitutivo, pero quien pierde el proceso si no se lleva la prueba de ese hecho es dicha parte. Ahora bien, teniendo en cuenta la facilidad y disponibilidad probatoria, la gran duda que surge es si ello se traduce en un deber de aportación de la prueba a la parte que se encuentre en mejores condiciones o si por el contrario, va más allá, endilgándose además la carga de probar. </w:t>
      </w:r>
    </w:p>
    <w:p w14:paraId="69795656" w14:textId="77777777" w:rsidR="008057F8" w:rsidRPr="00D66245" w:rsidRDefault="008057F8" w:rsidP="008057F8">
      <w:pPr>
        <w:spacing w:before="120" w:after="200" w:line="240" w:lineRule="auto"/>
        <w:ind w:firstLine="426"/>
        <w:jc w:val="both"/>
        <w:rPr>
          <w:rFonts w:ascii="Palatino Linotype" w:hAnsi="Palatino Linotype"/>
        </w:rPr>
      </w:pPr>
      <w:r w:rsidRPr="00D66245">
        <w:rPr>
          <w:rFonts w:ascii="Palatino Linotype" w:hAnsi="Palatino Linotype"/>
        </w:rPr>
        <w:t xml:space="preserve">Si se trata como deber de aportación, por regla clásica de la carga de la prueba corresponde a la parte que alege hacer llegar al proceso el material probatorio. Pensemos en la actora probatoriamente “débil”, será ella quien eventualmente perdería su pretensión vinculada al hecho que resulte con </w:t>
      </w:r>
      <w:r w:rsidRPr="00D66245">
        <w:rPr>
          <w:rFonts w:ascii="Palatino Linotype" w:hAnsi="Palatino Linotype"/>
        </w:rPr>
        <w:lastRenderedPageBreak/>
        <w:t xml:space="preserve">insuficiencia probatoria, pero bajo la facilidad y disponibilidad será la parte contraria la que deba traer al proceso la prueba. Si dicha parte se niega o no cumple con la aportación requerida de traer determinada prueba al proceso no tendría ninguna consecuencia como carga de la prueba, sino sólo como sanción por faltar a su deber de cooperación. </w:t>
      </w:r>
    </w:p>
    <w:p w14:paraId="6EF2142E" w14:textId="77777777" w:rsidR="008057F8" w:rsidRPr="00D66245" w:rsidRDefault="008057F8" w:rsidP="008057F8">
      <w:pPr>
        <w:spacing w:before="120" w:after="200" w:line="240" w:lineRule="auto"/>
        <w:ind w:firstLine="426"/>
        <w:jc w:val="both"/>
        <w:rPr>
          <w:rFonts w:ascii="Palatino Linotype" w:hAnsi="Palatino Linotype"/>
        </w:rPr>
      </w:pPr>
      <w:r w:rsidRPr="00D66245">
        <w:rPr>
          <w:rFonts w:ascii="Palatino Linotype" w:hAnsi="Palatino Linotype"/>
        </w:rPr>
        <w:t>Como señala Ferrer, bajo la carga dinámica de la prueba si no se trae al proceso la prueba requerida y no hay prueba suficiente pierde la parte requerida. Por su parte, bajo las reglas clásicas del carga de la prueba, si la parte requerida cumple con su deber de aportación, y aun así no hay prueba suficiente sobre el hecho pretendido por la parte probatoriamente “débil”, será esta quien pierde</w:t>
      </w:r>
      <w:r w:rsidRPr="00D66245">
        <w:rPr>
          <w:rStyle w:val="Refdenotaalpie"/>
          <w:rFonts w:ascii="Palatino Linotype" w:hAnsi="Palatino Linotype"/>
        </w:rPr>
        <w:footnoteReference w:id="101"/>
      </w:r>
      <w:r w:rsidRPr="00D66245">
        <w:rPr>
          <w:rFonts w:ascii="Palatino Linotype" w:hAnsi="Palatino Linotype"/>
        </w:rPr>
        <w:t xml:space="preserve">, sin trasladarse las consecuencias de su carga a la parte contraria. </w:t>
      </w:r>
    </w:p>
    <w:p w14:paraId="57FD1AFA" w14:textId="77777777" w:rsidR="008057F8" w:rsidRPr="00D66245" w:rsidRDefault="008057F8" w:rsidP="008057F8">
      <w:pPr>
        <w:spacing w:before="120" w:after="200" w:line="240" w:lineRule="auto"/>
        <w:ind w:firstLine="426"/>
        <w:jc w:val="both"/>
        <w:rPr>
          <w:rFonts w:ascii="Palatino Linotype" w:hAnsi="Palatino Linotype"/>
        </w:rPr>
      </w:pPr>
      <w:r w:rsidRPr="00D66245">
        <w:rPr>
          <w:rFonts w:ascii="Palatino Linotype" w:hAnsi="Palatino Linotype"/>
        </w:rPr>
        <w:t>En el caso del CPC, dicha sanción será la posibilidad de que eventualemente se tenga por cierto su dicho cuando lo que se requiera es la exhibición de documentos o el reconocimiento judicial. En el fondo se trata de calificar la conducta de la parte requerida en atención a los principios y deberes procesales que establece el Código, sin embargo, esto en nada refiere a carga de la prueba por lo que si el demandado aporta la prueba pero de la misma no se acredita el hecho pretendido por la parte requirente, es ella quien asume las consecuencias de dicha insuficiencia probatoria ya que no se trasladan al obligado de aportar la prueba. Entender lo anterior como mero deber de aportación hace que se pierda todo sentido a la denominación misma de carga dinámica probatoria ya que carece de toda relación con la figura de carga de la prueba.</w:t>
      </w:r>
    </w:p>
    <w:p w14:paraId="2400C2D0" w14:textId="77777777" w:rsidR="008057F8" w:rsidRPr="00D66245" w:rsidRDefault="008057F8" w:rsidP="008057F8">
      <w:pPr>
        <w:spacing w:before="120" w:after="200" w:line="240" w:lineRule="auto"/>
        <w:ind w:firstLine="426"/>
        <w:jc w:val="both"/>
        <w:rPr>
          <w:rFonts w:ascii="Palatino Linotype" w:hAnsi="Palatino Linotype"/>
        </w:rPr>
      </w:pPr>
      <w:r w:rsidRPr="00D66245">
        <w:rPr>
          <w:rFonts w:ascii="Palatino Linotype" w:hAnsi="Palatino Linotype"/>
        </w:rPr>
        <w:t>Ahora bien, si se aborda como carga dinámica el escenario cambia radicalmente. De acuerdo a los presupuestos propios del diseño conceptual de la doctrina, implica un deber de aportación asociado al de probar</w:t>
      </w:r>
      <w:r w:rsidRPr="00D66245">
        <w:rPr>
          <w:rStyle w:val="Refdenotaalpie"/>
          <w:rFonts w:ascii="Palatino Linotype" w:hAnsi="Palatino Linotype"/>
        </w:rPr>
        <w:footnoteReference w:id="102"/>
      </w:r>
      <w:r w:rsidRPr="00D66245">
        <w:rPr>
          <w:rFonts w:ascii="Palatino Linotype" w:hAnsi="Palatino Linotype"/>
        </w:rPr>
        <w:t xml:space="preserve">, es </w:t>
      </w:r>
      <w:r w:rsidRPr="00D66245">
        <w:rPr>
          <w:rFonts w:ascii="Palatino Linotype" w:hAnsi="Palatino Linotype"/>
        </w:rPr>
        <w:lastRenderedPageBreak/>
        <w:t>decir, la parte fuerte probatoriamente hablando, deberá aportar la información requerida pero además asume el riesgo en caso de que no haya prueba suficiente  aunque se aporte la prueba requerida por la actora, trasladándose los efectos de la carga de la prueba. En conclusión, se le impone al demandado ya no solo acreditar sus hechos impeditivos, extintivos o modificativos, sino además probar el hecho constitutivo del actor que alegue como facilidad y disponibilidad probatoria, lo cual parece ser a todas luces irracional.</w:t>
      </w:r>
    </w:p>
    <w:p w14:paraId="4C3E5ECF" w14:textId="77777777" w:rsidR="008057F8" w:rsidRPr="00D66245" w:rsidRDefault="008057F8" w:rsidP="008057F8">
      <w:pPr>
        <w:spacing w:before="120" w:after="200" w:line="240" w:lineRule="auto"/>
        <w:ind w:firstLine="426"/>
        <w:jc w:val="both"/>
        <w:rPr>
          <w:rFonts w:ascii="Palatino Linotype" w:hAnsi="Palatino Linotype"/>
        </w:rPr>
      </w:pPr>
      <w:r w:rsidRPr="00D66245">
        <w:rPr>
          <w:rFonts w:ascii="Palatino Linotype" w:hAnsi="Palatino Linotype"/>
        </w:rPr>
        <w:t>Lo anterior, obedece a un error o confusión conceptual. La carga de la prueba como cualquier otra carga procesal, se sustenta en el derecho y facultad de elección de la parte de aportar o no los medios de prueba de su pretensión. En ese sentido, la prueba no tendría consecuencias directas como incentivo para ampliar el material probatorio, ya que en primer lugar lícitamente es una faculta de elección de la parte si desea o no aportar el material probatorio al proceso, pero además, como señala Vitor de Paula, porque la carga de la prueba no implica necesariamente un perjuicio automático, sino apenas un riesgo de perjuicio, teniendo que la producción de la prueba no esta directamente ligada al resultado favorable, sino apenas a una mayor chance de convencimiento del juez (De Paula Ramos, 2018, p.53-54).</w:t>
      </w:r>
    </w:p>
    <w:p w14:paraId="0FC7FC5A" w14:textId="77777777" w:rsidR="008057F8" w:rsidRPr="00D66245" w:rsidRDefault="008057F8" w:rsidP="008057F8">
      <w:pPr>
        <w:spacing w:before="120" w:after="200" w:line="240" w:lineRule="auto"/>
        <w:ind w:firstLine="426"/>
        <w:jc w:val="both"/>
        <w:rPr>
          <w:rFonts w:ascii="Palatino Linotype" w:hAnsi="Palatino Linotype"/>
        </w:rPr>
      </w:pPr>
      <w:r w:rsidRPr="00D66245">
        <w:rPr>
          <w:rFonts w:ascii="Palatino Linotype" w:hAnsi="Palatino Linotype"/>
        </w:rPr>
        <w:t>En virtud del principio de adquisición procesal, no importa quien haya presentado las pruebas sobre un determinado hecho. Al respecto, “cuando no se han presentado pruebas suficientes, la parte que tenía la carga de probar el hecho perderá, pero sólo porque no se ha satisfecho la carga “de prueba”, no la carga de presentar pruebas. Si por el contrario, las pruebas presentadas por la otra parte u ordenadas de oficio por el juez han probado un hecho, la parte que tenía la carga de probar los hechos ganará el caso, aunque no haya presentado ningún medio de prueba sobre ese hecho. En consecuencia, no existe ninguna carga real “subjetiva” de presentar pruebas”</w:t>
      </w:r>
      <w:r w:rsidRPr="00D66245">
        <w:rPr>
          <w:rFonts w:ascii="Palatino Linotype" w:hAnsi="Palatino Linotype"/>
          <w:i/>
        </w:rPr>
        <w:t xml:space="preserve"> </w:t>
      </w:r>
      <w:r w:rsidRPr="00D66245">
        <w:rPr>
          <w:rFonts w:ascii="Palatino Linotype" w:hAnsi="Palatino Linotype"/>
        </w:rPr>
        <w:t>(Taruffo, 2008, p.151)</w:t>
      </w:r>
      <w:r w:rsidRPr="00D66245">
        <w:rPr>
          <w:rFonts w:ascii="Palatino Linotype" w:hAnsi="Palatino Linotype"/>
          <w:i/>
        </w:rPr>
        <w:t xml:space="preserve">. </w:t>
      </w:r>
    </w:p>
    <w:p w14:paraId="0628B14F" w14:textId="77777777" w:rsidR="008057F8" w:rsidRPr="00D66245" w:rsidRDefault="008057F8" w:rsidP="008057F8">
      <w:pPr>
        <w:spacing w:before="120" w:after="200" w:line="240" w:lineRule="auto"/>
        <w:ind w:firstLine="426"/>
        <w:jc w:val="both"/>
        <w:rPr>
          <w:rFonts w:ascii="Palatino Linotype" w:hAnsi="Palatino Linotype"/>
        </w:rPr>
      </w:pPr>
      <w:r w:rsidRPr="00D66245">
        <w:rPr>
          <w:rFonts w:ascii="Palatino Linotype" w:hAnsi="Palatino Linotype"/>
        </w:rPr>
        <w:t xml:space="preserve">Por otro lado, realizar la inversión parcial de la carga de la prueba en perjuicio de quien este en mejores condiciones de probar, así como requerir aportar determinada prueba no resulta ser eficiente para lograr la finalidad de servir como incentivo para traer al proceso material probatorio relevante. El demandado  podría obtar por no aportar la prueba requerida porque le </w:t>
      </w:r>
      <w:r w:rsidRPr="00D66245">
        <w:rPr>
          <w:rFonts w:ascii="Palatino Linotype" w:hAnsi="Palatino Linotype"/>
        </w:rPr>
        <w:lastRenderedPageBreak/>
        <w:t>resulta contraria a sus argumentos y en su lugar presentar prueba que permita corroborar los hechos impeditivos, modificativos o extintivos que le corresponden con la regla clásica. En este caso, el juez deberá apreciar y valorar en su conjunto la prueba que conste en el proceso bajo el estándar de preponderancia probatoria, de tal suerte que la negativa de aportar prueba requerida en razón de la facilidad probatoria no supone un efecto automático de pérdida del proceso de la parte procesal fuerte, y por consiguiente, tampoco refleja ser un incentivo eficiente para solventar traer información relevante al proceso.</w:t>
      </w:r>
    </w:p>
    <w:p w14:paraId="6226E868" w14:textId="77777777" w:rsidR="008057F8" w:rsidRPr="00D66245" w:rsidRDefault="008057F8" w:rsidP="008057F8">
      <w:pPr>
        <w:spacing w:before="120" w:after="200" w:line="240" w:lineRule="auto"/>
        <w:ind w:firstLine="426"/>
        <w:jc w:val="both"/>
        <w:rPr>
          <w:rFonts w:ascii="Palatino Linotype" w:hAnsi="Palatino Linotype"/>
        </w:rPr>
      </w:pPr>
      <w:r w:rsidRPr="00D66245">
        <w:rPr>
          <w:rFonts w:ascii="Palatino Linotype" w:hAnsi="Palatino Linotype"/>
        </w:rPr>
        <w:t>El deber de aportación corresponde a una obligación en razón del deber de colaboración y presupone la aplicación de una sanción. Extrapolando lo anterior al CPC podría considerarse que lo establecido en los artículos 45.4 y 46.2.3 antes mencionados, corresponde a una obligación de exhibir documentos o colaboración con el reconocimiento judicial, bajo pena de tener por cierto el contenido del documento en cuestión o los hechos afirmados por la parte contraria, y su correspondiente sanción, la cual a pesar de ser una “presunción” derrotable, parece estar ser más adecuada para la finalidad perseguida.</w:t>
      </w:r>
    </w:p>
    <w:p w14:paraId="09AECD47" w14:textId="77777777" w:rsidR="008057F8" w:rsidRPr="00D66245" w:rsidRDefault="008057F8" w:rsidP="008057F8">
      <w:pPr>
        <w:spacing w:before="120" w:after="200" w:line="240" w:lineRule="auto"/>
        <w:ind w:firstLine="426"/>
        <w:jc w:val="both"/>
        <w:outlineLvl w:val="0"/>
        <w:rPr>
          <w:rFonts w:ascii="Palatino Linotype" w:hAnsi="Palatino Linotype"/>
        </w:rPr>
      </w:pPr>
      <w:r w:rsidRPr="00D66245">
        <w:rPr>
          <w:rFonts w:ascii="Palatino Linotype" w:hAnsi="Palatino Linotype"/>
        </w:rPr>
        <w:t xml:space="preserve">La carga de la prueba no es equiparable a la valoración de la conducta de las partes respecto de la prueba. Nótese que la carga dinámica de la prueba tiene por finalidad el traer al proceso información relevante, mientras que la conducta de las partes se sustenta en el respeto a la buena fe y el deber de cooperación. En ese sentido, responden a fines distintos que impiden racionalmente equiparar una a la otra. Por su parte, considerando la regulación del CPC, el mero cumplimiento de un requerimiento de información probatoria no se regula concretamente como carga de la prueba, sino como una sanción, pero además, de acuerdo al artículo 41.5 CPC corresponde a la valoración de la prueba, que incluso refiere a una etapa anterior al análisis propiamente de la carga de la prueba. </w:t>
      </w:r>
    </w:p>
    <w:p w14:paraId="1205DB10" w14:textId="77777777" w:rsidR="008057F8" w:rsidRPr="00D66245" w:rsidRDefault="008057F8" w:rsidP="008057F8">
      <w:pPr>
        <w:spacing w:before="120" w:after="200" w:line="240" w:lineRule="auto"/>
        <w:ind w:firstLine="360"/>
        <w:jc w:val="both"/>
        <w:rPr>
          <w:rFonts w:ascii="Palatino Linotype" w:hAnsi="Palatino Linotype"/>
        </w:rPr>
      </w:pPr>
      <w:r w:rsidRPr="00D66245">
        <w:rPr>
          <w:rFonts w:ascii="Palatino Linotype" w:hAnsi="Palatino Linotype"/>
        </w:rPr>
        <w:t xml:space="preserve">Si bien es cierto la carga dinámica puso sobre la mesa un problema grave que debe ser abordado por el derecho procesal, sin embargo, su tratamiento como carga en lugar de deber de cooperación hace que el mismo no sea el más eficiente para alcanzar su fin y tal confusión genera que se aborde el incumplimiento del deber de colaboración de las partes como un asunto de razonamiento probatorio, desbordándose así dicha figura. </w:t>
      </w:r>
    </w:p>
    <w:p w14:paraId="05B1A61F" w14:textId="77777777" w:rsidR="008057F8" w:rsidRPr="00D66245" w:rsidRDefault="008057F8" w:rsidP="008057F8">
      <w:pPr>
        <w:spacing w:before="120" w:after="200" w:line="240" w:lineRule="auto"/>
        <w:ind w:firstLine="426"/>
        <w:jc w:val="both"/>
        <w:outlineLvl w:val="0"/>
        <w:rPr>
          <w:rFonts w:ascii="Palatino Linotype" w:hAnsi="Palatino Linotype"/>
          <w:i/>
        </w:rPr>
      </w:pPr>
      <w:r w:rsidRPr="00D66245">
        <w:rPr>
          <w:rFonts w:ascii="Palatino Linotype" w:hAnsi="Palatino Linotype"/>
        </w:rPr>
        <w:lastRenderedPageBreak/>
        <w:t>La amplitud de la norma genera un excesivo ámbito de discrecionalidad a los tribunales para tratar de forma casuística el tema de la carga de la prueba con las variantes introducidas. En ese sentido, comparto con Rosenberg (2002, p.84-85) que la regulacion de la carga de la prueba debe hacerse mediante normas jurídicas que conduzcan a un resultado determinado, independiente de las contingencias del proceso particular.</w:t>
      </w:r>
    </w:p>
    <w:p w14:paraId="0B3E944F" w14:textId="77777777" w:rsidR="008057F8" w:rsidRPr="00D66245" w:rsidRDefault="008057F8" w:rsidP="008057F8">
      <w:pPr>
        <w:pStyle w:val="Prrafodelista"/>
        <w:numPr>
          <w:ilvl w:val="0"/>
          <w:numId w:val="92"/>
        </w:numPr>
        <w:spacing w:before="120" w:after="200" w:line="360" w:lineRule="auto"/>
        <w:contextualSpacing w:val="0"/>
        <w:jc w:val="both"/>
        <w:outlineLvl w:val="0"/>
        <w:rPr>
          <w:rFonts w:ascii="Palatino Linotype" w:hAnsi="Palatino Linotype"/>
          <w:b/>
        </w:rPr>
      </w:pPr>
      <w:r w:rsidRPr="00D66245">
        <w:rPr>
          <w:rFonts w:ascii="Palatino Linotype" w:hAnsi="Palatino Linotype"/>
          <w:b/>
        </w:rPr>
        <w:t>Conclusiones</w:t>
      </w:r>
    </w:p>
    <w:p w14:paraId="7ACC5225" w14:textId="77777777" w:rsidR="008057F8" w:rsidRPr="00D66245" w:rsidRDefault="008057F8" w:rsidP="008057F8">
      <w:pPr>
        <w:pStyle w:val="Prrafodelista"/>
        <w:numPr>
          <w:ilvl w:val="0"/>
          <w:numId w:val="94"/>
        </w:numPr>
        <w:spacing w:before="120" w:after="200" w:line="240" w:lineRule="auto"/>
        <w:contextualSpacing w:val="0"/>
        <w:jc w:val="both"/>
        <w:rPr>
          <w:rFonts w:ascii="Palatino Linotype" w:hAnsi="Palatino Linotype"/>
          <w:lang w:val="es-ES"/>
        </w:rPr>
      </w:pPr>
      <w:r w:rsidRPr="00D66245">
        <w:rPr>
          <w:rFonts w:ascii="Palatino Linotype" w:hAnsi="Palatino Linotype"/>
          <w:lang w:val="es-ES"/>
        </w:rPr>
        <w:t>La carga de prueba es de aplicación residual, regla de decisión que indica al juez como resolver el caso si no hay prueba suficiente- quien pierde el proceso cuando no hay prueba suficiente).</w:t>
      </w:r>
    </w:p>
    <w:p w14:paraId="0B783F2B" w14:textId="77777777" w:rsidR="008057F8" w:rsidRPr="00D66245" w:rsidRDefault="008057F8" w:rsidP="008057F8">
      <w:pPr>
        <w:pStyle w:val="Prrafodelista"/>
        <w:numPr>
          <w:ilvl w:val="0"/>
          <w:numId w:val="94"/>
        </w:numPr>
        <w:spacing w:before="120" w:after="200" w:line="240" w:lineRule="auto"/>
        <w:contextualSpacing w:val="0"/>
        <w:jc w:val="both"/>
        <w:rPr>
          <w:rFonts w:ascii="Palatino Linotype" w:hAnsi="Palatino Linotype"/>
          <w:lang w:val="es-ES"/>
        </w:rPr>
      </w:pPr>
      <w:r w:rsidRPr="00D66245">
        <w:rPr>
          <w:rFonts w:ascii="Palatino Linotype" w:hAnsi="Palatino Linotype"/>
          <w:lang w:val="es-ES"/>
        </w:rPr>
        <w:t>Los dos aspectos de la carga de la prueba, confunde o mescla 2 instituciones distintas. Por un lado, quién debe aportar prueba, y por el otro, quién asume las consecuencias de la insuficiencia probatoria. Esa distinción entre carga subjetiva y aspecto objetivo de la carga no tiene relevancia y pierde vigencia al considerarse que: a) El principio de adquisición procesal hace que resulte indiferente quien presenta la prueba. Además, se omite que también el juez de oficio puede propiciar la incorporación de prueba. b) La carga no tiene por función disciplinar la conducta de las partes, sino la de orientar la decisión del juez. c) El aspecto subjetivo refiere a una regla de instrucción o técnica pero no tiene nada que ver con carga, son las normas sustantivas las que concretan que se debe probar.</w:t>
      </w:r>
    </w:p>
    <w:p w14:paraId="1F1C137D" w14:textId="77777777" w:rsidR="008057F8" w:rsidRPr="00D66245" w:rsidRDefault="008057F8" w:rsidP="008057F8">
      <w:pPr>
        <w:pStyle w:val="Prrafodelista"/>
        <w:numPr>
          <w:ilvl w:val="0"/>
          <w:numId w:val="94"/>
        </w:numPr>
        <w:spacing w:before="120" w:after="200" w:line="240" w:lineRule="auto"/>
        <w:contextualSpacing w:val="0"/>
        <w:jc w:val="both"/>
        <w:rPr>
          <w:rFonts w:ascii="Palatino Linotype" w:hAnsi="Palatino Linotype"/>
          <w:lang w:val="es-ES"/>
        </w:rPr>
      </w:pPr>
      <w:r w:rsidRPr="00D66245">
        <w:rPr>
          <w:rFonts w:ascii="Palatino Linotype" w:hAnsi="Palatino Linotype"/>
          <w:lang w:val="es-ES"/>
        </w:rPr>
        <w:t xml:space="preserve">La carga dinámica de la prueba pone de manifiesto un problema real que tiene que ver con traer prueba relevante al proceso. Con la regla clásica de carga de la prueba no se generan incentivos para que la parte que cuenta con alguna prueba relevante para la contraria, aporte la misma al proceso aun cuando resulta contraria a sus intereses. </w:t>
      </w:r>
    </w:p>
    <w:p w14:paraId="13246519" w14:textId="77777777" w:rsidR="008057F8" w:rsidRPr="00D66245" w:rsidRDefault="008057F8" w:rsidP="008057F8">
      <w:pPr>
        <w:pStyle w:val="Prrafodelista"/>
        <w:numPr>
          <w:ilvl w:val="0"/>
          <w:numId w:val="94"/>
        </w:numPr>
        <w:spacing w:before="120" w:after="200" w:line="240" w:lineRule="auto"/>
        <w:contextualSpacing w:val="0"/>
        <w:jc w:val="both"/>
        <w:rPr>
          <w:rFonts w:ascii="Palatino Linotype" w:hAnsi="Palatino Linotype"/>
          <w:lang w:val="es-ES"/>
        </w:rPr>
      </w:pPr>
      <w:r w:rsidRPr="00D66245">
        <w:rPr>
          <w:rFonts w:ascii="Palatino Linotype" w:hAnsi="Palatino Linotype"/>
          <w:lang w:val="es-ES"/>
        </w:rPr>
        <w:t xml:space="preserve">Si bien la carga dinámica de la prueba busca superar tal problema y generar incentivos para traer prueba relevante al proceso, no parece ser eficiente para dicha finalidad ya que omite que la carga como situación jurídica resulta facultativa para la parte, es decir, lícitamente puede aportar dicha prueba o no al proceso, y ello </w:t>
      </w:r>
      <w:r w:rsidRPr="00D66245">
        <w:rPr>
          <w:rFonts w:ascii="Palatino Linotype" w:hAnsi="Palatino Linotype"/>
          <w:lang w:val="es-ES"/>
        </w:rPr>
        <w:lastRenderedPageBreak/>
        <w:t>dependerá en ultima instancia a la valoración que realice de sus costos-beneficios probatorios, además de la aplicación del principio de adquisición.</w:t>
      </w:r>
    </w:p>
    <w:p w14:paraId="76473CE1" w14:textId="77777777" w:rsidR="008057F8" w:rsidRPr="00D66245" w:rsidRDefault="008057F8" w:rsidP="008057F8">
      <w:pPr>
        <w:pStyle w:val="Prrafodelista"/>
        <w:numPr>
          <w:ilvl w:val="0"/>
          <w:numId w:val="94"/>
        </w:numPr>
        <w:spacing w:before="120" w:after="200" w:line="240" w:lineRule="auto"/>
        <w:contextualSpacing w:val="0"/>
        <w:jc w:val="both"/>
        <w:rPr>
          <w:rFonts w:ascii="Palatino Linotype" w:hAnsi="Palatino Linotype"/>
          <w:lang w:val="es-ES"/>
        </w:rPr>
      </w:pPr>
      <w:r w:rsidRPr="00D66245">
        <w:rPr>
          <w:rFonts w:ascii="Palatino Linotype" w:hAnsi="Palatino Linotype"/>
          <w:lang w:val="es-ES"/>
        </w:rPr>
        <w:t xml:space="preserve">En Costa Rica históricamente se ha dado fuerte énfasis en la dimensión subjetiva de carga vinculado con construcción de teoría del caso y estrategia procesal. </w:t>
      </w:r>
    </w:p>
    <w:p w14:paraId="25F78AE9" w14:textId="77777777" w:rsidR="008057F8" w:rsidRPr="00D66245" w:rsidRDefault="008057F8" w:rsidP="008057F8">
      <w:pPr>
        <w:pStyle w:val="Prrafodelista"/>
        <w:numPr>
          <w:ilvl w:val="0"/>
          <w:numId w:val="94"/>
        </w:numPr>
        <w:spacing w:before="120" w:after="200" w:line="240" w:lineRule="auto"/>
        <w:contextualSpacing w:val="0"/>
        <w:jc w:val="both"/>
        <w:rPr>
          <w:rFonts w:ascii="Palatino Linotype" w:hAnsi="Palatino Linotype"/>
          <w:lang w:val="es-ES"/>
        </w:rPr>
      </w:pPr>
      <w:r w:rsidRPr="00D66245">
        <w:rPr>
          <w:rFonts w:ascii="Palatino Linotype" w:hAnsi="Palatino Linotype"/>
          <w:lang w:val="es-ES"/>
        </w:rPr>
        <w:t xml:space="preserve">El NCPC introdujo la carga dinámica de la prueba con los criterios de facilidad y disponibilidad probatoria en el apartado de carga de la prueba, dando la facultad al juez de matizar la regla clásica de distribución del onus probando, según la naturaleza de lo debatido. </w:t>
      </w:r>
    </w:p>
    <w:p w14:paraId="2498DA33" w14:textId="77777777" w:rsidR="008057F8" w:rsidRPr="00D66245" w:rsidRDefault="008057F8" w:rsidP="008057F8">
      <w:pPr>
        <w:pStyle w:val="Prrafodelista"/>
        <w:numPr>
          <w:ilvl w:val="0"/>
          <w:numId w:val="94"/>
        </w:numPr>
        <w:spacing w:before="120" w:after="200" w:line="240" w:lineRule="auto"/>
        <w:contextualSpacing w:val="0"/>
        <w:jc w:val="both"/>
        <w:rPr>
          <w:rFonts w:ascii="Palatino Linotype" w:hAnsi="Palatino Linotype"/>
          <w:lang w:val="es-ES"/>
        </w:rPr>
      </w:pPr>
      <w:r w:rsidRPr="00D66245">
        <w:rPr>
          <w:rFonts w:ascii="Palatino Linotype" w:hAnsi="Palatino Linotype"/>
          <w:lang w:val="es-ES"/>
        </w:rPr>
        <w:t>Uno de los problemas es que el CPC replica los mismos problemas apuntados sobre la carga dinámica, con lo que su simple incorporación no genera incentivos eficientes para traer prueba relevante al proceso, quedando siempre a criterio de la parte si la aporta o no.</w:t>
      </w:r>
    </w:p>
    <w:p w14:paraId="0C9B68A4" w14:textId="77777777" w:rsidR="00EF1A6A" w:rsidRPr="00D66245" w:rsidRDefault="008057F8" w:rsidP="008057F8">
      <w:pPr>
        <w:pStyle w:val="Prrafodelista"/>
        <w:numPr>
          <w:ilvl w:val="0"/>
          <w:numId w:val="94"/>
        </w:numPr>
        <w:spacing w:before="120" w:after="200" w:line="240" w:lineRule="auto"/>
        <w:contextualSpacing w:val="0"/>
        <w:jc w:val="both"/>
        <w:rPr>
          <w:rFonts w:ascii="Palatino Linotype" w:hAnsi="Palatino Linotype"/>
          <w:lang w:val="es-ES"/>
        </w:rPr>
      </w:pPr>
      <w:r w:rsidRPr="00D66245">
        <w:rPr>
          <w:rFonts w:ascii="Palatino Linotype" w:hAnsi="Palatino Linotype"/>
          <w:lang w:val="es-ES"/>
        </w:rPr>
        <w:t>La aplicación de la carga dinámica de la prueba en el NCPC deberá mirarse con cautela y restrictivamente ya que la amplitud de la norma y la figura como tal genera un excesivo ámbito de discrecionalidad a los jueces en su empleo</w:t>
      </w:r>
    </w:p>
    <w:p w14:paraId="2C8B3AC5" w14:textId="77777777" w:rsidR="008057F8" w:rsidRPr="00D66245" w:rsidRDefault="008057F8" w:rsidP="008057F8">
      <w:pPr>
        <w:spacing w:before="120" w:after="200" w:line="360" w:lineRule="auto"/>
        <w:rPr>
          <w:rFonts w:ascii="Palatino Linotype" w:hAnsi="Palatino Linotype"/>
          <w:b/>
        </w:rPr>
      </w:pPr>
      <w:r w:rsidRPr="00D66245">
        <w:rPr>
          <w:rFonts w:ascii="Palatino Linotype" w:hAnsi="Palatino Linotype"/>
          <w:b/>
        </w:rPr>
        <w:t>Bibliografía</w:t>
      </w:r>
    </w:p>
    <w:p w14:paraId="745A656A"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AIRASCA, I. </w:t>
      </w:r>
      <w:r w:rsidRPr="00D66245">
        <w:rPr>
          <w:rFonts w:ascii="Palatino Linotype" w:hAnsi="Palatino Linotype"/>
        </w:rPr>
        <w:t>2008.</w:t>
      </w:r>
      <w:r w:rsidRPr="00D66245">
        <w:rPr>
          <w:rFonts w:ascii="Palatino Linotype" w:hAnsi="Palatino Linotype"/>
          <w:lang w:val="es-ES"/>
        </w:rPr>
        <w:t xml:space="preserve"> </w:t>
      </w:r>
      <w:r w:rsidRPr="00D66245">
        <w:rPr>
          <w:rFonts w:ascii="Palatino Linotype" w:hAnsi="Palatino Linotype"/>
          <w:i/>
          <w:lang w:val="es-ES"/>
        </w:rPr>
        <w:t>Reflexiones sobre la doctrina de las cargas probatorias dinámicas</w:t>
      </w:r>
      <w:r w:rsidRPr="00D66245">
        <w:rPr>
          <w:rFonts w:ascii="Palatino Linotype" w:hAnsi="Palatino Linotype"/>
          <w:lang w:val="es-ES"/>
        </w:rPr>
        <w:t xml:space="preserve">., </w:t>
      </w:r>
      <w:r w:rsidRPr="00D66245">
        <w:rPr>
          <w:rFonts w:ascii="Palatino Linotype" w:hAnsi="Palatino Linotype"/>
        </w:rPr>
        <w:t xml:space="preserve">en PEYRANO, J. y LÉPORI WHITE, I. (coord.): </w:t>
      </w:r>
      <w:r w:rsidRPr="00D66245">
        <w:rPr>
          <w:rFonts w:ascii="Palatino Linotype" w:hAnsi="Palatino Linotype"/>
          <w:i/>
        </w:rPr>
        <w:t>Cargas probatorias dinámicas</w:t>
      </w:r>
      <w:r w:rsidRPr="00D66245">
        <w:rPr>
          <w:rFonts w:ascii="Palatino Linotype" w:hAnsi="Palatino Linotype"/>
        </w:rPr>
        <w:t xml:space="preserve">. Santa Fe, Rubinzal-Culzoni. </w:t>
      </w:r>
    </w:p>
    <w:p w14:paraId="4AF18925" w14:textId="77777777" w:rsidR="008057F8" w:rsidRPr="00D66245" w:rsidRDefault="008057F8" w:rsidP="006469CD">
      <w:pPr>
        <w:pStyle w:val="NormalWeb"/>
        <w:numPr>
          <w:ilvl w:val="0"/>
          <w:numId w:val="87"/>
        </w:numPr>
        <w:spacing w:before="0" w:beforeAutospacing="0" w:after="0" w:afterAutospacing="0"/>
        <w:ind w:left="425" w:hanging="357"/>
        <w:jc w:val="both"/>
        <w:rPr>
          <w:rFonts w:ascii="Palatino Linotype" w:hAnsi="Palatino Linotype"/>
          <w:sz w:val="22"/>
          <w:szCs w:val="22"/>
        </w:rPr>
      </w:pPr>
      <w:r w:rsidRPr="00D66245">
        <w:rPr>
          <w:rFonts w:ascii="Palatino Linotype" w:hAnsi="Palatino Linotype"/>
          <w:sz w:val="22"/>
          <w:szCs w:val="22"/>
        </w:rPr>
        <w:t xml:space="preserve">ARGUEDAS SALAZAR, O. 1980. </w:t>
      </w:r>
      <w:r w:rsidRPr="00D66245">
        <w:rPr>
          <w:rFonts w:ascii="Palatino Linotype" w:hAnsi="Palatino Linotype"/>
          <w:i/>
          <w:sz w:val="22"/>
          <w:szCs w:val="22"/>
        </w:rPr>
        <w:t>Principios del proceso civil</w:t>
      </w:r>
      <w:r w:rsidRPr="00D66245">
        <w:rPr>
          <w:rFonts w:ascii="Palatino Linotype" w:hAnsi="Palatino Linotype"/>
          <w:sz w:val="22"/>
          <w:szCs w:val="22"/>
        </w:rPr>
        <w:t xml:space="preserve">. Revista Judicial Nº 18, año V, Diciembre. Costa Rica. </w:t>
      </w:r>
    </w:p>
    <w:p w14:paraId="2F27312D"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ARMENTA DEU, T. 2016. </w:t>
      </w:r>
      <w:r w:rsidRPr="00D66245">
        <w:rPr>
          <w:rFonts w:ascii="Palatino Linotype" w:hAnsi="Palatino Linotype"/>
          <w:i/>
          <w:lang w:val="es-ES"/>
        </w:rPr>
        <w:t>Lecciones de Derecho procesal civil</w:t>
      </w:r>
      <w:r w:rsidRPr="00D66245">
        <w:rPr>
          <w:rFonts w:ascii="Palatino Linotype" w:hAnsi="Palatino Linotype"/>
          <w:lang w:val="es-ES"/>
        </w:rPr>
        <w:t xml:space="preserve">. 9ª ed. Madrid, Marcial Pons. </w:t>
      </w:r>
    </w:p>
    <w:p w14:paraId="0D9651EF"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BARBERIO, S. 2008. </w:t>
      </w:r>
      <w:r w:rsidRPr="00D66245">
        <w:rPr>
          <w:rFonts w:ascii="Palatino Linotype" w:hAnsi="Palatino Linotype"/>
          <w:i/>
          <w:lang w:val="es-ES"/>
        </w:rPr>
        <w:t>Cargas probatorias dinámicas ¿Qué debe probar el que no puede probar?</w:t>
      </w:r>
      <w:r w:rsidRPr="00D66245">
        <w:rPr>
          <w:rFonts w:ascii="Palatino Linotype" w:hAnsi="Palatino Linotype"/>
          <w:lang w:val="es-ES"/>
        </w:rPr>
        <w:t xml:space="preserve">; </w:t>
      </w:r>
      <w:r w:rsidRPr="00D66245">
        <w:rPr>
          <w:rFonts w:ascii="Palatino Linotype" w:hAnsi="Palatino Linotype"/>
        </w:rPr>
        <w:t xml:space="preserve">en PEYRANO, J. y LÉPORI WHITE, I. (coord.): </w:t>
      </w:r>
      <w:r w:rsidRPr="00D66245">
        <w:rPr>
          <w:rFonts w:ascii="Palatino Linotype" w:hAnsi="Palatino Linotype"/>
          <w:i/>
        </w:rPr>
        <w:t>Cargas probatorias dinámicas</w:t>
      </w:r>
      <w:r w:rsidRPr="00D66245">
        <w:rPr>
          <w:rFonts w:ascii="Palatino Linotype" w:hAnsi="Palatino Linotype"/>
        </w:rPr>
        <w:t xml:space="preserve">. Santa Fe, Rubinzal-Culzoni. </w:t>
      </w:r>
    </w:p>
    <w:p w14:paraId="5AD1F558"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CHIOVENDA, G. 1925. </w:t>
      </w:r>
      <w:r w:rsidRPr="00D66245">
        <w:rPr>
          <w:rFonts w:ascii="Palatino Linotype" w:hAnsi="Palatino Linotype"/>
          <w:i/>
          <w:lang w:val="es-ES"/>
        </w:rPr>
        <w:t>Principios de Derecho Procesal Civil. II</w:t>
      </w:r>
      <w:r w:rsidRPr="00D66245">
        <w:rPr>
          <w:rFonts w:ascii="Palatino Linotype" w:hAnsi="Palatino Linotype"/>
          <w:lang w:val="es-ES"/>
        </w:rPr>
        <w:t xml:space="preserve"> (traducción de Casáis y Santaló). Madrid, Ed. Reus. </w:t>
      </w:r>
    </w:p>
    <w:p w14:paraId="43BE21A9"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lastRenderedPageBreak/>
        <w:t xml:space="preserve">DE LA OLIVA SANTOS, A. y DIEZ-PICAZO GIMÉNEZ, I. 2000. </w:t>
      </w:r>
      <w:r w:rsidRPr="00D66245">
        <w:rPr>
          <w:rFonts w:ascii="Palatino Linotype" w:hAnsi="Palatino Linotype"/>
          <w:i/>
          <w:lang w:val="es-ES"/>
        </w:rPr>
        <w:t>Derecho procesal civil</w:t>
      </w:r>
      <w:r w:rsidRPr="00D66245">
        <w:rPr>
          <w:rFonts w:ascii="Palatino Linotype" w:hAnsi="Palatino Linotype"/>
          <w:lang w:val="es-ES"/>
        </w:rPr>
        <w:t xml:space="preserve">. Madrid, Editorial Centro de Estudios Ramón Areces S.A. </w:t>
      </w:r>
    </w:p>
    <w:p w14:paraId="701E316D"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it-IT"/>
        </w:rPr>
        <w:t xml:space="preserve">DE PAULA RAMOS, V. 2018. </w:t>
      </w:r>
      <w:r w:rsidRPr="00D66245">
        <w:rPr>
          <w:rFonts w:ascii="Palatino Linotype" w:hAnsi="Palatino Linotype"/>
          <w:i/>
          <w:lang w:val="it-IT"/>
        </w:rPr>
        <w:t>Ônus da prova no processo civil</w:t>
      </w:r>
      <w:r w:rsidRPr="00D66245">
        <w:rPr>
          <w:rFonts w:ascii="Palatino Linotype" w:hAnsi="Palatino Linotype"/>
          <w:lang w:val="it-IT"/>
        </w:rPr>
        <w:t xml:space="preserve">. 2da ed. </w:t>
      </w:r>
      <w:r w:rsidRPr="00D66245">
        <w:rPr>
          <w:rFonts w:ascii="Palatino Linotype" w:hAnsi="Palatino Linotype"/>
          <w:lang w:val="es-ES"/>
        </w:rPr>
        <w:t xml:space="preserve">Sao Paulo, Thomson Reuters Brasil. </w:t>
      </w:r>
    </w:p>
    <w:p w14:paraId="515B050D"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ESCALER BASCOMPTE, R. 2017. </w:t>
      </w:r>
      <w:r w:rsidRPr="00D66245">
        <w:rPr>
          <w:rFonts w:ascii="Palatino Linotype" w:hAnsi="Palatino Linotype"/>
          <w:i/>
          <w:lang w:val="es-ES"/>
        </w:rPr>
        <w:t>La carga de la prueba</w:t>
      </w:r>
      <w:r w:rsidRPr="00D66245">
        <w:rPr>
          <w:rFonts w:ascii="Palatino Linotype" w:hAnsi="Palatino Linotype"/>
          <w:lang w:val="es-ES"/>
        </w:rPr>
        <w:t xml:space="preserve">. Barcelona, Atelier. </w:t>
      </w:r>
    </w:p>
    <w:p w14:paraId="2BDDB7A3"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FERNÁNDEZ LÓPEZ, M. 2006. </w:t>
      </w:r>
      <w:r w:rsidRPr="00D66245">
        <w:rPr>
          <w:rFonts w:ascii="Palatino Linotype" w:hAnsi="Palatino Linotype"/>
          <w:i/>
          <w:lang w:val="es-ES"/>
        </w:rPr>
        <w:t>La carga de la prueba en la práctica judicial civil.</w:t>
      </w:r>
      <w:r w:rsidRPr="00D66245">
        <w:rPr>
          <w:rFonts w:ascii="Palatino Linotype" w:hAnsi="Palatino Linotype"/>
          <w:lang w:val="es-ES"/>
        </w:rPr>
        <w:t xml:space="preserve"> 1 ed. Madrid, La Ley. </w:t>
      </w:r>
    </w:p>
    <w:p w14:paraId="73DAC1FA"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FERRER BELTRÁN, J. 2007. </w:t>
      </w:r>
      <w:r w:rsidRPr="00D66245">
        <w:rPr>
          <w:rFonts w:ascii="Palatino Linotype" w:hAnsi="Palatino Linotype"/>
          <w:i/>
          <w:lang w:val="es-ES"/>
        </w:rPr>
        <w:t>La valoración racional de la prueba.</w:t>
      </w:r>
      <w:r w:rsidRPr="00D66245">
        <w:rPr>
          <w:rFonts w:ascii="Palatino Linotype" w:hAnsi="Palatino Linotype"/>
          <w:lang w:val="es-ES"/>
        </w:rPr>
        <w:t xml:space="preserve"> Madrid, Marcial Pons. </w:t>
      </w:r>
    </w:p>
    <w:p w14:paraId="2A5084E4"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n-US"/>
        </w:rPr>
        <w:t xml:space="preserve">FERRER BELTRÁN, J. </w:t>
      </w:r>
      <w:r w:rsidRPr="00D66245">
        <w:rPr>
          <w:rFonts w:ascii="Palatino Linotype" w:hAnsi="Palatino Linotype"/>
          <w:i/>
          <w:lang w:val="en-US"/>
        </w:rPr>
        <w:t>et all</w:t>
      </w:r>
      <w:r w:rsidRPr="00D66245">
        <w:rPr>
          <w:rFonts w:ascii="Palatino Linotype" w:hAnsi="Palatino Linotype"/>
          <w:lang w:val="en-US"/>
        </w:rPr>
        <w:t xml:space="preserve">. 2016. </w:t>
      </w:r>
      <w:r w:rsidRPr="00D66245">
        <w:rPr>
          <w:rFonts w:ascii="Palatino Linotype" w:hAnsi="Palatino Linotype"/>
          <w:i/>
          <w:lang w:val="es-ES"/>
        </w:rPr>
        <w:t>Estudios sobre la prueba</w:t>
      </w:r>
      <w:r w:rsidRPr="00D66245">
        <w:rPr>
          <w:rFonts w:ascii="Palatino Linotype" w:hAnsi="Palatino Linotype"/>
          <w:lang w:val="es-ES"/>
        </w:rPr>
        <w:t xml:space="preserve">. México, Editorial Fontamara. </w:t>
      </w:r>
    </w:p>
    <w:p w14:paraId="6E06D60C"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FERRER BELTRÁN, J. 2018. </w:t>
      </w:r>
      <w:r w:rsidRPr="00D66245">
        <w:rPr>
          <w:rFonts w:ascii="Palatino Linotype" w:hAnsi="Palatino Linotype"/>
          <w:i/>
          <w:lang w:val="es-ES"/>
        </w:rPr>
        <w:t>La carga dinámica de la prueba. Entre la confusión y lo innecesario.</w:t>
      </w:r>
      <w:r w:rsidRPr="00D66245">
        <w:rPr>
          <w:rFonts w:ascii="Palatino Linotype" w:hAnsi="Palatino Linotype"/>
          <w:lang w:val="es-ES"/>
        </w:rPr>
        <w:t xml:space="preserve">, en </w:t>
      </w:r>
      <w:r w:rsidRPr="00D66245">
        <w:rPr>
          <w:rFonts w:ascii="Palatino Linotype" w:hAnsi="Palatino Linotype"/>
          <w:i/>
          <w:lang w:val="es-ES"/>
        </w:rPr>
        <w:t>La prueba en el proceso,</w:t>
      </w:r>
      <w:r w:rsidRPr="00D66245">
        <w:rPr>
          <w:rFonts w:ascii="Palatino Linotype" w:hAnsi="Palatino Linotype"/>
          <w:lang w:val="es-ES"/>
        </w:rPr>
        <w:t xml:space="preserve"> II Conferencia Internacional &amp; XXVI Jornadas Iberoamericana de Derecho Procesal. Barcelona, Atelier. </w:t>
      </w:r>
    </w:p>
    <w:p w14:paraId="174E858B"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GARBERÍ LLOBREGAT, J. y BUITRÓN RAMÍREZ, G. 2004. </w:t>
      </w:r>
      <w:r w:rsidRPr="00D66245">
        <w:rPr>
          <w:rFonts w:ascii="Palatino Linotype" w:hAnsi="Palatino Linotype"/>
          <w:i/>
          <w:lang w:val="es-ES"/>
        </w:rPr>
        <w:t>La prueba civil</w:t>
      </w:r>
      <w:r w:rsidRPr="00D66245">
        <w:rPr>
          <w:rFonts w:ascii="Palatino Linotype" w:hAnsi="Palatino Linotype"/>
          <w:lang w:val="es-ES"/>
        </w:rPr>
        <w:t xml:space="preserve">. Valencia, Tirant lo Blanch. </w:t>
      </w:r>
    </w:p>
    <w:p w14:paraId="3A65F0A6"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GASCÓN BELLÁN, M. 2012. </w:t>
      </w:r>
      <w:r w:rsidRPr="00D66245">
        <w:rPr>
          <w:rFonts w:ascii="Palatino Linotype" w:hAnsi="Palatino Linotype"/>
          <w:i/>
          <w:lang w:val="es-ES"/>
        </w:rPr>
        <w:t>Cuestiones probatorias</w:t>
      </w:r>
      <w:r w:rsidRPr="00D66245">
        <w:rPr>
          <w:rFonts w:ascii="Palatino Linotype" w:hAnsi="Palatino Linotype"/>
          <w:lang w:val="es-ES"/>
        </w:rPr>
        <w:t xml:space="preserve">. Bogotá, Universidad Externado de Colombia. </w:t>
      </w:r>
    </w:p>
    <w:p w14:paraId="73CDF142"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rPr>
        <w:t xml:space="preserve">GOLDSCHMIDT, J. 1961. </w:t>
      </w:r>
      <w:r w:rsidRPr="00D66245">
        <w:rPr>
          <w:rFonts w:ascii="Palatino Linotype" w:hAnsi="Palatino Linotype"/>
          <w:i/>
        </w:rPr>
        <w:t>Principios Generales del Proceso. I. Teoría general del proceso</w:t>
      </w:r>
      <w:r w:rsidRPr="00D66245">
        <w:rPr>
          <w:rFonts w:ascii="Palatino Linotype" w:hAnsi="Palatino Linotype"/>
        </w:rPr>
        <w:t xml:space="preserve">. 2da ed. Buenos Aires, Ediciones Jurídicas Europa-América. </w:t>
      </w:r>
    </w:p>
    <w:p w14:paraId="3EAD72D4"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rPr>
        <w:t xml:space="preserve">LÉPORI WHITE, I. 2008. </w:t>
      </w:r>
      <w:r w:rsidRPr="00D66245">
        <w:rPr>
          <w:rFonts w:ascii="Palatino Linotype" w:hAnsi="Palatino Linotype"/>
          <w:i/>
        </w:rPr>
        <w:t>Cargas probatorias dinámicas</w:t>
      </w:r>
      <w:r w:rsidRPr="00D66245">
        <w:rPr>
          <w:rFonts w:ascii="Palatino Linotype" w:hAnsi="Palatino Linotype"/>
        </w:rPr>
        <w:t xml:space="preserve">., en PEYRANO, J. y LÉPORI WHITE, I. (coord.): </w:t>
      </w:r>
      <w:r w:rsidRPr="00D66245">
        <w:rPr>
          <w:rFonts w:ascii="Palatino Linotype" w:hAnsi="Palatino Linotype"/>
          <w:i/>
        </w:rPr>
        <w:t>Cargas probatorias dinámicas</w:t>
      </w:r>
      <w:r w:rsidRPr="00D66245">
        <w:rPr>
          <w:rFonts w:ascii="Palatino Linotype" w:hAnsi="Palatino Linotype"/>
        </w:rPr>
        <w:t xml:space="preserve">. Santa Fe, Rubinzal-Culzoni. </w:t>
      </w:r>
    </w:p>
    <w:p w14:paraId="1F1B009D"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rPr>
        <w:t xml:space="preserve">LLUCH, X. 2012.Derecho probatorio. Bosch Editor. España. </w:t>
      </w:r>
    </w:p>
    <w:p w14:paraId="69F35974"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rPr>
        <w:t xml:space="preserve">LÓPEZ GONZÁLEZ, J. 2017. </w:t>
      </w:r>
      <w:r w:rsidRPr="00D66245">
        <w:rPr>
          <w:rFonts w:ascii="Palatino Linotype" w:hAnsi="Palatino Linotype"/>
          <w:i/>
        </w:rPr>
        <w:t>Curso de Derecho Procesal Civil Costarricense I: según el nuevo código (parte general)</w:t>
      </w:r>
      <w:r w:rsidRPr="00D66245">
        <w:rPr>
          <w:rFonts w:ascii="Palatino Linotype" w:hAnsi="Palatino Linotype"/>
        </w:rPr>
        <w:t xml:space="preserve">. San José, Edinexo. </w:t>
      </w:r>
    </w:p>
    <w:p w14:paraId="37BBAFDA"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MARÍN, F. 2018. </w:t>
      </w:r>
      <w:r w:rsidRPr="00D66245">
        <w:rPr>
          <w:rFonts w:ascii="Palatino Linotype" w:hAnsi="Palatino Linotype"/>
          <w:i/>
          <w:lang w:val="es-ES"/>
        </w:rPr>
        <w:t>Manual de litigación de audiencias orales en la nueva justicia civil de Costa Rica.</w:t>
      </w:r>
      <w:r w:rsidRPr="00D66245">
        <w:rPr>
          <w:rFonts w:ascii="Palatino Linotype" w:hAnsi="Palatino Linotype"/>
          <w:lang w:val="es-ES"/>
        </w:rPr>
        <w:t xml:space="preserve"> Santiago, Centro de Estudios de Justicia de las Américas. </w:t>
      </w:r>
    </w:p>
    <w:p w14:paraId="36560993"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MICHELI, G. 1960. </w:t>
      </w:r>
      <w:r w:rsidRPr="00D66245">
        <w:rPr>
          <w:rFonts w:ascii="Palatino Linotype" w:hAnsi="Palatino Linotype"/>
          <w:i/>
          <w:lang w:val="es-ES"/>
        </w:rPr>
        <w:t>La carga de la prueba</w:t>
      </w:r>
      <w:r w:rsidRPr="00D66245">
        <w:rPr>
          <w:rFonts w:ascii="Palatino Linotype" w:hAnsi="Palatino Linotype"/>
          <w:lang w:val="es-ES"/>
        </w:rPr>
        <w:t xml:space="preserve">. Buenos Aires, Ediciones Jurídicas Europa-América. </w:t>
      </w:r>
    </w:p>
    <w:p w14:paraId="1DBA1BE7"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MORELLO, A. 2001. </w:t>
      </w:r>
      <w:r w:rsidRPr="00D66245">
        <w:rPr>
          <w:rFonts w:ascii="Palatino Linotype" w:hAnsi="Palatino Linotype"/>
          <w:i/>
          <w:lang w:val="es-ES"/>
        </w:rPr>
        <w:t>La prueba: tendencias modernas</w:t>
      </w:r>
      <w:r w:rsidRPr="00D66245">
        <w:rPr>
          <w:rFonts w:ascii="Palatino Linotype" w:hAnsi="Palatino Linotype"/>
          <w:lang w:val="es-ES"/>
        </w:rPr>
        <w:t xml:space="preserve">. 2da edición. La Plata, Librería Editorial Platense S.R.L. </w:t>
      </w:r>
    </w:p>
    <w:p w14:paraId="07CD3C0C"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rPr>
        <w:lastRenderedPageBreak/>
        <w:t xml:space="preserve">MONTERO AROCA, J. 2000. </w:t>
      </w:r>
      <w:r w:rsidRPr="00D66245">
        <w:rPr>
          <w:rFonts w:ascii="Palatino Linotype" w:hAnsi="Palatino Linotype"/>
          <w:i/>
        </w:rPr>
        <w:t>Nociones generales sobre la prueba (entre el mito y la realidad)</w:t>
      </w:r>
      <w:r w:rsidRPr="00D66245">
        <w:rPr>
          <w:rFonts w:ascii="Palatino Linotype" w:hAnsi="Palatino Linotype"/>
        </w:rPr>
        <w:t xml:space="preserve"> en Escuela Judicial. Consejo General del Poder Judicial. </w:t>
      </w:r>
      <w:r w:rsidRPr="00D66245">
        <w:rPr>
          <w:rFonts w:ascii="Palatino Linotype" w:hAnsi="Palatino Linotype"/>
          <w:i/>
        </w:rPr>
        <w:t>La prueba</w:t>
      </w:r>
      <w:r w:rsidRPr="00D66245">
        <w:rPr>
          <w:rFonts w:ascii="Palatino Linotype" w:hAnsi="Palatino Linotype"/>
        </w:rPr>
        <w:t>. Madrid, Lerko Print S.A.</w:t>
      </w:r>
    </w:p>
    <w:p w14:paraId="678544A4"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rPr>
        <w:t xml:space="preserve">MONTERO AROCA, J. 2007. </w:t>
      </w:r>
      <w:r w:rsidRPr="00D66245">
        <w:rPr>
          <w:rFonts w:ascii="Palatino Linotype" w:hAnsi="Palatino Linotype"/>
          <w:i/>
        </w:rPr>
        <w:t>La prueba en el proceso civil</w:t>
      </w:r>
      <w:r w:rsidRPr="00D66245">
        <w:rPr>
          <w:rFonts w:ascii="Palatino Linotype" w:hAnsi="Palatino Linotype"/>
        </w:rPr>
        <w:t xml:space="preserve">. 5ta ed. España, Editorial Aranzadi S.A. </w:t>
      </w:r>
    </w:p>
    <w:p w14:paraId="7EA72ED3"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rPr>
        <w:t xml:space="preserve">MUÑOZ SABATÉ, L. 2001. </w:t>
      </w:r>
      <w:r w:rsidRPr="00D66245">
        <w:rPr>
          <w:rFonts w:ascii="Palatino Linotype" w:hAnsi="Palatino Linotype"/>
          <w:i/>
        </w:rPr>
        <w:t>Fundamentos de prueba judicial civil LEC 1/2000</w:t>
      </w:r>
      <w:r w:rsidRPr="00D66245">
        <w:rPr>
          <w:rFonts w:ascii="Palatino Linotype" w:hAnsi="Palatino Linotype"/>
        </w:rPr>
        <w:t xml:space="preserve">. Barcelona, J.M Bosch.  </w:t>
      </w:r>
    </w:p>
    <w:p w14:paraId="6EBC6064" w14:textId="77777777" w:rsidR="008057F8" w:rsidRPr="00D66245" w:rsidRDefault="008057F8" w:rsidP="006469CD">
      <w:pPr>
        <w:pStyle w:val="NormalWeb"/>
        <w:numPr>
          <w:ilvl w:val="0"/>
          <w:numId w:val="87"/>
        </w:numPr>
        <w:spacing w:before="0" w:beforeAutospacing="0" w:after="0" w:afterAutospacing="0"/>
        <w:ind w:left="425" w:hanging="357"/>
        <w:jc w:val="both"/>
        <w:rPr>
          <w:rFonts w:ascii="Palatino Linotype" w:hAnsi="Palatino Linotype"/>
          <w:sz w:val="22"/>
          <w:szCs w:val="22"/>
        </w:rPr>
      </w:pPr>
      <w:r w:rsidRPr="00D66245">
        <w:rPr>
          <w:rFonts w:ascii="Palatino Linotype" w:hAnsi="Palatino Linotype"/>
          <w:sz w:val="22"/>
          <w:szCs w:val="22"/>
        </w:rPr>
        <w:t xml:space="preserve">OLASO ÁLVAREZ, J. 2015. </w:t>
      </w:r>
      <w:r w:rsidRPr="00D66245">
        <w:rPr>
          <w:rFonts w:ascii="Palatino Linotype" w:hAnsi="Palatino Linotype"/>
          <w:i/>
          <w:sz w:val="22"/>
          <w:szCs w:val="22"/>
        </w:rPr>
        <w:t>La prueba en materia civil</w:t>
      </w:r>
      <w:r w:rsidRPr="00D66245">
        <w:rPr>
          <w:rFonts w:ascii="Palatino Linotype" w:hAnsi="Palatino Linotype"/>
          <w:sz w:val="22"/>
          <w:szCs w:val="22"/>
        </w:rPr>
        <w:t xml:space="preserve">. San José, Editorial Jurídica Continental. </w:t>
      </w:r>
    </w:p>
    <w:p w14:paraId="4BCAD364"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OLASO ÁLVAREZ, J. 2018. </w:t>
      </w:r>
      <w:r w:rsidRPr="00D66245">
        <w:rPr>
          <w:rFonts w:ascii="Palatino Linotype" w:hAnsi="Palatino Linotype"/>
          <w:i/>
          <w:lang w:val="es-ES"/>
        </w:rPr>
        <w:t>La carga de la prueba en la reforma civil: ¿Carga dinámica, reinversión de la prueba, redistribución de la prueba o facilidad probatoria a través de sanciones procesales?,</w:t>
      </w:r>
      <w:r w:rsidRPr="00D66245">
        <w:rPr>
          <w:rFonts w:ascii="Palatino Linotype" w:hAnsi="Palatino Linotype"/>
          <w:lang w:val="es-ES"/>
        </w:rPr>
        <w:t xml:space="preserve"> en Revista Judicial, Poder Judicial de Costa Rica. Edición Especial. San José. </w:t>
      </w:r>
    </w:p>
    <w:p w14:paraId="3F1C6EEE"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n-US"/>
        </w:rPr>
        <w:t xml:space="preserve">ORTELLS RAMOS, M. </w:t>
      </w:r>
      <w:r w:rsidRPr="00D66245">
        <w:rPr>
          <w:rFonts w:ascii="Palatino Linotype" w:hAnsi="Palatino Linotype"/>
          <w:i/>
          <w:lang w:val="en-US"/>
        </w:rPr>
        <w:t>et all</w:t>
      </w:r>
      <w:r w:rsidRPr="00D66245">
        <w:rPr>
          <w:rFonts w:ascii="Palatino Linotype" w:hAnsi="Palatino Linotype"/>
          <w:lang w:val="en-US"/>
        </w:rPr>
        <w:t xml:space="preserve">. 2001. </w:t>
      </w:r>
      <w:r w:rsidRPr="00D66245">
        <w:rPr>
          <w:rFonts w:ascii="Palatino Linotype" w:hAnsi="Palatino Linotype"/>
          <w:i/>
          <w:lang w:val="es-ES"/>
        </w:rPr>
        <w:t>Derecho Procesal Civil</w:t>
      </w:r>
      <w:r w:rsidRPr="00D66245">
        <w:rPr>
          <w:rFonts w:ascii="Palatino Linotype" w:hAnsi="Palatino Linotype"/>
          <w:lang w:val="es-ES"/>
        </w:rPr>
        <w:t>. 2ª ed. Navarra,</w:t>
      </w:r>
      <w:r w:rsidRPr="00D66245">
        <w:rPr>
          <w:rFonts w:ascii="Palatino Linotype" w:hAnsi="Palatino Linotype"/>
        </w:rPr>
        <w:t xml:space="preserve"> Editorial</w:t>
      </w:r>
      <w:r w:rsidRPr="00D66245">
        <w:rPr>
          <w:rFonts w:ascii="Palatino Linotype" w:hAnsi="Palatino Linotype"/>
          <w:lang w:val="es-ES"/>
        </w:rPr>
        <w:t xml:space="preserve"> Aranzadi. </w:t>
      </w:r>
    </w:p>
    <w:p w14:paraId="40D884DD"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PAZOS MÉNDEZ, S. 2007. </w:t>
      </w:r>
      <w:r w:rsidRPr="00D66245">
        <w:rPr>
          <w:rFonts w:ascii="Palatino Linotype" w:hAnsi="Palatino Linotype"/>
          <w:i/>
          <w:lang w:val="es-ES"/>
        </w:rPr>
        <w:t xml:space="preserve">Los criterios de facilidad y disponibilidad probatoria en el proceso civil.; </w:t>
      </w:r>
      <w:r w:rsidRPr="00D66245">
        <w:rPr>
          <w:rFonts w:ascii="Palatino Linotype" w:hAnsi="Palatino Linotype"/>
          <w:lang w:val="es-ES"/>
        </w:rPr>
        <w:t xml:space="preserve">en LLUCH, X. y PICÓ I JUNOY, J. </w:t>
      </w:r>
      <w:r w:rsidRPr="00D66245">
        <w:rPr>
          <w:rFonts w:ascii="Palatino Linotype" w:hAnsi="Palatino Linotype"/>
          <w:i/>
          <w:lang w:val="es-ES"/>
        </w:rPr>
        <w:t>Objeto y carga de la prueba civil</w:t>
      </w:r>
      <w:r w:rsidRPr="00D66245">
        <w:rPr>
          <w:rFonts w:ascii="Palatino Linotype" w:hAnsi="Palatino Linotype"/>
          <w:lang w:val="es-ES"/>
        </w:rPr>
        <w:t xml:space="preserve">. Barcelona, Bosch Editor. </w:t>
      </w:r>
    </w:p>
    <w:p w14:paraId="4D6DFB69"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PEYRANO, J. </w:t>
      </w:r>
      <w:r w:rsidRPr="00D66245">
        <w:rPr>
          <w:rFonts w:ascii="Palatino Linotype" w:hAnsi="Palatino Linotype"/>
        </w:rPr>
        <w:t>2008.</w:t>
      </w:r>
      <w:r w:rsidRPr="00D66245">
        <w:rPr>
          <w:rFonts w:ascii="Palatino Linotype" w:hAnsi="Palatino Linotype"/>
          <w:lang w:val="es-ES"/>
        </w:rPr>
        <w:t xml:space="preserve"> a.</w:t>
      </w:r>
      <w:r w:rsidRPr="00D66245">
        <w:rPr>
          <w:rFonts w:ascii="Palatino Linotype" w:hAnsi="Palatino Linotype"/>
          <w:i/>
          <w:lang w:val="es-ES"/>
        </w:rPr>
        <w:t xml:space="preserve"> Nuevos lineamientos de las cargas probatorias dinámicas.</w:t>
      </w:r>
      <w:r w:rsidRPr="00D66245">
        <w:rPr>
          <w:rFonts w:ascii="Palatino Linotype" w:hAnsi="Palatino Linotype"/>
          <w:lang w:val="es-ES"/>
        </w:rPr>
        <w:t xml:space="preserve">, </w:t>
      </w:r>
      <w:r w:rsidRPr="00D66245">
        <w:rPr>
          <w:rFonts w:ascii="Palatino Linotype" w:hAnsi="Palatino Linotype"/>
        </w:rPr>
        <w:t xml:space="preserve">en PEYRANO, J. y LÉPORI WHITE, I. (coord.): </w:t>
      </w:r>
      <w:r w:rsidRPr="00D66245">
        <w:rPr>
          <w:rFonts w:ascii="Palatino Linotype" w:hAnsi="Palatino Linotype"/>
          <w:i/>
        </w:rPr>
        <w:t>Cargas probatorias dinámicas</w:t>
      </w:r>
      <w:r w:rsidRPr="00D66245">
        <w:rPr>
          <w:rFonts w:ascii="Palatino Linotype" w:hAnsi="Palatino Linotype"/>
        </w:rPr>
        <w:t xml:space="preserve">. Santa Fe, Rubinzal-Culzoni. </w:t>
      </w:r>
    </w:p>
    <w:p w14:paraId="0F52BEEB"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PEYRANO, J. </w:t>
      </w:r>
      <w:r w:rsidRPr="00D66245">
        <w:rPr>
          <w:rFonts w:ascii="Palatino Linotype" w:hAnsi="Palatino Linotype"/>
        </w:rPr>
        <w:t xml:space="preserve">2008. </w:t>
      </w:r>
      <w:r w:rsidRPr="00D66245">
        <w:rPr>
          <w:rFonts w:ascii="Palatino Linotype" w:hAnsi="Palatino Linotype"/>
          <w:lang w:val="es-ES"/>
        </w:rPr>
        <w:t xml:space="preserve">b. </w:t>
      </w:r>
      <w:r w:rsidRPr="00D66245">
        <w:rPr>
          <w:rFonts w:ascii="Palatino Linotype" w:hAnsi="Palatino Linotype"/>
          <w:i/>
        </w:rPr>
        <w:t>La doctrina de las cargas probatorias dinámicas y la máquina de impedir en materia jurídica</w:t>
      </w:r>
      <w:r w:rsidRPr="00D66245">
        <w:rPr>
          <w:rFonts w:ascii="Palatino Linotype" w:hAnsi="Palatino Linotype"/>
        </w:rPr>
        <w:t xml:space="preserve">., en PEYRANO, J. y LÉPORI WHITE, I. (coord.): </w:t>
      </w:r>
      <w:r w:rsidRPr="00D66245">
        <w:rPr>
          <w:rFonts w:ascii="Palatino Linotype" w:hAnsi="Palatino Linotype"/>
          <w:i/>
        </w:rPr>
        <w:t>Cargas probatorias dinámicas</w:t>
      </w:r>
      <w:r w:rsidRPr="00D66245">
        <w:rPr>
          <w:rFonts w:ascii="Palatino Linotype" w:hAnsi="Palatino Linotype"/>
        </w:rPr>
        <w:t>. Santa Fe, Rubinzal-Culzoni.</w:t>
      </w:r>
    </w:p>
    <w:p w14:paraId="7472F3B1"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PEYRANO, J. </w:t>
      </w:r>
      <w:r w:rsidRPr="00D66245">
        <w:rPr>
          <w:rFonts w:ascii="Palatino Linotype" w:hAnsi="Palatino Linotype"/>
        </w:rPr>
        <w:t xml:space="preserve">2008. </w:t>
      </w:r>
      <w:r w:rsidRPr="00D66245">
        <w:rPr>
          <w:rFonts w:ascii="Palatino Linotype" w:hAnsi="Palatino Linotype"/>
          <w:lang w:val="es-ES"/>
        </w:rPr>
        <w:t xml:space="preserve">c. </w:t>
      </w:r>
      <w:r w:rsidRPr="00D66245">
        <w:rPr>
          <w:rFonts w:ascii="Palatino Linotype" w:hAnsi="Palatino Linotype"/>
          <w:i/>
          <w:lang w:val="es-ES"/>
        </w:rPr>
        <w:t>De la carga probatoria dinámica embozada a su consagración legislativa.</w:t>
      </w:r>
      <w:r w:rsidRPr="00D66245">
        <w:rPr>
          <w:rFonts w:ascii="Palatino Linotype" w:hAnsi="Palatino Linotype"/>
          <w:lang w:val="es-ES"/>
        </w:rPr>
        <w:t xml:space="preserve">, </w:t>
      </w:r>
      <w:r w:rsidRPr="00D66245">
        <w:rPr>
          <w:rFonts w:ascii="Palatino Linotype" w:hAnsi="Palatino Linotype"/>
        </w:rPr>
        <w:t xml:space="preserve">en PEYRANO, J. y LÉPORI WHITE, I. (coord.): </w:t>
      </w:r>
      <w:r w:rsidRPr="00D66245">
        <w:rPr>
          <w:rFonts w:ascii="Palatino Linotype" w:hAnsi="Palatino Linotype"/>
          <w:i/>
        </w:rPr>
        <w:t>Cargas probatorias dinámicas</w:t>
      </w:r>
      <w:r w:rsidRPr="00D66245">
        <w:rPr>
          <w:rFonts w:ascii="Palatino Linotype" w:hAnsi="Palatino Linotype"/>
        </w:rPr>
        <w:t>. Santa Fe, Rubinzal-Culzoni.</w:t>
      </w:r>
    </w:p>
    <w:p w14:paraId="78FBC196"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rPr>
        <w:t xml:space="preserve">PEYRANO, J. </w:t>
      </w:r>
      <w:r w:rsidRPr="00D66245">
        <w:rPr>
          <w:rFonts w:ascii="Palatino Linotype" w:hAnsi="Palatino Linotype"/>
          <w:lang w:val="es-ES"/>
        </w:rPr>
        <w:t xml:space="preserve">2018. </w:t>
      </w:r>
      <w:r w:rsidRPr="00D66245">
        <w:rPr>
          <w:rFonts w:ascii="Palatino Linotype" w:hAnsi="Palatino Linotype"/>
          <w:i/>
        </w:rPr>
        <w:t>Flexibilizaciones en la carga de la prueba</w:t>
      </w:r>
      <w:r w:rsidRPr="00D66245">
        <w:rPr>
          <w:rFonts w:ascii="Palatino Linotype" w:hAnsi="Palatino Linotype"/>
        </w:rPr>
        <w:t xml:space="preserve">., </w:t>
      </w:r>
      <w:r w:rsidRPr="00D66245">
        <w:rPr>
          <w:rFonts w:ascii="Palatino Linotype" w:hAnsi="Palatino Linotype"/>
          <w:lang w:val="es-ES"/>
        </w:rPr>
        <w:t xml:space="preserve">en </w:t>
      </w:r>
      <w:r w:rsidRPr="00D66245">
        <w:rPr>
          <w:rFonts w:ascii="Palatino Linotype" w:hAnsi="Palatino Linotype"/>
          <w:i/>
          <w:lang w:val="es-ES"/>
        </w:rPr>
        <w:t>La prueba en el proceso</w:t>
      </w:r>
      <w:r w:rsidRPr="00D66245">
        <w:rPr>
          <w:rFonts w:ascii="Palatino Linotype" w:hAnsi="Palatino Linotype"/>
          <w:lang w:val="es-ES"/>
        </w:rPr>
        <w:t xml:space="preserve">, II Conferencia Internacional &amp; XXVI Jornadas Iberoamericana de Derecho Procesal. Barcelona, Atelier. </w:t>
      </w:r>
    </w:p>
    <w:p w14:paraId="6D3E9418"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RAMBALDO, J.A. 2008. </w:t>
      </w:r>
      <w:r w:rsidRPr="00D66245">
        <w:rPr>
          <w:rFonts w:ascii="Palatino Linotype" w:hAnsi="Palatino Linotype"/>
          <w:i/>
          <w:lang w:val="es-ES"/>
        </w:rPr>
        <w:t>Cargas probatorias dinámicas: un giro epistemológico</w:t>
      </w:r>
      <w:r w:rsidRPr="00D66245">
        <w:rPr>
          <w:rFonts w:ascii="Palatino Linotype" w:hAnsi="Palatino Linotype"/>
          <w:lang w:val="es-ES"/>
        </w:rPr>
        <w:t xml:space="preserve">., </w:t>
      </w:r>
      <w:r w:rsidRPr="00D66245">
        <w:rPr>
          <w:rFonts w:ascii="Palatino Linotype" w:hAnsi="Palatino Linotype"/>
        </w:rPr>
        <w:t xml:space="preserve">en PEYRANO, J. y LÉPORI WHITE, I. (coord.): </w:t>
      </w:r>
      <w:r w:rsidRPr="00D66245">
        <w:rPr>
          <w:rFonts w:ascii="Palatino Linotype" w:hAnsi="Palatino Linotype"/>
          <w:i/>
        </w:rPr>
        <w:t>Cargas probatorias dinámicas</w:t>
      </w:r>
      <w:r w:rsidRPr="00D66245">
        <w:rPr>
          <w:rFonts w:ascii="Palatino Linotype" w:hAnsi="Palatino Linotype"/>
        </w:rPr>
        <w:t xml:space="preserve">. Santa Fe, Rubinzal-Culzoni. </w:t>
      </w:r>
    </w:p>
    <w:p w14:paraId="14C45F9F"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rPr>
        <w:t xml:space="preserve">RÍOS LEIVA, E. </w:t>
      </w:r>
      <w:r w:rsidRPr="00D66245">
        <w:rPr>
          <w:rFonts w:ascii="Palatino Linotype" w:hAnsi="Palatino Linotype"/>
          <w:lang w:val="es-ES"/>
        </w:rPr>
        <w:t xml:space="preserve">2018. </w:t>
      </w:r>
      <w:r w:rsidRPr="00D66245">
        <w:rPr>
          <w:rFonts w:ascii="Palatino Linotype" w:hAnsi="Palatino Linotype"/>
          <w:i/>
          <w:lang w:val="es-ES"/>
        </w:rPr>
        <w:t>Manual de dirección de audiencias orales en la nueva justicia civil de Costa Rica</w:t>
      </w:r>
      <w:r w:rsidRPr="00D66245">
        <w:rPr>
          <w:rFonts w:ascii="Palatino Linotype" w:hAnsi="Palatino Linotype"/>
          <w:lang w:val="es-ES"/>
        </w:rPr>
        <w:t xml:space="preserve">. Santiago, Centro de Estudios de Justicia de las Américas. </w:t>
      </w:r>
    </w:p>
    <w:p w14:paraId="4C9516D3"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lastRenderedPageBreak/>
        <w:t xml:space="preserve">ROSENBERG, L. 2002. </w:t>
      </w:r>
      <w:r w:rsidRPr="00D66245">
        <w:rPr>
          <w:rFonts w:ascii="Palatino Linotype" w:hAnsi="Palatino Linotype"/>
          <w:i/>
          <w:lang w:val="es-ES"/>
        </w:rPr>
        <w:t>La carga de la prueba</w:t>
      </w:r>
      <w:r w:rsidRPr="00D66245">
        <w:rPr>
          <w:rFonts w:ascii="Palatino Linotype" w:hAnsi="Palatino Linotype"/>
          <w:lang w:val="es-ES"/>
        </w:rPr>
        <w:t>. 2da edición de la traducción al castellano. Buenos Aires, Euros editores S.R.L.</w:t>
      </w:r>
    </w:p>
    <w:p w14:paraId="0E99821C"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ROSENBERG, L. 1955. </w:t>
      </w:r>
      <w:r w:rsidRPr="00D66245">
        <w:rPr>
          <w:rFonts w:ascii="Palatino Linotype" w:hAnsi="Palatino Linotype"/>
          <w:i/>
          <w:lang w:val="es-ES"/>
        </w:rPr>
        <w:t>Tratado de derecho procesal civil II</w:t>
      </w:r>
      <w:r w:rsidRPr="00D66245">
        <w:rPr>
          <w:rFonts w:ascii="Palatino Linotype" w:hAnsi="Palatino Linotype"/>
          <w:lang w:val="es-ES"/>
        </w:rPr>
        <w:t xml:space="preserve">. Trad. de Romera Vera. Buenos Aires, Ediciones Jurídicas Europa-América. </w:t>
      </w:r>
    </w:p>
    <w:p w14:paraId="32211D67"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TARUFFO, M. 2008.</w:t>
      </w:r>
      <w:r w:rsidRPr="00D66245">
        <w:rPr>
          <w:rFonts w:ascii="Palatino Linotype" w:hAnsi="Palatino Linotype"/>
        </w:rPr>
        <w:t xml:space="preserve"> </w:t>
      </w:r>
      <w:r w:rsidRPr="00D66245">
        <w:rPr>
          <w:rFonts w:ascii="Palatino Linotype" w:hAnsi="Palatino Linotype"/>
          <w:i/>
          <w:lang w:val="es-ES"/>
        </w:rPr>
        <w:t>La prueba</w:t>
      </w:r>
      <w:r w:rsidRPr="00D66245">
        <w:rPr>
          <w:rFonts w:ascii="Palatino Linotype" w:hAnsi="Palatino Linotype"/>
          <w:lang w:val="es-ES"/>
        </w:rPr>
        <w:t xml:space="preserve">. Madrid, Marcial Pons. </w:t>
      </w:r>
    </w:p>
    <w:p w14:paraId="3B71B8DB"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rPr>
        <w:t xml:space="preserve">URIARTE CODÓN, A. </w:t>
      </w:r>
      <w:r w:rsidRPr="00D66245">
        <w:rPr>
          <w:rFonts w:ascii="Palatino Linotype" w:hAnsi="Palatino Linotype"/>
          <w:lang w:val="es-ES"/>
        </w:rPr>
        <w:t xml:space="preserve">2007. </w:t>
      </w:r>
      <w:r w:rsidRPr="00D66245">
        <w:rPr>
          <w:rFonts w:ascii="Palatino Linotype" w:hAnsi="Palatino Linotype"/>
          <w:i/>
        </w:rPr>
        <w:t>La inversión de la carga de la prueba</w:t>
      </w:r>
      <w:r w:rsidRPr="00D66245">
        <w:rPr>
          <w:rFonts w:ascii="Palatino Linotype" w:hAnsi="Palatino Linotype"/>
        </w:rPr>
        <w:t xml:space="preserve">., en </w:t>
      </w:r>
      <w:r w:rsidRPr="00D66245">
        <w:rPr>
          <w:rFonts w:ascii="Palatino Linotype" w:hAnsi="Palatino Linotype"/>
          <w:lang w:val="es-ES"/>
        </w:rPr>
        <w:t xml:space="preserve">LLUCH, X. y PICÓ I JUNOY, J. </w:t>
      </w:r>
      <w:r w:rsidRPr="00D66245">
        <w:rPr>
          <w:rFonts w:ascii="Palatino Linotype" w:hAnsi="Palatino Linotype"/>
          <w:i/>
          <w:lang w:val="es-ES"/>
        </w:rPr>
        <w:t>Objeto y carga de la prueba civil</w:t>
      </w:r>
      <w:r w:rsidRPr="00D66245">
        <w:rPr>
          <w:rFonts w:ascii="Palatino Linotype" w:hAnsi="Palatino Linotype"/>
          <w:lang w:val="es-ES"/>
        </w:rPr>
        <w:t xml:space="preserve">. Barcelona, Bosch Editor. </w:t>
      </w:r>
    </w:p>
    <w:p w14:paraId="14CD8B7E"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Código Procesal Civil, Ley Nº 9342, 03 de febrero de 2016.</w:t>
      </w:r>
    </w:p>
    <w:p w14:paraId="2C6D23C3"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Código Procesal Civil, Ley Nº 7130 del 16 de agosto de 1989.</w:t>
      </w:r>
    </w:p>
    <w:p w14:paraId="7201B226"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Código Civil, Ley Nº 63 del 28 de septiembre de 1887.</w:t>
      </w:r>
    </w:p>
    <w:p w14:paraId="461C527E"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Ley </w:t>
      </w:r>
      <w:r w:rsidRPr="00D66245">
        <w:rPr>
          <w:rFonts w:ascii="Palatino Linotype" w:hAnsi="Palatino Linotype"/>
        </w:rPr>
        <w:t>de Promoción de la Competencia y Defensa Efectiva del Consumidor, Nº 7472 del 20 de diciembre de 1994.</w:t>
      </w:r>
    </w:p>
    <w:p w14:paraId="47957AD3"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Exposición de motivos de la Ley Nº 9342.</w:t>
      </w:r>
    </w:p>
    <w:p w14:paraId="4C95BC54"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lang w:val="es-ES"/>
        </w:rPr>
        <w:t xml:space="preserve">Videoconferencia de la Comisión de la Jurisdicción Civil y la Escuela Judicial. Noviembre 2017. Carga y apreciación de la prueba. MSc. Juan Carlos Meoño Nimo. </w:t>
      </w:r>
      <w:hyperlink r:id="rId41" w:history="1">
        <w:r w:rsidRPr="00D66245">
          <w:rPr>
            <w:rStyle w:val="Hipervnculo"/>
            <w:rFonts w:ascii="Palatino Linotype" w:hAnsi="Palatino Linotype"/>
            <w:color w:val="auto"/>
            <w:lang w:val="es-ES"/>
          </w:rPr>
          <w:t>https://comisionjurisdiccioncivil.poder-judicial.go.cr/images/videos/24-Carga-y-apreciacion-de-la-prueba.mp4</w:t>
        </w:r>
      </w:hyperlink>
      <w:r w:rsidRPr="00D66245">
        <w:rPr>
          <w:rFonts w:ascii="Palatino Linotype" w:hAnsi="Palatino Linotype"/>
          <w:lang w:val="es-ES"/>
        </w:rPr>
        <w:t>).</w:t>
      </w:r>
    </w:p>
    <w:p w14:paraId="2766CDE4" w14:textId="77777777" w:rsidR="008057F8" w:rsidRPr="00D66245" w:rsidRDefault="008057F8" w:rsidP="006469CD">
      <w:pPr>
        <w:pStyle w:val="Prrafodelista"/>
        <w:numPr>
          <w:ilvl w:val="0"/>
          <w:numId w:val="87"/>
        </w:numPr>
        <w:spacing w:after="0" w:line="240" w:lineRule="auto"/>
        <w:ind w:left="425" w:hanging="357"/>
        <w:contextualSpacing w:val="0"/>
        <w:jc w:val="both"/>
        <w:rPr>
          <w:rFonts w:ascii="Palatino Linotype" w:hAnsi="Palatino Linotype"/>
          <w:lang w:val="es-ES"/>
        </w:rPr>
      </w:pPr>
      <w:r w:rsidRPr="00D66245">
        <w:rPr>
          <w:rFonts w:ascii="Palatino Linotype" w:hAnsi="Palatino Linotype"/>
          <w:bCs/>
        </w:rPr>
        <w:t xml:space="preserve">La Carga de la Prueba en el Proyecto de Reforma del Código Procesal Civil | Jordi Ferrer. </w:t>
      </w:r>
      <w:hyperlink r:id="rId42" w:history="1">
        <w:r w:rsidRPr="00D66245">
          <w:rPr>
            <w:rStyle w:val="Hipervnculo"/>
            <w:rFonts w:ascii="Palatino Linotype" w:hAnsi="Palatino Linotype"/>
            <w:color w:val="auto"/>
          </w:rPr>
          <w:t>https://www.youtube.com/watch?v=iXC-6xQKyUI</w:t>
        </w:r>
      </w:hyperlink>
    </w:p>
    <w:p w14:paraId="5D0B6EBB" w14:textId="77777777" w:rsidR="00674E90" w:rsidRDefault="00674E90" w:rsidP="006D3048">
      <w:pPr>
        <w:spacing w:before="120" w:after="200"/>
        <w:jc w:val="both"/>
        <w:rPr>
          <w:rFonts w:ascii="Palatino Linotype" w:eastAsia="Times New Roman" w:hAnsi="Palatino Linotype" w:cs="Arial"/>
          <w:b/>
          <w:bCs/>
          <w:lang w:val="es-CR" w:eastAsia="es-ES"/>
        </w:rPr>
      </w:pPr>
    </w:p>
    <w:p w14:paraId="173717F1" w14:textId="77777777" w:rsidR="0073057A" w:rsidRDefault="0073057A" w:rsidP="006469CD">
      <w:pPr>
        <w:spacing w:line="240" w:lineRule="auto"/>
        <w:jc w:val="center"/>
        <w:rPr>
          <w:rFonts w:ascii="Palatino Linotype" w:hAnsi="Palatino Linotype" w:cs="Times New Roman"/>
          <w:b/>
          <w:lang w:val="es-CR"/>
        </w:rPr>
        <w:sectPr w:rsidR="0073057A" w:rsidSect="00BA1B42">
          <w:headerReference w:type="even" r:id="rId43"/>
          <w:type w:val="nextColumn"/>
          <w:pgSz w:w="12242" w:h="15842" w:code="1"/>
          <w:pgMar w:top="1474" w:right="2098" w:bottom="1021" w:left="2778" w:header="851" w:footer="2835" w:gutter="0"/>
          <w:cols w:space="708"/>
          <w:titlePg/>
          <w:docGrid w:linePitch="360"/>
        </w:sectPr>
      </w:pPr>
    </w:p>
    <w:p w14:paraId="03F70919" w14:textId="4C453CB7" w:rsidR="006469CD" w:rsidRPr="006469CD" w:rsidRDefault="00674E90" w:rsidP="006469CD">
      <w:pPr>
        <w:spacing w:line="240" w:lineRule="auto"/>
        <w:jc w:val="center"/>
        <w:rPr>
          <w:rFonts w:ascii="Palatino Linotype" w:hAnsi="Palatino Linotype" w:cs="Times New Roman"/>
          <w:b/>
          <w:lang w:val="es-CR"/>
        </w:rPr>
      </w:pPr>
      <w:r w:rsidRPr="006469CD">
        <w:rPr>
          <w:rFonts w:ascii="Palatino Linotype" w:hAnsi="Palatino Linotype" w:cs="Times New Roman"/>
          <w:b/>
          <w:lang w:val="es-CR"/>
        </w:rPr>
        <w:lastRenderedPageBreak/>
        <w:t>EL PLAN PROBÁTICO β (Beta).</w:t>
      </w:r>
    </w:p>
    <w:p w14:paraId="2873638E" w14:textId="3724C7BE" w:rsidR="00674E90" w:rsidRPr="006469CD" w:rsidRDefault="00674E90" w:rsidP="000256DD">
      <w:pPr>
        <w:spacing w:after="0" w:line="240" w:lineRule="auto"/>
        <w:ind w:left="4247"/>
        <w:rPr>
          <w:rFonts w:ascii="Palatino Linotype" w:hAnsi="Palatino Linotype" w:cs="Times New Roman"/>
          <w:b/>
          <w:i/>
          <w:lang w:val="es-CR"/>
        </w:rPr>
      </w:pPr>
      <w:r w:rsidRPr="006469CD">
        <w:rPr>
          <w:rFonts w:ascii="Palatino Linotype" w:hAnsi="Palatino Linotype" w:cs="Times New Roman"/>
          <w:b/>
          <w:i/>
          <w:lang w:val="es-CR"/>
        </w:rPr>
        <w:t>Dr. Roberto Yglesias Mora</w:t>
      </w:r>
    </w:p>
    <w:p w14:paraId="6DBF132D" w14:textId="77777777" w:rsidR="00674E90" w:rsidRPr="006469CD" w:rsidRDefault="00674E90" w:rsidP="000256DD">
      <w:pPr>
        <w:spacing w:after="0" w:line="240" w:lineRule="auto"/>
        <w:ind w:left="4247"/>
        <w:rPr>
          <w:rFonts w:ascii="Palatino Linotype" w:hAnsi="Palatino Linotype" w:cs="Times New Roman"/>
          <w:b/>
          <w:i/>
          <w:lang w:val="es-CR"/>
        </w:rPr>
      </w:pPr>
      <w:r w:rsidRPr="006469CD">
        <w:rPr>
          <w:rFonts w:ascii="Palatino Linotype" w:hAnsi="Palatino Linotype" w:cs="Times New Roman"/>
          <w:b/>
          <w:i/>
          <w:lang w:val="es-CR"/>
        </w:rPr>
        <w:t>Juan Carlos Vásquez Drexler</w:t>
      </w:r>
    </w:p>
    <w:p w14:paraId="48F93F1C" w14:textId="77777777" w:rsidR="00674E90" w:rsidRPr="006469CD" w:rsidRDefault="00674E90" w:rsidP="00674E90">
      <w:pPr>
        <w:pStyle w:val="Ttulo1"/>
        <w:rPr>
          <w:rFonts w:ascii="Palatino Linotype" w:hAnsi="Palatino Linotype" w:cs="Times New Roman"/>
          <w:b w:val="0"/>
          <w:sz w:val="22"/>
          <w:szCs w:val="22"/>
        </w:rPr>
      </w:pPr>
      <w:r w:rsidRPr="006469CD">
        <w:rPr>
          <w:rFonts w:ascii="Palatino Linotype" w:hAnsi="Palatino Linotype" w:cs="Times New Roman"/>
          <w:sz w:val="22"/>
          <w:szCs w:val="22"/>
        </w:rPr>
        <w:t>1) INTROITO</w:t>
      </w:r>
    </w:p>
    <w:p w14:paraId="1CF6EF8A"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 xml:space="preserve">Los fallos judiciales y arbitrales deben estar basados en la verdad, la que a su vez debe estar fundamentada en pruebas. Éste es un deber esencial de los jueces, cuyo cumplimiento está asociado a medios probatorios y sistemas conocidos (inquisitivo, acusatorio y mixto), para obtener la prueba y poder luego valorarla. A su vez las partes tienen el deber procesal de exponerle al juzgador, los hechos en los que fundamenta su demanda o su defensa y la prueba pertinente. Se trata en consecuencia de dos ámbitos de acción y gestión probatoria a no dudar interrelacionados, que constituyen la esencia de todo proceso jurisdiccional. </w:t>
      </w:r>
    </w:p>
    <w:p w14:paraId="485036DB"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 xml:space="preserve">Nos interesa en este estudio, profundizar principalmente en las labores y técnicas probatorias a cargo de las partes, teniendo como premisa, que los procedimientos civiles regulatorios de la producción de pruebas, constituyen solamente una parte de lo que podríamos denominar como el Derecho de la Prueba. Esto por cuanto antes de iniciar cualquier procedimiento jurisdiccional y ofrecer las pruebas del caso, la parte debe determinar en primer término, cuáles son los hechos base del conflicto y ponderar una serie de elementos y particularidades fácticas, la cronología, los indicios, las relaciones entre los hechos, elementos primarios y secundarios entre otros otros datos, que los expertos en Derecho Probático han venido rescatando en años recientes. El modo en que se identificarán, acumularán y organizarán tales hechos y datos, debe ser producto de la lógica y de herramientas disponibles o a ser desarrolladas por las partes. Es por ello que los aspectos procesales de la prueba, constituyen solamente una especie de vehículo final para la producción eficaz de la prueba en el proceso, pero la prueba, en una visión comprensiva, trasciende de su faceta meramente procesal. </w:t>
      </w:r>
    </w:p>
    <w:p w14:paraId="48555277" w14:textId="77777777" w:rsidR="00674E90" w:rsidRPr="006469CD" w:rsidRDefault="00674E90" w:rsidP="00674E90">
      <w:pPr>
        <w:pStyle w:val="Ttulo1"/>
        <w:rPr>
          <w:rFonts w:ascii="Palatino Linotype" w:hAnsi="Palatino Linotype" w:cs="Times New Roman"/>
          <w:b w:val="0"/>
          <w:sz w:val="22"/>
          <w:szCs w:val="22"/>
        </w:rPr>
      </w:pPr>
      <w:r w:rsidRPr="006469CD">
        <w:rPr>
          <w:rFonts w:ascii="Palatino Linotype" w:hAnsi="Palatino Linotype" w:cs="Times New Roman"/>
          <w:sz w:val="22"/>
          <w:szCs w:val="22"/>
        </w:rPr>
        <w:lastRenderedPageBreak/>
        <w:t>2) EL DERECHO SUSTANTIVO DE LA PRUEBA.</w:t>
      </w:r>
    </w:p>
    <w:p w14:paraId="0C497015"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Según una extendida corriente procesalista, en el proceso no se prueban los hechos, sino más bien las afirmaciones de las partes y el juzgador las verifica con base en las pruebas aportadas por ellas. Esta tesis guarda cercanía con el formalismo jurídico en materia probatoria, limitando las funciones del juez, de acuerdo con los lineamientos tradicionales del Derecho Civil y Procesal Civil, sobre el rol (relativamente) pasivo del juzgador. Sin embargo, estimamos que hoy la ciencia y la tecnología permiten cada vez más acercarse a la verdad real de los hechos acaecidos, obligando a jueces y litigantes a poner más empeño e interés en buscarla y separarse de la llamada verdad “del expediente”.</w:t>
      </w:r>
    </w:p>
    <w:p w14:paraId="785D88BA"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En el llamado Derecho Civil continental, la función del juez está más llamada a desempeñar una función de mero “operador” del derecho, como un funcionario público más, sin que requiera de especiales destrezas, experiencia o una especialidad jurídica. En ese sentido, los árbitros llevan una ventaja, pues su nombramiento en un proceso arbitral, normalmente estará asociado a su experiencia, buen nombre y conocimientos. Así, v,g,, en España para ser árbitro se exige ser “jurista” y no únicamente abogado (en arbitraje de Derecho). Un estudiante recién egresado de una escuela de Derecho local, puede en poco tiempo, obtener el cargo de juez con plenas responsabilidades, luego de pasar los exámenes del Poder Judicial, pero difícilmente podría ser árbitro de Derecho. Esto nos revela la poca experiencia que se puede esperar en muchos casos, de los operadores jurídicos y juzgadores del Poder Judicial.</w:t>
      </w:r>
    </w:p>
    <w:p w14:paraId="37534321"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En ese contexto, es necesario generar una mayor conciencia, interés y práctica del Derecho de la Prueba, considerado en esa fase pre-procesal, de la determinación de la llamada “huella histórica de los hechos”, con todos los detalles y matices que normalmente los van a acompañar. He ahí el espacio que ha venido a llenar el llamado Derecho Probático.</w:t>
      </w:r>
    </w:p>
    <w:p w14:paraId="104310B3"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 xml:space="preserve">La recopilación, organización y análisis pre-litigio de los hechos y de su prueba, constituye en el Derecho anglosajón, una labor profesional básica, auspiciada por el mismo sistema judicial, que permite y facilita resolver en esa sede la gran mayoría de los conflictos privados. Mecanismos como el llamado “Discovery” y hoy el “E-Discovery”, permiten a las partes estar informadas y conocer los hechos y la prueba en forma idónea mucho antes </w:t>
      </w:r>
      <w:r w:rsidRPr="006469CD">
        <w:rPr>
          <w:rFonts w:ascii="Palatino Linotype" w:hAnsi="Palatino Linotype" w:cs="Times New Roman"/>
          <w:lang w:val="es-CR"/>
        </w:rPr>
        <w:lastRenderedPageBreak/>
        <w:t>de formular una demanda. En general, el Derecho de la Evidencia anglosajón, tiene un desarrollo sustancial y los estudiantes en sus universidades manejan la investigación, recopilación y estudio de la prueba, de mejor manera que los estudiantes de Derecho Civil continental.</w:t>
      </w:r>
    </w:p>
    <w:p w14:paraId="77E44FFB"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 xml:space="preserve">Ambas corrientes jurídicas no están totalmente separadas; por el contrario, hoy observamos numerosas influencias recíprocas entre esos dos grandes sistemas jurídicos: en las reformas procesales de estos últimos años en CR, se observa el germen de figuras e instituciones de origen anglosajón, como es el caso de la llamada prueba dinámica, que es una especie de primo lejano del “Discovery”, pero sin los alcances que éste tiene. El arbitraje local también ha estado abierto a esas influencias, especialmente el internacional. Hoy notamos una dudosa tendencia de unificación con el proceso arbitral doméstico, el que ha tenido hasta ahora una organización procesal más tradicional y cercana a los procesos judiciales, prácticamente todos bajo el sistema de audiencias, con gran realce de la oralidad. No obstante, el arbitraje enfatiza en ciertos principios que no tienen su par en el proceso civil común: así el principio de informalidad ha sido propio del arbitraje; es hasta ahora que el NCPC recoge algunas prácticas tendientes a cierto grado de flexibilidad, pero sin llegar a la informalidad procesal del arbitraje. El árbitro tiene además poder de ordenar pruebas de oficio en cualquier momento y no solo para mejor resolver (Art. 50 Ley RAC). </w:t>
      </w:r>
    </w:p>
    <w:p w14:paraId="0CDD4FCA"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Ciertamente, bajo la influencia del movimiento local unificador del arbitraje nacional e internacional, podemos reconocer la existencia de un proto-modelo arbitral doméstico en evolución, que ha buscado insistentemente en distanciarse del proceso civil común. Tal es el caso del nuevo Reglamento de Arbitraje del CCA, que introdujo una moderna plataforma digital y regulaciones arbitrales novedosas, algunas en préstamo del arbitraje internacional. El resto de los centros arbitrales sigue la tendencia de modernizar sus sistemas digitales y sus reglamentos arbitrales</w:t>
      </w:r>
      <w:r w:rsidRPr="006469CD">
        <w:rPr>
          <w:rStyle w:val="Refdenotaalpie"/>
          <w:rFonts w:ascii="Palatino Linotype" w:hAnsi="Palatino Linotype" w:cs="Times New Roman"/>
          <w:lang w:val="es-CR"/>
        </w:rPr>
        <w:footnoteReference w:id="103"/>
      </w:r>
      <w:r w:rsidRPr="006469CD">
        <w:rPr>
          <w:rFonts w:ascii="Palatino Linotype" w:hAnsi="Palatino Linotype" w:cs="Times New Roman"/>
          <w:lang w:val="es-CR"/>
        </w:rPr>
        <w:t xml:space="preserve">. </w:t>
      </w:r>
    </w:p>
    <w:p w14:paraId="214AB8C0"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 xml:space="preserve">Ciertamente el NCPC se acercó al proceso arbitral (mediante el sistema de audiencias) y parece que lo supera en algunos aspectos; sin embargo, se debe tener presente que el arbitraje tiende a la desregulación procesal, justamente </w:t>
      </w:r>
      <w:r w:rsidRPr="006469CD">
        <w:rPr>
          <w:rFonts w:ascii="Palatino Linotype" w:hAnsi="Palatino Linotype" w:cs="Times New Roman"/>
          <w:lang w:val="es-CR"/>
        </w:rPr>
        <w:lastRenderedPageBreak/>
        <w:t>para garantizar ese principio esencial que es la disponibilidad del proceso por las partes. Leyendo la Ley RAC, se podrían notar enseguida lagunas procesales en temas v.g., probatorios. Tales omisiones son intencionales y son las que permiten a las partes adaptar el procedimiento a sus necesidades, siempre y cuando se garantice el debido proceso. En el ámbito del arbitraje internacional, las normas modelo y los tratados internacionales, son aún menos procesalistas y más lacónicas, recogiendo los principios más básicos y algunos temas específicos, como las medidas cautelares y las órdenes procesales. Desde luego que las partes pueden convenir en someterse a un Reglamento arbitral particular, que usualmente contienen mayores detalles procesales que la ley RAC, pero no en el grado de la legislación procesal común vigente. De ahí que sería un defecto de algunos reglamentos arbitrales, regular el arbitraje detalladamente, como un proceso judicial, olvidando el espacio que le deban dar a las partes. En todo caso, nada impide que éstas últimas puedan, de común acuerdo, modificar algunas reglas contenidas en el Reglamento arbitral que hayan escogido para el trámite de su proceso arbitral, en aplicación del principio de disponibilidad.</w:t>
      </w:r>
      <w:r w:rsidRPr="006469CD">
        <w:rPr>
          <w:rStyle w:val="Refdenotaalpie"/>
          <w:rFonts w:ascii="Palatino Linotype" w:hAnsi="Palatino Linotype" w:cs="Times New Roman"/>
          <w:lang w:val="es-CR"/>
        </w:rPr>
        <w:footnoteReference w:id="104"/>
      </w:r>
      <w:r w:rsidRPr="006469CD">
        <w:rPr>
          <w:rFonts w:ascii="Palatino Linotype" w:hAnsi="Palatino Linotype" w:cs="Times New Roman"/>
          <w:lang w:val="es-CR"/>
        </w:rPr>
        <w:t xml:space="preserve"> </w:t>
      </w:r>
    </w:p>
    <w:p w14:paraId="4A9E5259"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En este momento las ventajas que conserva el arbitraje frente a la jurisdicción común y el NCPC son: 1) Especialidad y experiencia de los árbitros; 2) rapidez en dictar el laudo; 3) las partes pueden diseñar su propio procedimiento o someterse a uno en particular, entre muchos existentes, e incluso lo pueden modificar (art. 39 Ley RAC); 4) libre de formalismos innecesarios; 5) amplitud probatoria y valoración libre de la prueba por los árbitros. La libre valoración de la prueba es una característica del proceso arbitral. Por su parte, el NCPC pregona a la valoración en conjunto de toda la prueba (art. 41.5 NCPC).</w:t>
      </w:r>
    </w:p>
    <w:p w14:paraId="36CA0DCE"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 xml:space="preserve">El Derecho de la Prueba o Derecho Sustantivo de la Prueba, se está abriendo paso lentamente, buscando en primer lugar concientizar a los estudiantes sobre la importancia y la necesidad de conocer bien los hechos del conflicto antes de formular la demanda y proveyendo de técnicas para su determinación y organización. Después vendría el estudio de las normas meramente procesales de la normativa procesal, luego de un examen mucho más comprensivo del conflicto. Actualmente no existe un sistema tal de enseñanza en las escuelas de Derecho, pues se pasa directamente al estudio </w:t>
      </w:r>
      <w:r w:rsidRPr="006469CD">
        <w:rPr>
          <w:rFonts w:ascii="Palatino Linotype" w:hAnsi="Palatino Linotype" w:cs="Times New Roman"/>
          <w:lang w:val="es-CR"/>
        </w:rPr>
        <w:lastRenderedPageBreak/>
        <w:t>de los procedimientos. El énfasis no es el estudio objetivo del conflicto, sino las actuaciones procesales y en cuanto a la prueba, a lo sumo en los medios de prueba, lo que puede llevar a lagunas en el conocimiento de los hechos de los conflictos concretos.</w:t>
      </w:r>
    </w:p>
    <w:p w14:paraId="008059C7" w14:textId="77777777" w:rsidR="00674E90" w:rsidRPr="006469CD" w:rsidRDefault="00674E90" w:rsidP="00674E90">
      <w:pPr>
        <w:pStyle w:val="Ttulo1"/>
        <w:rPr>
          <w:rFonts w:ascii="Palatino Linotype" w:hAnsi="Palatino Linotype" w:cs="Times New Roman"/>
          <w:b w:val="0"/>
          <w:sz w:val="22"/>
          <w:szCs w:val="22"/>
        </w:rPr>
      </w:pPr>
      <w:r w:rsidRPr="006469CD">
        <w:rPr>
          <w:rFonts w:ascii="Palatino Linotype" w:hAnsi="Palatino Linotype" w:cs="Times New Roman"/>
          <w:sz w:val="22"/>
          <w:szCs w:val="22"/>
        </w:rPr>
        <w:t xml:space="preserve">3) EL PLAN PROBÁTICO </w:t>
      </w:r>
    </w:p>
    <w:p w14:paraId="5700D4C6" w14:textId="77777777" w:rsidR="00674E90" w:rsidRPr="006469CD" w:rsidRDefault="00674E90" w:rsidP="00674E90">
      <w:pPr>
        <w:pStyle w:val="Ttulo2"/>
        <w:rPr>
          <w:rFonts w:ascii="Palatino Linotype" w:hAnsi="Palatino Linotype" w:cs="Times New Roman"/>
          <w:b/>
          <w:i/>
          <w:color w:val="auto"/>
          <w:sz w:val="22"/>
          <w:szCs w:val="22"/>
        </w:rPr>
      </w:pPr>
      <w:r w:rsidRPr="006469CD">
        <w:rPr>
          <w:rFonts w:ascii="Palatino Linotype" w:hAnsi="Palatino Linotype" w:cs="Times New Roman"/>
          <w:b/>
          <w:i/>
          <w:color w:val="auto"/>
          <w:sz w:val="22"/>
          <w:szCs w:val="22"/>
        </w:rPr>
        <w:t>3.1) Breve introducción a las herramientas lógicas de la investigación fáctica</w:t>
      </w:r>
    </w:p>
    <w:p w14:paraId="55EF9396"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Tal como se ha venido discutiendo, previo al estudio teórico-legal, resulta necesario hacer una investigación exhaustiva de los indicios y hechos relativos al caso, labor intelectiva dificultosa que involucra formular proposiciones, hipótesis y la búsqueda de argumentos unificadores</w:t>
      </w:r>
      <w:sdt>
        <w:sdtPr>
          <w:rPr>
            <w:rFonts w:ascii="Palatino Linotype" w:hAnsi="Palatino Linotype" w:cs="Times New Roman"/>
          </w:rPr>
          <w:id w:val="246626769"/>
          <w:citation/>
        </w:sdtPr>
        <w:sdtEndPr/>
        <w:sdtContent>
          <w:r w:rsidRPr="006469CD">
            <w:rPr>
              <w:rFonts w:ascii="Palatino Linotype" w:hAnsi="Palatino Linotype" w:cs="Times New Roman"/>
            </w:rPr>
            <w:fldChar w:fldCharType="begin"/>
          </w:r>
          <w:r w:rsidRPr="006469CD">
            <w:rPr>
              <w:rFonts w:ascii="Palatino Linotype" w:hAnsi="Palatino Linotype" w:cs="Times New Roman"/>
              <w:lang w:val="es-CR"/>
            </w:rPr>
            <w:instrText xml:space="preserve"> CITATION Ter05 \l 5130 </w:instrText>
          </w:r>
          <w:r w:rsidRPr="006469CD">
            <w:rPr>
              <w:rFonts w:ascii="Palatino Linotype" w:hAnsi="Palatino Linotype" w:cs="Times New Roman"/>
            </w:rPr>
            <w:fldChar w:fldCharType="separate"/>
          </w:r>
          <w:r w:rsidRPr="006469CD">
            <w:rPr>
              <w:rFonts w:ascii="Palatino Linotype" w:hAnsi="Palatino Linotype" w:cs="Times New Roman"/>
              <w:noProof/>
              <w:lang w:val="es-CR"/>
            </w:rPr>
            <w:t xml:space="preserve"> (Terence , Schum, &amp; Twining, 2005)</w:t>
          </w:r>
          <w:r w:rsidRPr="006469CD">
            <w:rPr>
              <w:rFonts w:ascii="Palatino Linotype" w:hAnsi="Palatino Linotype" w:cs="Times New Roman"/>
            </w:rPr>
            <w:fldChar w:fldCharType="end"/>
          </w:r>
        </w:sdtContent>
      </w:sdt>
      <w:r w:rsidRPr="006469CD">
        <w:rPr>
          <w:rFonts w:ascii="Palatino Linotype" w:hAnsi="Palatino Linotype" w:cs="Times New Roman"/>
        </w:rPr>
        <w:t>.</w:t>
      </w:r>
    </w:p>
    <w:p w14:paraId="62FDB6C2"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Terence, Schum y Twining, en su excelente libro </w:t>
      </w:r>
      <w:r w:rsidRPr="006469CD">
        <w:rPr>
          <w:rFonts w:ascii="Palatino Linotype" w:hAnsi="Palatino Linotype" w:cs="Times New Roman"/>
          <w:i/>
        </w:rPr>
        <w:t>“Analysis of Evidence”</w:t>
      </w:r>
      <w:r w:rsidRPr="006469CD">
        <w:rPr>
          <w:rFonts w:ascii="Palatino Linotype" w:hAnsi="Palatino Linotype" w:cs="Times New Roman"/>
        </w:rPr>
        <w:t xml:space="preserve">, escriben que la investigación fáctica requiere del uso de las tres formas estándares de la lógica: deducción, inducción y abducción </w:t>
      </w:r>
      <w:sdt>
        <w:sdtPr>
          <w:rPr>
            <w:rFonts w:ascii="Palatino Linotype" w:hAnsi="Palatino Linotype" w:cs="Times New Roman"/>
          </w:rPr>
          <w:id w:val="469099639"/>
          <w:citation/>
        </w:sdtPr>
        <w:sdtEndPr/>
        <w:sdtContent>
          <w:r w:rsidRPr="006469CD">
            <w:rPr>
              <w:rFonts w:ascii="Palatino Linotype" w:hAnsi="Palatino Linotype" w:cs="Times New Roman"/>
            </w:rPr>
            <w:fldChar w:fldCharType="begin"/>
          </w:r>
          <w:r w:rsidRPr="006469CD">
            <w:rPr>
              <w:rFonts w:ascii="Palatino Linotype" w:hAnsi="Palatino Linotype" w:cs="Times New Roman"/>
              <w:lang w:val="es-CR"/>
            </w:rPr>
            <w:instrText xml:space="preserve"> CITATION Ter05 \l 5130 </w:instrText>
          </w:r>
          <w:r w:rsidRPr="006469CD">
            <w:rPr>
              <w:rFonts w:ascii="Palatino Linotype" w:hAnsi="Palatino Linotype" w:cs="Times New Roman"/>
            </w:rPr>
            <w:fldChar w:fldCharType="separate"/>
          </w:r>
          <w:r w:rsidRPr="006469CD">
            <w:rPr>
              <w:rFonts w:ascii="Palatino Linotype" w:hAnsi="Palatino Linotype" w:cs="Times New Roman"/>
              <w:noProof/>
              <w:lang w:val="es-CR"/>
            </w:rPr>
            <w:t>(Terence , Schum, &amp; Twining, 2005)</w:t>
          </w:r>
          <w:r w:rsidRPr="006469CD">
            <w:rPr>
              <w:rFonts w:ascii="Palatino Linotype" w:hAnsi="Palatino Linotype" w:cs="Times New Roman"/>
            </w:rPr>
            <w:fldChar w:fldCharType="end"/>
          </w:r>
        </w:sdtContent>
      </w:sdt>
      <w:r w:rsidRPr="006469CD">
        <w:rPr>
          <w:rFonts w:ascii="Palatino Linotype" w:hAnsi="Palatino Linotype" w:cs="Times New Roman"/>
        </w:rPr>
        <w:t xml:space="preserve">. Añadimos a esta lista la analogía, con lo que completamos las herramientas lógicas disponibles para la obtención de inferencias. </w:t>
      </w:r>
    </w:p>
    <w:p w14:paraId="3A592571"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En la deducción, la premisa mayor debe de ser una declaración de carácter universal con lo que inferimos una conclusión necesaria, por ejemplo: Todos los A son B; X es un A, por lo tanto X tiene que ser necesariamente una B </w:t>
      </w:r>
      <w:sdt>
        <w:sdtPr>
          <w:rPr>
            <w:rFonts w:ascii="Palatino Linotype" w:hAnsi="Palatino Linotype" w:cs="Times New Roman"/>
          </w:rPr>
          <w:id w:val="1836493378"/>
          <w:citation/>
        </w:sdtPr>
        <w:sdtEndPr/>
        <w:sdtContent>
          <w:r w:rsidRPr="006469CD">
            <w:rPr>
              <w:rFonts w:ascii="Palatino Linotype" w:hAnsi="Palatino Linotype" w:cs="Times New Roman"/>
            </w:rPr>
            <w:fldChar w:fldCharType="begin"/>
          </w:r>
          <w:r w:rsidRPr="006469CD">
            <w:rPr>
              <w:rFonts w:ascii="Palatino Linotype" w:hAnsi="Palatino Linotype" w:cs="Times New Roman"/>
              <w:lang w:val="es-CR"/>
            </w:rPr>
            <w:instrText xml:space="preserve"> CITATION Ter05 \l 5130 </w:instrText>
          </w:r>
          <w:r w:rsidRPr="006469CD">
            <w:rPr>
              <w:rFonts w:ascii="Palatino Linotype" w:hAnsi="Palatino Linotype" w:cs="Times New Roman"/>
            </w:rPr>
            <w:fldChar w:fldCharType="separate"/>
          </w:r>
          <w:r w:rsidRPr="006469CD">
            <w:rPr>
              <w:rFonts w:ascii="Palatino Linotype" w:hAnsi="Palatino Linotype" w:cs="Times New Roman"/>
              <w:noProof/>
              <w:lang w:val="es-CR"/>
            </w:rPr>
            <w:t>(Terence , Schum, &amp; Twining, 2005)</w:t>
          </w:r>
          <w:r w:rsidRPr="006469CD">
            <w:rPr>
              <w:rFonts w:ascii="Palatino Linotype" w:hAnsi="Palatino Linotype" w:cs="Times New Roman"/>
            </w:rPr>
            <w:fldChar w:fldCharType="end"/>
          </w:r>
        </w:sdtContent>
      </w:sdt>
      <w:r w:rsidRPr="006469CD">
        <w:rPr>
          <w:rFonts w:ascii="Palatino Linotype" w:hAnsi="Palatino Linotype" w:cs="Times New Roman"/>
        </w:rPr>
        <w:t>. Otra explicación sobre el proceso deductivo sería, que de un conjunto de proposiciones desembocamos o concluimos una característica necesaria de un elemento parte de esa proposición, o sea, un subconjunto del conjunto.</w:t>
      </w:r>
    </w:p>
    <w:p w14:paraId="08FE2849"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Ahora, en la inducción partimos de una “generalización” o una premisa mayor donde no hay acuerdo sobre su validez, por lo que el resultado será probable antes que necesario. Ejemplo: Muchas A son B, X es una A, por tanto X probablemente será una B </w:t>
      </w:r>
      <w:sdt>
        <w:sdtPr>
          <w:rPr>
            <w:rFonts w:ascii="Palatino Linotype" w:hAnsi="Palatino Linotype" w:cs="Times New Roman"/>
          </w:rPr>
          <w:id w:val="1068611589"/>
          <w:citation/>
        </w:sdtPr>
        <w:sdtEndPr/>
        <w:sdtContent>
          <w:r w:rsidRPr="006469CD">
            <w:rPr>
              <w:rFonts w:ascii="Palatino Linotype" w:hAnsi="Palatino Linotype" w:cs="Times New Roman"/>
            </w:rPr>
            <w:fldChar w:fldCharType="begin"/>
          </w:r>
          <w:r w:rsidRPr="006469CD">
            <w:rPr>
              <w:rFonts w:ascii="Palatino Linotype" w:hAnsi="Palatino Linotype" w:cs="Times New Roman"/>
              <w:lang w:val="es-CR"/>
            </w:rPr>
            <w:instrText xml:space="preserve"> CITATION Ter05 \l 5130 </w:instrText>
          </w:r>
          <w:r w:rsidRPr="006469CD">
            <w:rPr>
              <w:rFonts w:ascii="Palatino Linotype" w:hAnsi="Palatino Linotype" w:cs="Times New Roman"/>
            </w:rPr>
            <w:fldChar w:fldCharType="separate"/>
          </w:r>
          <w:r w:rsidRPr="006469CD">
            <w:rPr>
              <w:rFonts w:ascii="Palatino Linotype" w:hAnsi="Palatino Linotype" w:cs="Times New Roman"/>
              <w:noProof/>
              <w:lang w:val="es-CR"/>
            </w:rPr>
            <w:t>(Terence , Schum, &amp; Twining, 2005)</w:t>
          </w:r>
          <w:r w:rsidRPr="006469CD">
            <w:rPr>
              <w:rFonts w:ascii="Palatino Linotype" w:hAnsi="Palatino Linotype" w:cs="Times New Roman"/>
            </w:rPr>
            <w:fldChar w:fldCharType="end"/>
          </w:r>
        </w:sdtContent>
      </w:sdt>
      <w:r w:rsidRPr="006469CD">
        <w:rPr>
          <w:rFonts w:ascii="Palatino Linotype" w:hAnsi="Palatino Linotype" w:cs="Times New Roman"/>
        </w:rPr>
        <w:t xml:space="preserve">. Otra forma de verlo sería que de un subconjunto de proposiciones inferimos una “generalidad” o un conjunto al que pertenece dicho subconjunto. </w:t>
      </w:r>
    </w:p>
    <w:p w14:paraId="195C2FE5"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La abducción difiere de los dos anteriores por cuanto es un proceso creativo, en donde de un hecho o un fenómeno arribamos a una hipótesis. Ejemplo: Ocurrió A, por lo que para ello X tuvo que ocurrir y por tanto creo en X. Es </w:t>
      </w:r>
      <w:r w:rsidRPr="006469CD">
        <w:rPr>
          <w:rFonts w:ascii="Palatino Linotype" w:hAnsi="Palatino Linotype" w:cs="Times New Roman"/>
        </w:rPr>
        <w:lastRenderedPageBreak/>
        <w:t xml:space="preserve">decir, en la abducción nace una hipótesis durante el razonamiento, la que posteriormente debe de ser verificada. Es aquí donde entra en juego las máximas de la experiencia de cada individuo. </w:t>
      </w:r>
    </w:p>
    <w:p w14:paraId="00A62096"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Por último, con la analogía se busca comparar diversas proposiciones o elementos para encontrar aspectos comunes con los que inferir características de una probabilidad. Por ejemplo, A es a B como C es a D (“flor es a un jardín como un edificio es a una ciudad”). Tales comparaciones son beneficiosas en cuanto a que nos ayudan a entender conceptos circundantes a los hechos e indicios recabados. </w:t>
      </w:r>
    </w:p>
    <w:p w14:paraId="003CDD68"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El proceso investigativo de los hechos e indicios es escalonado en el sentido que se van formulando proposiciones hasta llegar a una hipótesis final, aplicando las herramientas lógicas antedichas. Debido a que todo hecho estampa o deja su “huella” sobre la realidad circundante, ha de sumarse el factor espacio-temporal dentro de nuestro razonamiento. De la misma manera, la relevancia del hecho o el indicio dependerá del nivel de influencia que tenga o haya tenido este sobre el entorno conflictivo. </w:t>
      </w:r>
    </w:p>
    <w:p w14:paraId="3A069A20" w14:textId="77777777" w:rsidR="00674E90" w:rsidRPr="006469CD" w:rsidRDefault="00674E90" w:rsidP="00674E90">
      <w:pPr>
        <w:pStyle w:val="Ttulo2"/>
        <w:rPr>
          <w:rFonts w:ascii="Palatino Linotype" w:hAnsi="Palatino Linotype" w:cs="Times New Roman"/>
          <w:b/>
          <w:i/>
          <w:color w:val="auto"/>
          <w:sz w:val="22"/>
          <w:szCs w:val="22"/>
        </w:rPr>
      </w:pPr>
      <w:r w:rsidRPr="006469CD">
        <w:rPr>
          <w:rFonts w:ascii="Palatino Linotype" w:hAnsi="Palatino Linotype" w:cs="Times New Roman"/>
          <w:b/>
          <w:i/>
          <w:color w:val="auto"/>
          <w:sz w:val="22"/>
          <w:szCs w:val="22"/>
        </w:rPr>
        <w:t>3.2) Componentes del Plan Probático</w:t>
      </w:r>
    </w:p>
    <w:p w14:paraId="2A539D92"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rPr>
        <w:t>S</w:t>
      </w:r>
      <w:r w:rsidRPr="006469CD">
        <w:rPr>
          <w:rFonts w:ascii="Palatino Linotype" w:hAnsi="Palatino Linotype" w:cs="Times New Roman"/>
          <w:lang w:val="es-CR"/>
        </w:rPr>
        <w:t>e toma en consideración esos factores de la lógica, así como otras variables para organizar y sistematizar una propuesta de Plan Probático (PP), que va a requerir de los siguientes componentes básicos:</w:t>
      </w:r>
    </w:p>
    <w:p w14:paraId="64D0B33E"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1.) En primer término se identificará la naturaleza del conflicto, sus alcances generales y las partes involucradas;</w:t>
      </w:r>
    </w:p>
    <w:p w14:paraId="35793D1F"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2.) Se hará una labor de investigación de los hechos, indicios y actos jurídicos que relacionados con el conflicto. Preferiblemente acudiendo a la colaboración de expertos en investigación de hechos e indicios y en su caso, a técnicos;</w:t>
      </w:r>
    </w:p>
    <w:p w14:paraId="072AA1D0"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3.) Los hechos, actos jurídicos e indicios recabados y descritos, serán posteriormente ordenados siguiendo un desarrollo sistemático y cronológico, sintetizado en la figura de un grafo;</w:t>
      </w:r>
    </w:p>
    <w:p w14:paraId="098E49FC"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4.) Seguidamente se hará el análisis lógico jurídico, de los hechos, actos jurídicos e indicios, y se clasificarán por separado como principales y como secundarios o complementarios. Los hechos primarios constituyen el Thema Probandum y los secundarios el Subthema Probandum;</w:t>
      </w:r>
    </w:p>
    <w:p w14:paraId="32B8FC79"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lastRenderedPageBreak/>
        <w:t>5.) Se identificará el medio probatorio para demostrar cada Thema Probandum y Subthema Probandum, haciendo asociación entre cada Thema y Subthema Probandum y cada medio de prueba pertinente, con el que se construirá un heurigrama, y,</w:t>
      </w:r>
    </w:p>
    <w:p w14:paraId="7DBA8312"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6.) Con base en lo anterior, se producirá la teoría jurídico legal de la demanda, defensa y contrademanda.</w:t>
      </w:r>
    </w:p>
    <w:p w14:paraId="774356ED" w14:textId="77777777" w:rsidR="00674E90" w:rsidRPr="006469CD" w:rsidRDefault="00674E90" w:rsidP="00674E90">
      <w:pPr>
        <w:pStyle w:val="Ttulo1"/>
        <w:rPr>
          <w:rFonts w:ascii="Palatino Linotype" w:hAnsi="Palatino Linotype" w:cs="Times New Roman"/>
          <w:b w:val="0"/>
          <w:sz w:val="22"/>
          <w:szCs w:val="22"/>
        </w:rPr>
      </w:pPr>
      <w:r w:rsidRPr="006469CD">
        <w:rPr>
          <w:rFonts w:ascii="Palatino Linotype" w:hAnsi="Palatino Linotype" w:cs="Times New Roman"/>
          <w:sz w:val="22"/>
          <w:szCs w:val="22"/>
        </w:rPr>
        <w:t>4) EL HISTORIAL FÁCTICO</w:t>
      </w:r>
    </w:p>
    <w:p w14:paraId="6D6AB902"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La prueba debe versar sobre los llamados hechos controvertidos del conflicto. Son éstos los que se deben identificar y acreditar -</w:t>
      </w:r>
      <w:r w:rsidRPr="006469CD">
        <w:rPr>
          <w:rFonts w:ascii="Palatino Linotype" w:hAnsi="Palatino Linotype" w:cs="Times New Roman"/>
          <w:i/>
          <w:lang w:val="es-CR"/>
        </w:rPr>
        <w:t>thema probandum-,</w:t>
      </w:r>
      <w:r w:rsidRPr="006469CD">
        <w:rPr>
          <w:rFonts w:ascii="Palatino Linotype" w:hAnsi="Palatino Linotype" w:cs="Times New Roman"/>
          <w:lang w:val="es-CR"/>
        </w:rPr>
        <w:t xml:space="preserve"> con la finalidad de comprobar la teoría del caso. Esos hechos, que pueden ser pasados y/o presentes, dan origen a una historia, cuya adecuada percepción, organización y expresión pretendemos esbozar, siguiendo determinados criterios y parámetros, aplicando lineamientos del Derecho Probático.</w:t>
      </w:r>
    </w:p>
    <w:p w14:paraId="324865C2"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El hecho es el elemento central de la probática</w:t>
      </w:r>
      <w:sdt>
        <w:sdtPr>
          <w:rPr>
            <w:rFonts w:ascii="Palatino Linotype" w:hAnsi="Palatino Linotype" w:cs="Times New Roman"/>
            <w:lang w:val="es-CR"/>
          </w:rPr>
          <w:id w:val="-59173627"/>
          <w:citation/>
        </w:sdtPr>
        <w:sdtEndPr/>
        <w:sdtContent>
          <w:r w:rsidRPr="006469CD">
            <w:rPr>
              <w:rFonts w:ascii="Palatino Linotype" w:hAnsi="Palatino Linotype" w:cs="Times New Roman"/>
              <w:lang w:val="es-CR"/>
            </w:rPr>
            <w:fldChar w:fldCharType="begin"/>
          </w:r>
          <w:r w:rsidRPr="006469CD">
            <w:rPr>
              <w:rFonts w:ascii="Palatino Linotype" w:hAnsi="Palatino Linotype" w:cs="Times New Roman"/>
              <w:lang w:val="es-CR"/>
            </w:rPr>
            <w:instrText xml:space="preserve">CITATION Lui14 \t  \l 5130 </w:instrText>
          </w:r>
          <w:r w:rsidRPr="006469CD">
            <w:rPr>
              <w:rFonts w:ascii="Palatino Linotype" w:hAnsi="Palatino Linotype" w:cs="Times New Roman"/>
              <w:lang w:val="es-CR"/>
            </w:rPr>
            <w:fldChar w:fldCharType="separate"/>
          </w:r>
          <w:r w:rsidRPr="006469CD">
            <w:rPr>
              <w:rFonts w:ascii="Palatino Linotype" w:hAnsi="Palatino Linotype" w:cs="Times New Roman"/>
              <w:noProof/>
              <w:lang w:val="es-CR"/>
            </w:rPr>
            <w:t xml:space="preserve"> (Muñoz Sabaté, 2014)</w:t>
          </w:r>
          <w:r w:rsidRPr="006469CD">
            <w:rPr>
              <w:rFonts w:ascii="Palatino Linotype" w:hAnsi="Palatino Linotype" w:cs="Times New Roman"/>
              <w:lang w:val="es-CR"/>
            </w:rPr>
            <w:fldChar w:fldCharType="end"/>
          </w:r>
        </w:sdtContent>
      </w:sdt>
      <w:r w:rsidRPr="006469CD">
        <w:rPr>
          <w:rFonts w:ascii="Palatino Linotype" w:hAnsi="Palatino Linotype" w:cs="Times New Roman"/>
          <w:lang w:val="es-CR"/>
        </w:rPr>
        <w:t xml:space="preserve">. Todo hecho deja una huella, cuya localización y descifrado constituye una labor multidisciplinaria, como es el caso de la prueba de ADN. </w:t>
      </w:r>
    </w:p>
    <w:p w14:paraId="1E7489D6" w14:textId="77777777" w:rsidR="00674E90" w:rsidRPr="006469CD" w:rsidRDefault="00674E90" w:rsidP="00674E90">
      <w:pPr>
        <w:pStyle w:val="Ttulo2"/>
        <w:rPr>
          <w:rFonts w:ascii="Palatino Linotype" w:hAnsi="Palatino Linotype" w:cs="Times New Roman"/>
          <w:b/>
          <w:i/>
          <w:color w:val="auto"/>
          <w:sz w:val="22"/>
          <w:szCs w:val="22"/>
          <w:lang w:val="es-CR"/>
        </w:rPr>
      </w:pPr>
      <w:r w:rsidRPr="006469CD">
        <w:rPr>
          <w:rFonts w:ascii="Palatino Linotype" w:hAnsi="Palatino Linotype" w:cs="Times New Roman"/>
          <w:b/>
          <w:i/>
          <w:color w:val="auto"/>
          <w:sz w:val="22"/>
          <w:szCs w:val="22"/>
          <w:lang w:val="es-CR"/>
        </w:rPr>
        <w:t>4.1) Advertencia inicial: Las declaraciones están expuestas a influencias subjetivas.</w:t>
      </w:r>
    </w:p>
    <w:p w14:paraId="77D89FB8"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 xml:space="preserve">Los hechos se ubican en un lugar y tiempo determinados, que no se podrán reproducir en el proceso, exactamente como tuvieron lugar </w:t>
      </w:r>
      <w:sdt>
        <w:sdtPr>
          <w:rPr>
            <w:rFonts w:ascii="Palatino Linotype" w:hAnsi="Palatino Linotype" w:cs="Times New Roman"/>
            <w:lang w:val="es-CR"/>
          </w:rPr>
          <w:id w:val="1858157213"/>
          <w:citation/>
        </w:sdtPr>
        <w:sdtEndPr/>
        <w:sdtContent>
          <w:r w:rsidRPr="006469CD">
            <w:rPr>
              <w:rFonts w:ascii="Palatino Linotype" w:hAnsi="Palatino Linotype" w:cs="Times New Roman"/>
              <w:lang w:val="es-CR"/>
            </w:rPr>
            <w:fldChar w:fldCharType="begin"/>
          </w:r>
          <w:r w:rsidRPr="006469CD">
            <w:rPr>
              <w:rFonts w:ascii="Palatino Linotype" w:hAnsi="Palatino Linotype" w:cs="Times New Roman"/>
              <w:lang w:val="es-CR"/>
            </w:rPr>
            <w:instrText xml:space="preserve">CITATION Lui14 \t  \l 5130 </w:instrText>
          </w:r>
          <w:r w:rsidRPr="006469CD">
            <w:rPr>
              <w:rFonts w:ascii="Palatino Linotype" w:hAnsi="Palatino Linotype" w:cs="Times New Roman"/>
              <w:lang w:val="es-CR"/>
            </w:rPr>
            <w:fldChar w:fldCharType="separate"/>
          </w:r>
          <w:r w:rsidRPr="006469CD">
            <w:rPr>
              <w:rFonts w:ascii="Palatino Linotype" w:hAnsi="Palatino Linotype" w:cs="Times New Roman"/>
              <w:noProof/>
              <w:lang w:val="es-CR"/>
            </w:rPr>
            <w:t>(Muñoz Sabaté, 2014)</w:t>
          </w:r>
          <w:r w:rsidRPr="006469CD">
            <w:rPr>
              <w:rFonts w:ascii="Palatino Linotype" w:hAnsi="Palatino Linotype" w:cs="Times New Roman"/>
              <w:lang w:val="es-CR"/>
            </w:rPr>
            <w:fldChar w:fldCharType="end"/>
          </w:r>
        </w:sdtContent>
      </w:sdt>
      <w:r w:rsidRPr="006469CD">
        <w:rPr>
          <w:rFonts w:ascii="Palatino Linotype" w:hAnsi="Palatino Linotype" w:cs="Times New Roman"/>
          <w:lang w:val="es-CR"/>
        </w:rPr>
        <w:t xml:space="preserve">, de modo que las partes deben hacer un grave esfuerzo para reproducir de la mejor forma ese historial fáctico que les interesa. De ahí que Carnelutti (1982) dijera que para fijar el hecho controvertido, </w:t>
      </w:r>
      <w:r w:rsidRPr="006469CD">
        <w:rPr>
          <w:rFonts w:ascii="Palatino Linotype" w:hAnsi="Palatino Linotype" w:cs="Times New Roman"/>
          <w:i/>
          <w:lang w:val="es-CR"/>
        </w:rPr>
        <w:t>“(…) el Juez no puede servirse más que de precepciones obtenidas de determinado modo.</w:t>
      </w:r>
      <w:r w:rsidRPr="006469CD">
        <w:rPr>
          <w:rFonts w:ascii="Palatino Linotype" w:hAnsi="Palatino Linotype" w:cs="Times New Roman"/>
          <w:lang w:val="es-CR"/>
        </w:rPr>
        <w:t xml:space="preserve">” </w:t>
      </w:r>
      <w:r w:rsidRPr="006469CD">
        <w:rPr>
          <w:rFonts w:ascii="Palatino Linotype" w:hAnsi="Palatino Linotype" w:cs="Times New Roman"/>
          <w:noProof/>
          <w:lang w:val="es-CR"/>
        </w:rPr>
        <w:t>(pág. 18)</w:t>
      </w:r>
      <w:r w:rsidRPr="006469CD">
        <w:rPr>
          <w:rFonts w:ascii="Palatino Linotype" w:hAnsi="Palatino Linotype" w:cs="Times New Roman"/>
          <w:lang w:val="es-CR"/>
        </w:rPr>
        <w:t xml:space="preserve"> El juzgador debe realizar un proceso de conocimiento o cognición de los hechos que exponen las partes, mediante las pruebas que ofrecen, las que frecuentemente se encuentran influidas por factores humanos que ponen a prueba su capacidad jurídica y humana de interpretación y valoración</w:t>
      </w:r>
      <w:r w:rsidRPr="006469CD">
        <w:rPr>
          <w:rFonts w:ascii="Palatino Linotype" w:hAnsi="Palatino Linotype" w:cs="Times New Roman"/>
          <w:i/>
          <w:lang w:val="es-CR"/>
        </w:rPr>
        <w:t>.</w:t>
      </w:r>
      <w:r w:rsidRPr="006469CD">
        <w:rPr>
          <w:rFonts w:ascii="Palatino Linotype" w:hAnsi="Palatino Linotype" w:cs="Times New Roman"/>
          <w:lang w:val="es-CR"/>
        </w:rPr>
        <w:t xml:space="preserve"> En efecto, en estudios psicológicos del testimonio, se ha llegado a advertir la existencia de factores intervinientes comúnmente en las declaraciones testimoniales que distorsionan lo sucedido, como son: 1) ¿Cómo ha percibido el testigo el acontecimiento?; 2.) ¿Cómo lo ha conservado en su memoria?; 3) ¿Cómo es capaz de recordarlo?; 4) ¿Cómo quiere expresarlo? y, 5) ¿Cómo </w:t>
      </w:r>
      <w:r w:rsidRPr="006469CD">
        <w:rPr>
          <w:rFonts w:ascii="Palatino Linotype" w:hAnsi="Palatino Linotype" w:cs="Times New Roman"/>
          <w:lang w:val="es-CR"/>
        </w:rPr>
        <w:lastRenderedPageBreak/>
        <w:t xml:space="preserve">puede expresarlo? Todas son influencias personales mentales, que van a determinar el resultado, sea la declaración. También, se señalan otras diversas causas comunes de inexactitud del testimonio: La confusión temporal de vivencias en el tiempo; narrar el hecho como acostumbra ocurrir y no como ocurrió realmente; la sugestión por elementos condicionantes en las preguntas y la tendencia afectiva hacia algunas personas, entre otros factores que contaminan el testimonio </w:t>
      </w:r>
      <w:sdt>
        <w:sdtPr>
          <w:rPr>
            <w:rFonts w:ascii="Palatino Linotype" w:hAnsi="Palatino Linotype" w:cs="Times New Roman"/>
            <w:lang w:val="es-CR"/>
          </w:rPr>
          <w:id w:val="-461806561"/>
          <w:citation/>
        </w:sdtPr>
        <w:sdtEndPr/>
        <w:sdtContent>
          <w:r w:rsidRPr="006469CD">
            <w:rPr>
              <w:rFonts w:ascii="Palatino Linotype" w:hAnsi="Palatino Linotype" w:cs="Times New Roman"/>
              <w:lang w:val="es-CR"/>
            </w:rPr>
            <w:fldChar w:fldCharType="begin"/>
          </w:r>
          <w:r w:rsidRPr="006469CD">
            <w:rPr>
              <w:rFonts w:ascii="Palatino Linotype" w:hAnsi="Palatino Linotype" w:cs="Times New Roman"/>
              <w:lang w:val="es-CR"/>
            </w:rPr>
            <w:instrText xml:space="preserve"> CITATION Gar13 \l 5130 </w:instrText>
          </w:r>
          <w:r w:rsidRPr="006469CD">
            <w:rPr>
              <w:rFonts w:ascii="Palatino Linotype" w:hAnsi="Palatino Linotype" w:cs="Times New Roman"/>
              <w:lang w:val="es-CR"/>
            </w:rPr>
            <w:fldChar w:fldCharType="separate"/>
          </w:r>
          <w:r w:rsidRPr="006469CD">
            <w:rPr>
              <w:rFonts w:ascii="Palatino Linotype" w:hAnsi="Palatino Linotype" w:cs="Times New Roman"/>
              <w:noProof/>
              <w:lang w:val="es-CR"/>
            </w:rPr>
            <w:t>(García Ramírez, Romero Santos, &amp; García González, 2013)</w:t>
          </w:r>
          <w:r w:rsidRPr="006469CD">
            <w:rPr>
              <w:rFonts w:ascii="Palatino Linotype" w:hAnsi="Palatino Linotype" w:cs="Times New Roman"/>
              <w:lang w:val="es-CR"/>
            </w:rPr>
            <w:fldChar w:fldCharType="end"/>
          </w:r>
        </w:sdtContent>
      </w:sdt>
      <w:r w:rsidRPr="006469CD">
        <w:rPr>
          <w:rFonts w:ascii="Palatino Linotype" w:hAnsi="Palatino Linotype" w:cs="Times New Roman"/>
          <w:lang w:val="es-CR"/>
        </w:rPr>
        <w:t>, alejándolo así de los hechos reales acaecidos. Por ello Carnelutti ya adelantaba en su época, que los testimonios son meras representaciones de hechos, como lo es la pintura de un paisaje</w:t>
      </w:r>
      <w:sdt>
        <w:sdtPr>
          <w:rPr>
            <w:rFonts w:ascii="Palatino Linotype" w:hAnsi="Palatino Linotype" w:cs="Times New Roman"/>
            <w:lang w:val="es-CR"/>
          </w:rPr>
          <w:id w:val="990296140"/>
          <w:citation/>
        </w:sdtPr>
        <w:sdtEndPr/>
        <w:sdtContent>
          <w:r w:rsidRPr="006469CD">
            <w:rPr>
              <w:rFonts w:ascii="Palatino Linotype" w:hAnsi="Palatino Linotype" w:cs="Times New Roman"/>
              <w:lang w:val="es-CR"/>
            </w:rPr>
            <w:fldChar w:fldCharType="begin"/>
          </w:r>
          <w:r w:rsidRPr="006469CD">
            <w:rPr>
              <w:rFonts w:ascii="Palatino Linotype" w:hAnsi="Palatino Linotype" w:cs="Times New Roman"/>
              <w:noProof/>
              <w:lang w:val="es-CR"/>
            </w:rPr>
            <w:instrText xml:space="preserve"> CITATION Car82 \l 5130 </w:instrText>
          </w:r>
          <w:r w:rsidRPr="006469CD">
            <w:rPr>
              <w:rFonts w:ascii="Palatino Linotype" w:hAnsi="Palatino Linotype" w:cs="Times New Roman"/>
              <w:lang w:val="es-CR"/>
            </w:rPr>
            <w:fldChar w:fldCharType="separate"/>
          </w:r>
          <w:r w:rsidRPr="006469CD">
            <w:rPr>
              <w:rFonts w:ascii="Palatino Linotype" w:hAnsi="Palatino Linotype" w:cs="Times New Roman"/>
              <w:noProof/>
              <w:lang w:val="es-CR"/>
            </w:rPr>
            <w:t xml:space="preserve"> (Carnelutti, 1982)</w:t>
          </w:r>
          <w:r w:rsidRPr="006469CD">
            <w:rPr>
              <w:rFonts w:ascii="Palatino Linotype" w:hAnsi="Palatino Linotype" w:cs="Times New Roman"/>
              <w:lang w:val="es-CR"/>
            </w:rPr>
            <w:fldChar w:fldCharType="end"/>
          </w:r>
        </w:sdtContent>
      </w:sdt>
      <w:r w:rsidRPr="006469CD">
        <w:rPr>
          <w:rFonts w:ascii="Palatino Linotype" w:hAnsi="Palatino Linotype" w:cs="Times New Roman"/>
          <w:lang w:val="es-CR"/>
        </w:rPr>
        <w:t>. Los declarantes en un proceso, pueden “pintar un mismo paisaje”, con distintos tonos, dimensiones y objetos, según el grado de influencia de factores como los supra citados.</w:t>
      </w:r>
    </w:p>
    <w:p w14:paraId="4C7452E6"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En este contexto, los abogados de las partes asumen un rol de colaboradores fundamentales en el proceso, para soslayar o disminuir, los efectos negativos de esos factores, en aras de identificar, recoger y acreditar esa huella histórica de los hechos del caso, con la mayor efectividad y certeza posibles. Se podría afirmar que en la experiencia de nuestro medio forense, la práctica penal es la que más acercamiento tiene con la realidad de los hechos; el resto de las áreas del Derecho adolecen de esa cercanía. Esa carencia o laguna, se ha pretendido subsanar o llenar en la práctica, con la llamada verdad material o del expediente del caso, visión distinta a la verdad real que se impulsa en los códigos procesales.</w:t>
      </w:r>
    </w:p>
    <w:p w14:paraId="259D218A" w14:textId="77777777" w:rsidR="00674E90" w:rsidRPr="006469CD" w:rsidRDefault="00674E90" w:rsidP="00674E90">
      <w:pPr>
        <w:pStyle w:val="Ttulo2"/>
        <w:rPr>
          <w:rFonts w:ascii="Palatino Linotype" w:hAnsi="Palatino Linotype" w:cs="Times New Roman"/>
          <w:b/>
          <w:i/>
          <w:color w:val="auto"/>
          <w:sz w:val="22"/>
          <w:szCs w:val="22"/>
          <w:lang w:val="es-CR"/>
        </w:rPr>
      </w:pPr>
      <w:r w:rsidRPr="006469CD">
        <w:rPr>
          <w:rFonts w:ascii="Palatino Linotype" w:hAnsi="Palatino Linotype" w:cs="Times New Roman"/>
          <w:b/>
          <w:i/>
          <w:color w:val="auto"/>
          <w:sz w:val="22"/>
          <w:szCs w:val="22"/>
          <w:lang w:val="es-CR"/>
        </w:rPr>
        <w:t>4.2) Organización de los hechos.</w:t>
      </w:r>
    </w:p>
    <w:p w14:paraId="181C78C3"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 xml:space="preserve">El proceso cognitivo a realizar por el juzgador, es esencial para llegar a la verdad del conflicto y es ese el medio previsto y diseñado por el Ordenamiento Jurídico para que el proceso funcione y logre impartirse verdadera justicia. Pero ello, depende en gran medida de la probática que desarrollen las partes antes y durante el proceso. Antes del proceso, las partes y sus abogados deben desarrollar una labor esencial de reconstitución de la historia fáctica del conflicto, identificando y organizando los diversos hechos involucrados, aplicando criterios de logicidad, relevancia y secuencia en tiempo y lugar. Tal labor, no es costumbre en los sistemas de Derecho Civil, mas si resulta común en los sistemas de derecho anglosajón, en el que la constante es la tendencia a la verdad real y no a una verdad formal o del expediente. El llamado “Law of Evidence”, refiere a una práctica forense de </w:t>
      </w:r>
      <w:r w:rsidRPr="006469CD">
        <w:rPr>
          <w:rFonts w:ascii="Palatino Linotype" w:hAnsi="Palatino Linotype" w:cs="Times New Roman"/>
          <w:lang w:val="es-CR"/>
        </w:rPr>
        <w:lastRenderedPageBreak/>
        <w:t xml:space="preserve">larga data en los sistemas de derecho consuetudinario, sobre la identificación de los hechos y producción de la prueba. Razón de más para llamar la atención sobre la ausencia de interés y capacitación de nuestros futuros profesionales en Derecho, en destrezas de investigación y descubrimiento de hechos relevantes, centrándose la enseñanza universitaria, en los medios de prueba y no el objeto de toda prueba, que son los hechos; los juzgadores por su parte dependen en gran medida de la labor probatoria de las partes.  No se pretende ni se debe esperar la demostración de la verdad absoluta, pero si una proactividad de las partes en la investigación y descubrimiento de los hechos históricos reales, acudiendo a los instrumentos y medios que disponibles, cuya identificación facilitan hoy, tanto la ciencia en general como la tecnología moderna, la que no existía hace unos pocos años. Para el profesor Muñoz Sabaté (2012), hace falta una verdadera Teoría Fáctica en el proceso: </w:t>
      </w:r>
      <w:r w:rsidRPr="006469CD">
        <w:rPr>
          <w:rFonts w:ascii="Palatino Linotype" w:hAnsi="Palatino Linotype" w:cs="Times New Roman"/>
          <w:i/>
          <w:lang w:val="es-CR"/>
        </w:rPr>
        <w:t>“Tener ideas bien definidas sobre lo que es un hecho histórico, sobre lo que es un signo, sobre lo que es una evidencia. Tal vez repensar lo que es la carga de la prueba, y analizar cómo se puede construir y ordenar una tópica indiciaria. Conectar con el mundo científico para establecer una fructífera relación interdisciplinaria… Esta es ni más ni menos la Probática. Una ciencia aplicada a la prueba de los hechos en el proceso, rescatándolos del pasado por medios convencionales o científicos y posteriormente…darles una coherencia persuasiva.”</w:t>
      </w:r>
      <w:r w:rsidRPr="006469CD">
        <w:rPr>
          <w:rFonts w:ascii="Palatino Linotype" w:hAnsi="Palatino Linotype" w:cs="Times New Roman"/>
          <w:i/>
          <w:noProof/>
          <w:lang w:val="es-CR"/>
        </w:rPr>
        <w:t xml:space="preserve"> </w:t>
      </w:r>
      <w:r w:rsidRPr="006469CD">
        <w:rPr>
          <w:rFonts w:ascii="Palatino Linotype" w:hAnsi="Palatino Linotype" w:cs="Times New Roman"/>
          <w:noProof/>
          <w:lang w:val="es-CR"/>
        </w:rPr>
        <w:t>(pág. 163)</w:t>
      </w:r>
      <w:r w:rsidRPr="006469CD">
        <w:rPr>
          <w:rFonts w:ascii="Palatino Linotype" w:hAnsi="Palatino Linotype" w:cs="Times New Roman"/>
          <w:lang w:val="es-CR"/>
        </w:rPr>
        <w:t xml:space="preserve"> Son esas sus ideas para construir una teoría jurídica sobre los hechos.</w:t>
      </w:r>
    </w:p>
    <w:p w14:paraId="17518B36"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 xml:space="preserve">Se debe iniciar por crear conciencia acerca de la importancia de desarrollar destrezas y capacidades de investigación, descubrimiento, estudio y organización de los hechos, necesarios para fundar y comprobar adecuadamente la teoría del caso, habilidades usualmente abandonadas en la formación en Derecho en Latinoamérica. Las cátedras de Derecho Procesal y de arbitraje, son las llamadas prioritariamente  a introducir la Probática en sus programas, antes que los alumnos enfrenten los medios probatorios y mejor aún, antes de internarse en la formulación de la demanda. </w:t>
      </w:r>
    </w:p>
    <w:p w14:paraId="2E565D33"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lang w:val="es-CR"/>
        </w:rPr>
        <w:t xml:space="preserve">Cabe advertir, que la doctrina jurídica moderna ha presentado diversas clasificaciones y categorías de indicios, que pueden contribuir a profundizar y ampliar los hechos y la prueba </w:t>
      </w:r>
      <w:sdt>
        <w:sdtPr>
          <w:rPr>
            <w:rFonts w:ascii="Palatino Linotype" w:hAnsi="Palatino Linotype" w:cs="Times New Roman"/>
            <w:lang w:val="es-CR"/>
          </w:rPr>
          <w:id w:val="-524634614"/>
          <w:citation/>
        </w:sdtPr>
        <w:sdtEndPr/>
        <w:sdtContent>
          <w:r w:rsidRPr="006469CD">
            <w:rPr>
              <w:rFonts w:ascii="Palatino Linotype" w:hAnsi="Palatino Linotype" w:cs="Times New Roman"/>
              <w:lang w:val="es-CR"/>
            </w:rPr>
            <w:fldChar w:fldCharType="begin"/>
          </w:r>
          <w:r w:rsidRPr="006469CD">
            <w:rPr>
              <w:rFonts w:ascii="Palatino Linotype" w:hAnsi="Palatino Linotype" w:cs="Times New Roman"/>
              <w:lang w:val="es-CR"/>
            </w:rPr>
            <w:instrText xml:space="preserve">CITATION Muñ12 \t  \l 5130 </w:instrText>
          </w:r>
          <w:r w:rsidRPr="006469CD">
            <w:rPr>
              <w:rFonts w:ascii="Palatino Linotype" w:hAnsi="Palatino Linotype" w:cs="Times New Roman"/>
              <w:lang w:val="es-CR"/>
            </w:rPr>
            <w:fldChar w:fldCharType="separate"/>
          </w:r>
          <w:r w:rsidRPr="006469CD">
            <w:rPr>
              <w:rFonts w:ascii="Palatino Linotype" w:hAnsi="Palatino Linotype" w:cs="Times New Roman"/>
              <w:noProof/>
              <w:lang w:val="es-CR"/>
            </w:rPr>
            <w:t>(Muñoz Sabaté, 2012)</w:t>
          </w:r>
          <w:r w:rsidRPr="006469CD">
            <w:rPr>
              <w:rFonts w:ascii="Palatino Linotype" w:hAnsi="Palatino Linotype" w:cs="Times New Roman"/>
              <w:lang w:val="es-CR"/>
            </w:rPr>
            <w:fldChar w:fldCharType="end"/>
          </w:r>
        </w:sdtContent>
      </w:sdt>
      <w:r w:rsidRPr="006469CD">
        <w:rPr>
          <w:rFonts w:ascii="Palatino Linotype" w:hAnsi="Palatino Linotype" w:cs="Times New Roman"/>
          <w:lang w:val="es-CR"/>
        </w:rPr>
        <w:t>. Asimismo, diversas técnicas han sido desarrolladas para visualizar sus dinámicas, con el objeto que el jurista se beneficie de una perspectiva macro-analítica de la cuestión, según se expone a continuación.</w:t>
      </w:r>
    </w:p>
    <w:p w14:paraId="42424B6A" w14:textId="77777777" w:rsidR="00674E90" w:rsidRPr="006469CD" w:rsidRDefault="00674E90" w:rsidP="00674E90">
      <w:pPr>
        <w:pStyle w:val="Ttulo1"/>
        <w:spacing w:line="240" w:lineRule="auto"/>
        <w:rPr>
          <w:rFonts w:ascii="Palatino Linotype" w:hAnsi="Palatino Linotype" w:cs="Times New Roman"/>
          <w:b w:val="0"/>
          <w:sz w:val="22"/>
          <w:szCs w:val="22"/>
        </w:rPr>
      </w:pPr>
      <w:r w:rsidRPr="006469CD">
        <w:rPr>
          <w:rFonts w:ascii="Palatino Linotype" w:hAnsi="Palatino Linotype" w:cs="Times New Roman"/>
          <w:sz w:val="22"/>
          <w:szCs w:val="22"/>
        </w:rPr>
        <w:lastRenderedPageBreak/>
        <w:t>4) TÉCNICAS DE VISUALIZACIÓN Y ANÁLISIS PROBÁTICO: EL IDEOGRAMA DE WIGMORE Y EL HEURIGRAMA</w:t>
      </w:r>
    </w:p>
    <w:p w14:paraId="0453EBD7"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Si imagináramos la noción de prueba como un objeto tangible, seríamos capaces de ver la enorme complejidad estructural, semántica y teleológica que la conforma y que ésta, igualmente, posee un trasfondo y una función particular dentro del proceso en el que se incorporó. Asimismo, nos daría una idea de cómo se produjo e incluso cómo reproducirla, lo que incluye las motivaciones que le dieron nacimiento a la vida jurídica. Sin embargo, para ello, se requiere  estudiar la prueba no desde la óptica – a veces superficial – del derecho probatorio, sino más bien en concreto, como lo propone la disciplina probática.</w:t>
      </w:r>
    </w:p>
    <w:p w14:paraId="228B51C7" w14:textId="77777777" w:rsidR="00674E90" w:rsidRPr="006469CD" w:rsidRDefault="00674E90" w:rsidP="00674E90">
      <w:pPr>
        <w:pStyle w:val="Ttulo2"/>
        <w:rPr>
          <w:rFonts w:ascii="Palatino Linotype" w:hAnsi="Palatino Linotype" w:cs="Times New Roman"/>
          <w:b/>
          <w:i/>
          <w:color w:val="auto"/>
          <w:sz w:val="22"/>
          <w:szCs w:val="22"/>
        </w:rPr>
      </w:pPr>
      <w:r w:rsidRPr="006469CD">
        <w:rPr>
          <w:rFonts w:ascii="Palatino Linotype" w:hAnsi="Palatino Linotype" w:cs="Times New Roman"/>
          <w:b/>
          <w:i/>
          <w:color w:val="auto"/>
          <w:sz w:val="22"/>
          <w:szCs w:val="22"/>
        </w:rPr>
        <w:t>4.1) El Ideograma de Wigmore</w:t>
      </w:r>
    </w:p>
    <w:p w14:paraId="55CCFB62"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El jurista estadounidense John Henry Wigmore, fue uno de los primeros en observar la falta de discusión existente alrededor de la prueba y el uso que debe dársele a la misma, especialmente una vez que es admitida. Comenta: </w:t>
      </w:r>
    </w:p>
    <w:p w14:paraId="33D4D25E" w14:textId="77777777" w:rsidR="00674E90" w:rsidRPr="006469CD" w:rsidRDefault="00674E90" w:rsidP="00674E90">
      <w:pPr>
        <w:spacing w:line="240" w:lineRule="auto"/>
        <w:ind w:left="284" w:right="284"/>
        <w:jc w:val="both"/>
        <w:rPr>
          <w:rFonts w:ascii="Palatino Linotype" w:hAnsi="Palatino Linotype" w:cs="Times New Roman"/>
          <w:color w:val="000000"/>
        </w:rPr>
      </w:pPr>
      <w:r w:rsidRPr="006469CD">
        <w:rPr>
          <w:rFonts w:ascii="Palatino Linotype" w:hAnsi="Palatino Linotype" w:cs="Times New Roman"/>
          <w:i/>
          <w:color w:val="000000"/>
        </w:rPr>
        <w:t>“El estudio de los principios de la Evidencia, para un abogado, recae en dos distintas partes. Una es la Prueba en su sentido general, - la parte concerniente con el proceso racional de la persuasión contenciosa, - mente a mente, consejo a jurado, cada partidario buscando mover la mente del tribunal. Por otra parte está la Admisibilidad, - las reglas procesal divisadas por la ley, en base en la experiencia litigiosa y la tradición, para resguardar al tribunal (particularmente el jurado) contra la persuasión errónea. Hasta ahora, la última ha surgido en nuestros estudios formales, - los ha, de hecho, monopolizado; mientras que el primero, virtualmente ignorado, ha sido dejado al chance de una adquisición posterior, casual o empírica, en el curso de la práctica.” (Traducción del inglés para efectos del artículo)</w:t>
      </w:r>
      <w:r w:rsidRPr="006469CD">
        <w:rPr>
          <w:rStyle w:val="Refdenotaalpie"/>
          <w:rFonts w:ascii="Palatino Linotype" w:hAnsi="Palatino Linotype" w:cs="Times New Roman"/>
          <w:i/>
          <w:color w:val="000000"/>
        </w:rPr>
        <w:footnoteReference w:id="105"/>
      </w:r>
      <w:r w:rsidRPr="006469CD">
        <w:rPr>
          <w:rFonts w:ascii="Palatino Linotype" w:hAnsi="Palatino Linotype" w:cs="Times New Roman"/>
          <w:i/>
          <w:color w:val="000000"/>
        </w:rPr>
        <w:t xml:space="preserve"> </w:t>
      </w:r>
      <w:sdt>
        <w:sdtPr>
          <w:rPr>
            <w:rFonts w:ascii="Palatino Linotype" w:hAnsi="Palatino Linotype" w:cs="Times New Roman"/>
            <w:i/>
            <w:color w:val="000000"/>
          </w:rPr>
          <w:id w:val="-1379697509"/>
          <w:citation/>
        </w:sdtPr>
        <w:sdtEndPr/>
        <w:sdtContent>
          <w:r w:rsidRPr="006469CD">
            <w:rPr>
              <w:rFonts w:ascii="Palatino Linotype" w:hAnsi="Palatino Linotype" w:cs="Times New Roman"/>
              <w:i/>
              <w:color w:val="000000"/>
            </w:rPr>
            <w:fldChar w:fldCharType="begin"/>
          </w:r>
          <w:r w:rsidRPr="006469CD">
            <w:rPr>
              <w:rFonts w:ascii="Palatino Linotype" w:hAnsi="Palatino Linotype" w:cs="Times New Roman"/>
              <w:i/>
              <w:color w:val="000000"/>
              <w:lang w:val="es-CR"/>
            </w:rPr>
            <w:instrText xml:space="preserve">CITATION Wig13 \p 20 \l 5130 </w:instrText>
          </w:r>
          <w:r w:rsidRPr="006469CD">
            <w:rPr>
              <w:rFonts w:ascii="Palatino Linotype" w:hAnsi="Palatino Linotype" w:cs="Times New Roman"/>
              <w:i/>
              <w:color w:val="000000"/>
            </w:rPr>
            <w:fldChar w:fldCharType="separate"/>
          </w:r>
          <w:r w:rsidRPr="006469CD">
            <w:rPr>
              <w:rFonts w:ascii="Palatino Linotype" w:hAnsi="Palatino Linotype" w:cs="Times New Roman"/>
              <w:noProof/>
              <w:color w:val="000000"/>
              <w:lang w:val="es-CR"/>
            </w:rPr>
            <w:t>(Wigmore, 1913, pág. 20)</w:t>
          </w:r>
          <w:r w:rsidRPr="006469CD">
            <w:rPr>
              <w:rFonts w:ascii="Palatino Linotype" w:hAnsi="Palatino Linotype" w:cs="Times New Roman"/>
              <w:i/>
              <w:color w:val="000000"/>
            </w:rPr>
            <w:fldChar w:fldCharType="end"/>
          </w:r>
        </w:sdtContent>
      </w:sdt>
      <w:r w:rsidRPr="006469CD">
        <w:rPr>
          <w:rFonts w:ascii="Palatino Linotype" w:hAnsi="Palatino Linotype" w:cs="Times New Roman"/>
          <w:i/>
          <w:color w:val="000000"/>
        </w:rPr>
        <w:t xml:space="preserve">. </w:t>
      </w:r>
    </w:p>
    <w:p w14:paraId="06972BFB"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Con el “proceso racional de la persuasión contenciosa”, Wigmore alude a la lógica informal propia de la actividad litigiosa; informal en el sentido que </w:t>
      </w:r>
      <w:r w:rsidRPr="006469CD">
        <w:rPr>
          <w:rFonts w:ascii="Palatino Linotype" w:hAnsi="Palatino Linotype" w:cs="Times New Roman"/>
        </w:rPr>
        <w:lastRenderedPageBreak/>
        <w:t xml:space="preserve">trata sobre los argumentos dados en los discursos del lenguaje natural versus la lógica formal – de rigurosa sintaxis, gramática y procedimientos de prueba claramente definidos </w:t>
      </w:r>
      <w:sdt>
        <w:sdtPr>
          <w:rPr>
            <w:rFonts w:ascii="Palatino Linotype" w:hAnsi="Palatino Linotype" w:cs="Times New Roman"/>
          </w:rPr>
          <w:id w:val="436255896"/>
          <w:citation/>
        </w:sdtPr>
        <w:sdtEndPr/>
        <w:sdtContent>
          <w:r w:rsidRPr="006469CD">
            <w:rPr>
              <w:rFonts w:ascii="Palatino Linotype" w:hAnsi="Palatino Linotype" w:cs="Times New Roman"/>
            </w:rPr>
            <w:fldChar w:fldCharType="begin"/>
          </w:r>
          <w:r w:rsidRPr="006469CD">
            <w:rPr>
              <w:rFonts w:ascii="Palatino Linotype" w:hAnsi="Palatino Linotype" w:cs="Times New Roman"/>
              <w:lang w:val="es-CR"/>
            </w:rPr>
            <w:instrText xml:space="preserve"> CITATION Goa19 \l 5130 </w:instrText>
          </w:r>
          <w:r w:rsidRPr="006469CD">
            <w:rPr>
              <w:rFonts w:ascii="Palatino Linotype" w:hAnsi="Palatino Linotype" w:cs="Times New Roman"/>
            </w:rPr>
            <w:fldChar w:fldCharType="separate"/>
          </w:r>
          <w:r w:rsidRPr="006469CD">
            <w:rPr>
              <w:rFonts w:ascii="Palatino Linotype" w:hAnsi="Palatino Linotype" w:cs="Times New Roman"/>
              <w:noProof/>
              <w:lang w:val="es-CR"/>
            </w:rPr>
            <w:t>(Goarke, 2017)</w:t>
          </w:r>
          <w:r w:rsidRPr="006469CD">
            <w:rPr>
              <w:rFonts w:ascii="Palatino Linotype" w:hAnsi="Palatino Linotype" w:cs="Times New Roman"/>
            </w:rPr>
            <w:fldChar w:fldCharType="end"/>
          </w:r>
        </w:sdtContent>
      </w:sdt>
      <w:r w:rsidRPr="006469CD">
        <w:rPr>
          <w:rFonts w:ascii="Palatino Linotype" w:hAnsi="Palatino Linotype" w:cs="Times New Roman"/>
        </w:rPr>
        <w:t xml:space="preserve">. </w:t>
      </w:r>
    </w:p>
    <w:p w14:paraId="707EE8C3"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El Ideograma de Wigmore (Figura 1), es un diagrama que representa </w:t>
      </w:r>
      <w:r w:rsidRPr="006469CD">
        <w:rPr>
          <w:rFonts w:ascii="Palatino Linotype" w:hAnsi="Palatino Linotype" w:cs="Times New Roman"/>
          <w:i/>
        </w:rPr>
        <w:t>“(...) un proceso intelectual para analizar y organizar un complejo cuerpo de datos de evidencia y demostrar de forma precisa cómo inferencias de esos datos pueden presentar sea un soporte u oposición de la última proposición que debe de ser probado.” (Traducción para efectos del artículo)</w:t>
      </w:r>
      <w:r w:rsidRPr="006469CD">
        <w:rPr>
          <w:rStyle w:val="Refdenotaalpie"/>
          <w:rFonts w:ascii="Palatino Linotype" w:hAnsi="Palatino Linotype" w:cs="Times New Roman"/>
          <w:i/>
        </w:rPr>
        <w:footnoteReference w:id="106"/>
      </w:r>
      <w:sdt>
        <w:sdtPr>
          <w:rPr>
            <w:rFonts w:ascii="Palatino Linotype" w:hAnsi="Palatino Linotype" w:cs="Times New Roman"/>
            <w:i/>
          </w:rPr>
          <w:id w:val="681331026"/>
          <w:citation/>
        </w:sdtPr>
        <w:sdtEndPr/>
        <w:sdtContent>
          <w:r w:rsidRPr="006469CD">
            <w:rPr>
              <w:rFonts w:ascii="Palatino Linotype" w:hAnsi="Palatino Linotype" w:cs="Times New Roman"/>
              <w:i/>
            </w:rPr>
            <w:fldChar w:fldCharType="begin"/>
          </w:r>
          <w:r w:rsidRPr="006469CD">
            <w:rPr>
              <w:rFonts w:ascii="Palatino Linotype" w:hAnsi="Palatino Linotype" w:cs="Times New Roman"/>
              <w:i/>
              <w:lang w:val="es-CR"/>
            </w:rPr>
            <w:instrText xml:space="preserve">CITATION Ter05 \p xix \l 5130 </w:instrText>
          </w:r>
          <w:r w:rsidRPr="006469CD">
            <w:rPr>
              <w:rFonts w:ascii="Palatino Linotype" w:hAnsi="Palatino Linotype" w:cs="Times New Roman"/>
              <w:i/>
            </w:rPr>
            <w:fldChar w:fldCharType="separate"/>
          </w:r>
          <w:r w:rsidRPr="006469CD">
            <w:rPr>
              <w:rFonts w:ascii="Palatino Linotype" w:hAnsi="Palatino Linotype" w:cs="Times New Roman"/>
              <w:i/>
              <w:noProof/>
              <w:lang w:val="es-CR"/>
            </w:rPr>
            <w:t xml:space="preserve"> </w:t>
          </w:r>
          <w:r w:rsidRPr="006469CD">
            <w:rPr>
              <w:rFonts w:ascii="Palatino Linotype" w:hAnsi="Palatino Linotype" w:cs="Times New Roman"/>
              <w:noProof/>
              <w:lang w:val="es-CR"/>
            </w:rPr>
            <w:t>(Terence , Schum, &amp; Twining, 2005, pág. xix)</w:t>
          </w:r>
          <w:r w:rsidRPr="006469CD">
            <w:rPr>
              <w:rFonts w:ascii="Palatino Linotype" w:hAnsi="Palatino Linotype" w:cs="Times New Roman"/>
              <w:i/>
            </w:rPr>
            <w:fldChar w:fldCharType="end"/>
          </w:r>
        </w:sdtContent>
      </w:sdt>
      <w:r w:rsidRPr="006469CD">
        <w:rPr>
          <w:rFonts w:ascii="Palatino Linotype" w:hAnsi="Palatino Linotype" w:cs="Times New Roman"/>
          <w:i/>
        </w:rPr>
        <w:t xml:space="preserve">. </w:t>
      </w:r>
      <w:r w:rsidRPr="006469CD">
        <w:rPr>
          <w:rFonts w:ascii="Palatino Linotype" w:hAnsi="Palatino Linotype" w:cs="Times New Roman"/>
        </w:rPr>
        <w:t xml:space="preserve">Presenta las siguientes convenciones </w:t>
      </w:r>
      <w:sdt>
        <w:sdtPr>
          <w:rPr>
            <w:rFonts w:ascii="Palatino Linotype" w:hAnsi="Palatino Linotype" w:cs="Times New Roman"/>
          </w:rPr>
          <w:id w:val="1565368983"/>
          <w:citation/>
        </w:sdtPr>
        <w:sdtEndPr/>
        <w:sdtContent>
          <w:r w:rsidRPr="006469CD">
            <w:rPr>
              <w:rFonts w:ascii="Palatino Linotype" w:hAnsi="Palatino Linotype" w:cs="Times New Roman"/>
            </w:rPr>
            <w:fldChar w:fldCharType="begin"/>
          </w:r>
          <w:r w:rsidRPr="006469CD">
            <w:rPr>
              <w:rFonts w:ascii="Palatino Linotype" w:hAnsi="Palatino Linotype" w:cs="Times New Roman"/>
              <w:lang w:val="es-CR"/>
            </w:rPr>
            <w:instrText xml:space="preserve">CITATION Goo00 \l 5130 </w:instrText>
          </w:r>
          <w:r w:rsidRPr="006469CD">
            <w:rPr>
              <w:rFonts w:ascii="Palatino Linotype" w:hAnsi="Palatino Linotype" w:cs="Times New Roman"/>
            </w:rPr>
            <w:fldChar w:fldCharType="separate"/>
          </w:r>
          <w:r w:rsidRPr="006469CD">
            <w:rPr>
              <w:rFonts w:ascii="Palatino Linotype" w:hAnsi="Palatino Linotype" w:cs="Times New Roman"/>
              <w:noProof/>
              <w:lang w:val="es-CR"/>
            </w:rPr>
            <w:t>(Goodwin, 2000)</w:t>
          </w:r>
          <w:r w:rsidRPr="006469CD">
            <w:rPr>
              <w:rFonts w:ascii="Palatino Linotype" w:hAnsi="Palatino Linotype" w:cs="Times New Roman"/>
            </w:rPr>
            <w:fldChar w:fldCharType="end"/>
          </w:r>
        </w:sdtContent>
      </w:sdt>
      <w:r w:rsidRPr="006469CD">
        <w:rPr>
          <w:rFonts w:ascii="Palatino Linotype" w:hAnsi="Palatino Linotype" w:cs="Times New Roman"/>
        </w:rPr>
        <w:t xml:space="preserve">: </w:t>
      </w:r>
    </w:p>
    <w:p w14:paraId="4FB483F7" w14:textId="77777777" w:rsidR="00674E90" w:rsidRPr="006469CD" w:rsidRDefault="00674E90" w:rsidP="00674E90">
      <w:pPr>
        <w:pStyle w:val="Prrafodelista"/>
        <w:numPr>
          <w:ilvl w:val="0"/>
          <w:numId w:val="96"/>
        </w:numPr>
        <w:spacing w:line="240" w:lineRule="auto"/>
        <w:jc w:val="both"/>
        <w:rPr>
          <w:rFonts w:ascii="Palatino Linotype" w:hAnsi="Palatino Linotype" w:cs="Times New Roman"/>
        </w:rPr>
      </w:pPr>
      <w:r w:rsidRPr="006469CD">
        <w:rPr>
          <w:rFonts w:ascii="Palatino Linotype" w:hAnsi="Palatino Linotype" w:cs="Times New Roman"/>
        </w:rPr>
        <w:t>Líneas: corresponden a los procesos probatorios disponibles dentro del contexto de la prueba judicial. Dependiendo si se trata de una refutación, objeción o conclusión, la dirección de la línea va a cambiar sea horizontal o verticalmente.</w:t>
      </w:r>
    </w:p>
    <w:p w14:paraId="5B376FC6" w14:textId="092425BD" w:rsidR="00674E90" w:rsidRDefault="00674E90" w:rsidP="00674E90">
      <w:pPr>
        <w:pStyle w:val="Prrafodelista"/>
        <w:numPr>
          <w:ilvl w:val="0"/>
          <w:numId w:val="96"/>
        </w:numPr>
        <w:spacing w:line="240" w:lineRule="auto"/>
        <w:jc w:val="both"/>
        <w:rPr>
          <w:rFonts w:ascii="Palatino Linotype" w:hAnsi="Palatino Linotype" w:cs="Times New Roman"/>
        </w:rPr>
      </w:pPr>
      <w:r w:rsidRPr="006469CD">
        <w:rPr>
          <w:rFonts w:ascii="Palatino Linotype" w:hAnsi="Palatino Linotype" w:cs="Times New Roman"/>
        </w:rPr>
        <w:t xml:space="preserve">Formas: representan los “hechos” o “hechos que se ofrecen para convencimiento”, a los cuales las líneas se conectan. Cada una de estas figuras va numerada. </w:t>
      </w:r>
    </w:p>
    <w:p w14:paraId="4AC86C7F" w14:textId="3A6C5883" w:rsidR="00D141D3" w:rsidRPr="00D141D3" w:rsidRDefault="00D141D3" w:rsidP="00D141D3">
      <w:pPr>
        <w:spacing w:line="240" w:lineRule="auto"/>
        <w:jc w:val="both"/>
        <w:rPr>
          <w:rFonts w:ascii="Palatino Linotype" w:hAnsi="Palatino Linotype" w:cs="Times New Roman"/>
        </w:rPr>
      </w:pPr>
      <w:r w:rsidRPr="006469CD">
        <w:rPr>
          <w:rFonts w:ascii="Palatino Linotype" w:hAnsi="Palatino Linotype" w:cs="Times New Roman"/>
        </w:rPr>
        <w:t>Indica Goodwin</w:t>
      </w:r>
      <w:r w:rsidRPr="006469CD">
        <w:rPr>
          <w:rFonts w:ascii="Palatino Linotype" w:hAnsi="Palatino Linotype" w:cs="Times New Roman"/>
          <w:i/>
        </w:rPr>
        <w:t xml:space="preserve">, </w:t>
      </w:r>
      <w:r w:rsidRPr="006469CD">
        <w:rPr>
          <w:rFonts w:ascii="Palatino Linotype" w:hAnsi="Palatino Linotype" w:cs="Times New Roman"/>
        </w:rPr>
        <w:t xml:space="preserve">que el Ideograma de Wigmore, en vez de visualizar o entender el diagrama como una herramienta para analizar y valorar argumentos ya existentes, se enfoca en usarlo para diseñar, construir, crear o inventar argumentos o razones, ya que se presume que el que lo use, lo está haciendo para decidir sobre el caso o mejorar la argumentación conforme lo desarrolla </w:t>
      </w:r>
      <w:sdt>
        <w:sdtPr>
          <w:rPr>
            <w:rFonts w:ascii="Palatino Linotype" w:hAnsi="Palatino Linotype" w:cs="Times New Roman"/>
          </w:rPr>
          <w:id w:val="419302113"/>
          <w:citation/>
        </w:sdtPr>
        <w:sdtEndPr/>
        <w:sdtContent>
          <w:r w:rsidRPr="006469CD">
            <w:rPr>
              <w:rFonts w:ascii="Palatino Linotype" w:hAnsi="Palatino Linotype" w:cs="Times New Roman"/>
            </w:rPr>
            <w:fldChar w:fldCharType="begin"/>
          </w:r>
          <w:r w:rsidRPr="006469CD">
            <w:rPr>
              <w:rFonts w:ascii="Palatino Linotype" w:hAnsi="Palatino Linotype" w:cs="Times New Roman"/>
              <w:lang w:val="es-CR"/>
            </w:rPr>
            <w:instrText xml:space="preserve"> CITATION Goo00 \l 5130 </w:instrText>
          </w:r>
          <w:r w:rsidRPr="006469CD">
            <w:rPr>
              <w:rFonts w:ascii="Palatino Linotype" w:hAnsi="Palatino Linotype" w:cs="Times New Roman"/>
            </w:rPr>
            <w:fldChar w:fldCharType="separate"/>
          </w:r>
          <w:r w:rsidRPr="006469CD">
            <w:rPr>
              <w:rFonts w:ascii="Palatino Linotype" w:hAnsi="Palatino Linotype" w:cs="Times New Roman"/>
              <w:noProof/>
              <w:lang w:val="es-CR"/>
            </w:rPr>
            <w:t>(Goodwin, 2000)</w:t>
          </w:r>
          <w:r w:rsidRPr="006469CD">
            <w:rPr>
              <w:rFonts w:ascii="Palatino Linotype" w:hAnsi="Palatino Linotype" w:cs="Times New Roman"/>
            </w:rPr>
            <w:fldChar w:fldCharType="end"/>
          </w:r>
        </w:sdtContent>
      </w:sdt>
      <w:r w:rsidRPr="006469CD">
        <w:rPr>
          <w:rFonts w:ascii="Palatino Linotype" w:hAnsi="Palatino Linotype" w:cs="Times New Roman"/>
        </w:rPr>
        <w:t>. Intenta traducir aspectos de la lógica informal a retórica contenciosa.</w:t>
      </w:r>
    </w:p>
    <w:p w14:paraId="4B8E4026" w14:textId="03683335" w:rsidR="00674E90" w:rsidRPr="006469CD" w:rsidRDefault="006469CD" w:rsidP="00D141D3">
      <w:pPr>
        <w:spacing w:line="240" w:lineRule="auto"/>
        <w:jc w:val="both"/>
        <w:rPr>
          <w:rFonts w:ascii="Palatino Linotype" w:hAnsi="Palatino Linotype" w:cs="Times New Roman"/>
          <w:lang w:val="es-CR"/>
        </w:rPr>
      </w:pPr>
      <w:r w:rsidRPr="006469CD">
        <w:rPr>
          <w:rFonts w:ascii="Palatino Linotype" w:hAnsi="Palatino Linotype"/>
          <w:noProof/>
          <w:lang w:eastAsia="es-CR"/>
        </w:rPr>
        <w:lastRenderedPageBreak/>
        <w:drawing>
          <wp:anchor distT="0" distB="0" distL="114300" distR="114300" simplePos="0" relativeHeight="251670528" behindDoc="1" locked="0" layoutInCell="1" allowOverlap="1" wp14:anchorId="2E5FCE9E" wp14:editId="36D9F59F">
            <wp:simplePos x="0" y="0"/>
            <wp:positionH relativeFrom="margin">
              <wp:align>left</wp:align>
            </wp:positionH>
            <wp:positionV relativeFrom="margin">
              <wp:posOffset>1339850</wp:posOffset>
            </wp:positionV>
            <wp:extent cx="2825750" cy="4671060"/>
            <wp:effectExtent l="0" t="8255" r="4445" b="4445"/>
            <wp:wrapTight wrapText="bothSides">
              <wp:wrapPolygon edited="0">
                <wp:start x="-63" y="21562"/>
                <wp:lineTo x="21488" y="21562"/>
                <wp:lineTo x="21488" y="68"/>
                <wp:lineTo x="-63" y="68"/>
                <wp:lineTo x="-63" y="21562"/>
              </wp:wrapPolygon>
            </wp:wrapTight>
            <wp:docPr id="10" name="Imagen 10" descr="Mostrar/Ocul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strar/Oculta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2825750" cy="467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E90" w:rsidRPr="006469CD">
        <w:rPr>
          <w:rFonts w:ascii="Palatino Linotype" w:hAnsi="Palatino Linotype" w:cs="Times New Roman"/>
        </w:rPr>
        <w:t xml:space="preserve"> </w:t>
      </w:r>
      <w:r w:rsidR="00674E90" w:rsidRPr="006469CD">
        <w:rPr>
          <w:rFonts w:ascii="Palatino Linotype" w:hAnsi="Palatino Linotype" w:cs="Times New Roman"/>
          <w:lang w:val="es-CR"/>
        </w:rPr>
        <w:t xml:space="preserve">Figura 1. Wolters Kluwer, </w:t>
      </w:r>
      <w:r w:rsidR="00674E90" w:rsidRPr="006469CD">
        <w:rPr>
          <w:rFonts w:ascii="Palatino Linotype" w:hAnsi="Palatino Linotype" w:cs="Times New Roman"/>
          <w:i/>
          <w:lang w:val="es-CR"/>
        </w:rPr>
        <w:t>Ideograma de Wigmore</w:t>
      </w:r>
      <w:r w:rsidR="00674E90" w:rsidRPr="006469CD">
        <w:rPr>
          <w:rFonts w:ascii="Palatino Linotype" w:hAnsi="Palatino Linotype" w:cs="Times New Roman"/>
          <w:lang w:val="es-CR"/>
        </w:rPr>
        <w:t xml:space="preserve">, 2013, España, Accesado el 4 de marzo de 2019, </w:t>
      </w:r>
      <w:hyperlink r:id="rId45" w:history="1">
        <w:r w:rsidR="00674E90" w:rsidRPr="006469CD">
          <w:rPr>
            <w:rStyle w:val="Hipervnculo"/>
            <w:rFonts w:ascii="Palatino Linotype" w:hAnsi="Palatino Linotype" w:cs="Times New Roman"/>
            <w:bCs/>
            <w:shd w:val="clear" w:color="auto" w:fill="FFFFFF"/>
          </w:rPr>
          <w:t>https://tinyurl.com/y62t3tnl</w:t>
        </w:r>
      </w:hyperlink>
    </w:p>
    <w:p w14:paraId="2B3FC80C" w14:textId="77777777" w:rsidR="00674E90" w:rsidRPr="006469CD" w:rsidRDefault="00674E90" w:rsidP="00674E90">
      <w:pPr>
        <w:spacing w:line="240" w:lineRule="auto"/>
        <w:rPr>
          <w:rFonts w:ascii="Palatino Linotype" w:hAnsi="Palatino Linotype" w:cs="Times New Roman"/>
          <w:lang w:val="es-CR"/>
        </w:rPr>
      </w:pPr>
    </w:p>
    <w:p w14:paraId="48EA50D2" w14:textId="77777777" w:rsidR="00674E90" w:rsidRPr="006469CD" w:rsidRDefault="00674E90" w:rsidP="00674E90">
      <w:pPr>
        <w:pStyle w:val="Ttulo2"/>
        <w:rPr>
          <w:rFonts w:ascii="Palatino Linotype" w:hAnsi="Palatino Linotype" w:cs="Times New Roman"/>
          <w:b/>
          <w:i/>
          <w:color w:val="auto"/>
          <w:sz w:val="22"/>
          <w:szCs w:val="22"/>
          <w:lang w:val="es-CR"/>
        </w:rPr>
      </w:pPr>
      <w:r w:rsidRPr="006469CD">
        <w:rPr>
          <w:rFonts w:ascii="Palatino Linotype" w:hAnsi="Palatino Linotype" w:cs="Times New Roman"/>
          <w:b/>
          <w:i/>
          <w:color w:val="auto"/>
          <w:sz w:val="22"/>
          <w:szCs w:val="22"/>
          <w:lang w:val="es-CR"/>
        </w:rPr>
        <w:t>4.2) El Heurigrama</w:t>
      </w:r>
    </w:p>
    <w:p w14:paraId="602B67AC"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Por otra parte en Wolters Kluwer (2013) se señala, que si bien, el Ideograma de Wigmore nos acerca a un cálculo deóntico o factual de la prueba, no debe verse la probática solamente como una teoría general de la prueba, sino también desde sus elementos praxiológicos. Propone – tomando en cuenta la complejidad del diagrama planteado por Wigmore-, plantillas conocidas como heurigramas – vista en práctica en una sección más adelante – entendidas como: </w:t>
      </w:r>
      <w:r w:rsidRPr="006469CD">
        <w:rPr>
          <w:rFonts w:ascii="Palatino Linotype" w:hAnsi="Palatino Linotype" w:cs="Times New Roman"/>
          <w:i/>
        </w:rPr>
        <w:t>“(…)</w:t>
      </w:r>
      <w:r w:rsidRPr="006469CD">
        <w:rPr>
          <w:rFonts w:ascii="Palatino Linotype" w:hAnsi="Palatino Linotype" w:cs="Times New Roman"/>
          <w:i/>
          <w:color w:val="000000"/>
          <w:shd w:val="clear" w:color="auto" w:fill="FFFFFF"/>
        </w:rPr>
        <w:t xml:space="preserve"> una tabla de apuntes, que consta de varias celdas ordenadas según su destino probático y en las cuales se toma nota de los distintos medios de prueba, datos de hecho, inferencias y otras incidencias que pueden ser visionadas y relacionadas de conjunto en vistas no sólo a confeccionar la fórmula probática sino también en la fase de conclusiones. Pero no se hace ningún uso matemático sino cognitivo.”</w:t>
      </w:r>
      <w:r w:rsidRPr="006469CD">
        <w:rPr>
          <w:rFonts w:ascii="Palatino Linotype" w:hAnsi="Palatino Linotype" w:cs="Times New Roman"/>
          <w:i/>
          <w:noProof/>
          <w:color w:val="000000"/>
          <w:shd w:val="clear" w:color="auto" w:fill="FFFFFF"/>
          <w:lang w:val="es-CR"/>
        </w:rPr>
        <w:t xml:space="preserve"> </w:t>
      </w:r>
      <w:r w:rsidRPr="006469CD">
        <w:rPr>
          <w:rFonts w:ascii="Palatino Linotype" w:hAnsi="Palatino Linotype" w:cs="Times New Roman"/>
          <w:noProof/>
          <w:color w:val="000000"/>
          <w:shd w:val="clear" w:color="auto" w:fill="FFFFFF"/>
          <w:lang w:val="es-CR"/>
        </w:rPr>
        <w:t>(Wolters Kluwer, 2013)</w:t>
      </w:r>
      <w:r w:rsidRPr="006469CD">
        <w:rPr>
          <w:rFonts w:ascii="Palatino Linotype" w:hAnsi="Palatino Linotype" w:cs="Times New Roman"/>
          <w:i/>
          <w:color w:val="000000"/>
          <w:shd w:val="clear" w:color="auto" w:fill="FFFFFF"/>
        </w:rPr>
        <w:t>.</w:t>
      </w:r>
      <w:r w:rsidRPr="006469CD">
        <w:rPr>
          <w:rFonts w:ascii="Palatino Linotype" w:hAnsi="Palatino Linotype" w:cs="Times New Roman"/>
        </w:rPr>
        <w:t xml:space="preserve"> </w:t>
      </w:r>
    </w:p>
    <w:p w14:paraId="7C351416"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Dentro del heurigrama podemos identificar una serie de apartados citados a continuación: </w:t>
      </w:r>
    </w:p>
    <w:p w14:paraId="1B5091B2" w14:textId="77777777" w:rsidR="00674E90" w:rsidRPr="006469CD" w:rsidRDefault="00674E90" w:rsidP="00674E90">
      <w:pPr>
        <w:pStyle w:val="Prrafodelista"/>
        <w:numPr>
          <w:ilvl w:val="0"/>
          <w:numId w:val="98"/>
        </w:numPr>
        <w:spacing w:line="240" w:lineRule="auto"/>
        <w:jc w:val="both"/>
        <w:rPr>
          <w:rFonts w:ascii="Palatino Linotype" w:hAnsi="Palatino Linotype" w:cs="Times New Roman"/>
        </w:rPr>
      </w:pPr>
      <w:r w:rsidRPr="006469CD">
        <w:rPr>
          <w:rFonts w:ascii="Palatino Linotype" w:hAnsi="Palatino Linotype" w:cs="Times New Roman"/>
        </w:rPr>
        <w:lastRenderedPageBreak/>
        <w:t xml:space="preserve">Genothema probandi: supuesto de hecho normativo que se desprende de una proposición de hecho genérica. </w:t>
      </w:r>
    </w:p>
    <w:p w14:paraId="7CF21D52" w14:textId="77777777" w:rsidR="00674E90" w:rsidRPr="006469CD" w:rsidRDefault="00674E90" w:rsidP="00674E90">
      <w:pPr>
        <w:pStyle w:val="Prrafodelista"/>
        <w:numPr>
          <w:ilvl w:val="0"/>
          <w:numId w:val="98"/>
        </w:numPr>
        <w:spacing w:line="240" w:lineRule="auto"/>
        <w:jc w:val="both"/>
        <w:rPr>
          <w:rFonts w:ascii="Palatino Linotype" w:hAnsi="Palatino Linotype" w:cs="Times New Roman"/>
        </w:rPr>
      </w:pPr>
      <w:r w:rsidRPr="006469CD">
        <w:rPr>
          <w:rFonts w:ascii="Palatino Linotype" w:hAnsi="Palatino Linotype" w:cs="Times New Roman"/>
        </w:rPr>
        <w:t>Thema probandi: se transforma el genothema probandi en una proposición de hecho mucho más específica, que se convertirá en el objeto de la prueba.</w:t>
      </w:r>
    </w:p>
    <w:p w14:paraId="6F5BD3D0" w14:textId="77777777" w:rsidR="00674E90" w:rsidRPr="006469CD" w:rsidRDefault="00674E90" w:rsidP="00674E90">
      <w:pPr>
        <w:pStyle w:val="Prrafodelista"/>
        <w:numPr>
          <w:ilvl w:val="0"/>
          <w:numId w:val="98"/>
        </w:numPr>
        <w:spacing w:line="240" w:lineRule="auto"/>
        <w:jc w:val="both"/>
        <w:rPr>
          <w:rFonts w:ascii="Palatino Linotype" w:hAnsi="Palatino Linotype" w:cs="Times New Roman"/>
        </w:rPr>
      </w:pPr>
      <w:r w:rsidRPr="006469CD">
        <w:rPr>
          <w:rFonts w:ascii="Palatino Linotype" w:hAnsi="Palatino Linotype" w:cs="Times New Roman"/>
        </w:rPr>
        <w:t xml:space="preserve">Subthema probandi: corresponde a los indicios que se usarán para probar el thema probandi, en otras palabras, la “huella” del hecho. No necesariamente debe estar presente en todo “heurigrama” que se realice. </w:t>
      </w:r>
    </w:p>
    <w:p w14:paraId="30D9CAAC" w14:textId="77777777" w:rsidR="00674E90" w:rsidRPr="006469CD" w:rsidRDefault="00674E90" w:rsidP="00674E90">
      <w:pPr>
        <w:pStyle w:val="Prrafodelista"/>
        <w:numPr>
          <w:ilvl w:val="0"/>
          <w:numId w:val="98"/>
        </w:numPr>
        <w:spacing w:line="240" w:lineRule="auto"/>
        <w:jc w:val="both"/>
        <w:rPr>
          <w:rFonts w:ascii="Palatino Linotype" w:hAnsi="Palatino Linotype" w:cs="Times New Roman"/>
        </w:rPr>
      </w:pPr>
      <w:r w:rsidRPr="006469CD">
        <w:rPr>
          <w:rFonts w:ascii="Palatino Linotype" w:hAnsi="Palatino Linotype" w:cs="Times New Roman"/>
        </w:rPr>
        <w:t>Fijación: contiene los medios de prueba relativos al caso, según catalogados por el usuario del heurigrama.</w:t>
      </w:r>
    </w:p>
    <w:p w14:paraId="2E4108EB" w14:textId="77777777" w:rsidR="00674E90" w:rsidRPr="006469CD" w:rsidRDefault="00674E90" w:rsidP="00674E90">
      <w:pPr>
        <w:pStyle w:val="Prrafodelista"/>
        <w:numPr>
          <w:ilvl w:val="0"/>
          <w:numId w:val="98"/>
        </w:numPr>
        <w:spacing w:line="240" w:lineRule="auto"/>
        <w:jc w:val="both"/>
        <w:rPr>
          <w:rFonts w:ascii="Palatino Linotype" w:hAnsi="Palatino Linotype" w:cs="Times New Roman"/>
        </w:rPr>
      </w:pPr>
      <w:r w:rsidRPr="006469CD">
        <w:rPr>
          <w:rFonts w:ascii="Palatino Linotype" w:hAnsi="Palatino Linotype" w:cs="Times New Roman"/>
        </w:rPr>
        <w:t>Verificación instrumental: responde a aquella prueba que corrobore en la verdad o falsedad sobre los medios o actividades de prueba incluidos en la fijación.</w:t>
      </w:r>
    </w:p>
    <w:p w14:paraId="0FFFF072" w14:textId="77777777" w:rsidR="00674E90" w:rsidRPr="006469CD" w:rsidRDefault="00674E90" w:rsidP="00674E90">
      <w:pPr>
        <w:pStyle w:val="Prrafodelista"/>
        <w:numPr>
          <w:ilvl w:val="0"/>
          <w:numId w:val="98"/>
        </w:numPr>
        <w:spacing w:line="240" w:lineRule="auto"/>
        <w:jc w:val="both"/>
        <w:rPr>
          <w:rFonts w:ascii="Palatino Linotype" w:hAnsi="Palatino Linotype" w:cs="Times New Roman"/>
        </w:rPr>
      </w:pPr>
      <w:r w:rsidRPr="006469CD">
        <w:rPr>
          <w:rFonts w:ascii="Palatino Linotype" w:hAnsi="Palatino Linotype" w:cs="Times New Roman"/>
        </w:rPr>
        <w:t xml:space="preserve">Infirmación: contra-respuestas o invalidaciones para replicarle al adversario frente a una presunción. </w:t>
      </w:r>
    </w:p>
    <w:p w14:paraId="68B80D6B" w14:textId="77777777" w:rsidR="00674E90" w:rsidRPr="006469CD" w:rsidRDefault="00674E90" w:rsidP="00674E90">
      <w:pPr>
        <w:pStyle w:val="Prrafodelista"/>
        <w:numPr>
          <w:ilvl w:val="0"/>
          <w:numId w:val="98"/>
        </w:numPr>
        <w:spacing w:line="240" w:lineRule="auto"/>
        <w:jc w:val="both"/>
        <w:rPr>
          <w:rFonts w:ascii="Palatino Linotype" w:hAnsi="Palatino Linotype" w:cs="Times New Roman"/>
        </w:rPr>
      </w:pPr>
      <w:r w:rsidRPr="006469CD">
        <w:rPr>
          <w:rFonts w:ascii="Palatino Linotype" w:hAnsi="Palatino Linotype" w:cs="Times New Roman"/>
        </w:rPr>
        <w:t xml:space="preserve">Argumentación: se incluyen aquí observaciones, máximas de experiencia, tácticas probatorias, entre otros elementos, que sirven para la comprensión solución del caso. </w:t>
      </w:r>
    </w:p>
    <w:p w14:paraId="77E7B110"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Tanto el Ideograma de Wigmore como el heurigrama, nos ofrecen herramientas de visualización que ayudan en el examen probático del caso, mas no están libre de problemas: El Ideograma de Wigmore requería, en su concepción, del uso de 64 símbolos distintos para evidencias e inferencias, lo que lo tornaba sumamente complejo para la aplicación práctica o la enseñanza del Derecho. Posteriormente, este método fue estudiado y modificado para reducir la simbología de los 64 originalmente, a sólo 8. Aun así, su lectura no es simple y su utilidad se relaciona más con la teoría de la argumentación o un cálculo argumentativo. Además, su función se dirige más al Derecho Anglosajón que al Continental, al ser más “flexible” en comparación con la “rigidez” de nuestro sistema. Contrapuesto, el heurigrama ofrece una simplificación estructural no tan “matemática” o visual como el método de Wigmore y asiste en la organización de la información, pero estimamos que se queda corto a la escala macro-analítica del ideograma y a su capacidad mnemotécnica (tal vez por el poder propio de la imagen). Ello no quiere decir que el heurigrama sea de nula utilidad, ya que como rescata Gama Leyva, este es un método complementario al de </w:t>
      </w:r>
      <w:r w:rsidRPr="006469CD">
        <w:rPr>
          <w:rFonts w:ascii="Palatino Linotype" w:hAnsi="Palatino Linotype" w:cs="Times New Roman"/>
        </w:rPr>
        <w:lastRenderedPageBreak/>
        <w:t xml:space="preserve">Wigmore </w:t>
      </w:r>
      <w:sdt>
        <w:sdtPr>
          <w:rPr>
            <w:rFonts w:ascii="Palatino Linotype" w:hAnsi="Palatino Linotype" w:cs="Times New Roman"/>
          </w:rPr>
          <w:id w:val="566925439"/>
          <w:citation/>
        </w:sdtPr>
        <w:sdtEndPr/>
        <w:sdtContent>
          <w:r w:rsidRPr="006469CD">
            <w:rPr>
              <w:rFonts w:ascii="Palatino Linotype" w:hAnsi="Palatino Linotype" w:cs="Times New Roman"/>
            </w:rPr>
            <w:fldChar w:fldCharType="begin"/>
          </w:r>
          <w:r w:rsidRPr="006469CD">
            <w:rPr>
              <w:rFonts w:ascii="Palatino Linotype" w:hAnsi="Palatino Linotype" w:cs="Times New Roman"/>
              <w:lang w:val="es-CR"/>
            </w:rPr>
            <w:instrText xml:space="preserve"> CITATION Gam10 \l 5130 </w:instrText>
          </w:r>
          <w:r w:rsidRPr="006469CD">
            <w:rPr>
              <w:rFonts w:ascii="Palatino Linotype" w:hAnsi="Palatino Linotype" w:cs="Times New Roman"/>
            </w:rPr>
            <w:fldChar w:fldCharType="separate"/>
          </w:r>
          <w:r w:rsidRPr="006469CD">
            <w:rPr>
              <w:rFonts w:ascii="Palatino Linotype" w:hAnsi="Palatino Linotype" w:cs="Times New Roman"/>
              <w:noProof/>
              <w:lang w:val="es-CR"/>
            </w:rPr>
            <w:t>(Gama Leyva, 2010)</w:t>
          </w:r>
          <w:r w:rsidRPr="006469CD">
            <w:rPr>
              <w:rFonts w:ascii="Palatino Linotype" w:hAnsi="Palatino Linotype" w:cs="Times New Roman"/>
            </w:rPr>
            <w:fldChar w:fldCharType="end"/>
          </w:r>
        </w:sdtContent>
      </w:sdt>
      <w:r w:rsidRPr="006469CD">
        <w:rPr>
          <w:rFonts w:ascii="Palatino Linotype" w:hAnsi="Palatino Linotype" w:cs="Times New Roman"/>
        </w:rPr>
        <w:t xml:space="preserve">, como de otros que existan análogos a la temática. </w:t>
      </w:r>
    </w:p>
    <w:p w14:paraId="0E80A1EF" w14:textId="77777777" w:rsidR="00674E90" w:rsidRPr="006469CD" w:rsidRDefault="00674E90" w:rsidP="00674E90">
      <w:pPr>
        <w:pStyle w:val="Ttulo1"/>
        <w:rPr>
          <w:rFonts w:ascii="Palatino Linotype" w:hAnsi="Palatino Linotype" w:cs="Times New Roman"/>
          <w:b w:val="0"/>
          <w:sz w:val="22"/>
          <w:szCs w:val="22"/>
        </w:rPr>
      </w:pPr>
      <w:r w:rsidRPr="006469CD">
        <w:rPr>
          <w:rFonts w:ascii="Palatino Linotype" w:hAnsi="Palatino Linotype" w:cs="Times New Roman"/>
          <w:sz w:val="22"/>
          <w:szCs w:val="22"/>
        </w:rPr>
        <w:t xml:space="preserve">5) ELABORACIÓN DE UN GRAFO PARA LA ORGANIZACIÓN Y LA EXPOSICIÓN FÁCTICA  </w:t>
      </w:r>
    </w:p>
    <w:p w14:paraId="77D10FAF" w14:textId="77777777" w:rsidR="00674E90" w:rsidRPr="006469CD" w:rsidRDefault="00674E90" w:rsidP="00674E90">
      <w:pPr>
        <w:pStyle w:val="Ttulo2"/>
        <w:rPr>
          <w:rFonts w:ascii="Palatino Linotype" w:hAnsi="Palatino Linotype" w:cs="Times New Roman"/>
          <w:b/>
          <w:i/>
          <w:sz w:val="22"/>
          <w:szCs w:val="22"/>
          <w:lang w:val="es-CR" w:eastAsia="es-CR"/>
        </w:rPr>
      </w:pPr>
      <w:r w:rsidRPr="006469CD">
        <w:rPr>
          <w:rFonts w:ascii="Palatino Linotype" w:hAnsi="Palatino Linotype" w:cs="Times New Roman"/>
          <w:b/>
          <w:i/>
          <w:color w:val="auto"/>
          <w:sz w:val="22"/>
          <w:szCs w:val="22"/>
          <w:lang w:val="es-CR" w:eastAsia="es-CR"/>
        </w:rPr>
        <w:t>5.1) La figura del grafo</w:t>
      </w:r>
    </w:p>
    <w:p w14:paraId="2A539FD1"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Los errores pueden aumentar en proporción a la cuantía de los hechos y elementos probatorios con los que se interactúe, por lo que resultó necesario idear una técnica que respondiera a dicha problemática. </w:t>
      </w:r>
    </w:p>
    <w:p w14:paraId="6526D67C"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Para ello, acudimos al grafo, entendido como una abstracción combinatoria, en donde un conjunto de puntos (llamados nodos, vértices, elementos o nudos), se unen a través de otro conjunto de líneas llamadas arcos o aristas </w:t>
      </w:r>
      <w:sdt>
        <w:sdtPr>
          <w:rPr>
            <w:rFonts w:ascii="Palatino Linotype" w:hAnsi="Palatino Linotype" w:cs="Times New Roman"/>
          </w:rPr>
          <w:id w:val="1744598371"/>
          <w:citation/>
        </w:sdtPr>
        <w:sdtEndPr/>
        <w:sdtContent>
          <w:r w:rsidRPr="006469CD">
            <w:rPr>
              <w:rFonts w:ascii="Palatino Linotype" w:hAnsi="Palatino Linotype" w:cs="Times New Roman"/>
            </w:rPr>
            <w:fldChar w:fldCharType="begin"/>
          </w:r>
          <w:r w:rsidRPr="006469CD">
            <w:rPr>
              <w:rFonts w:ascii="Palatino Linotype" w:hAnsi="Palatino Linotype" w:cs="Times New Roman"/>
              <w:lang w:val="es-CR"/>
            </w:rPr>
            <w:instrText xml:space="preserve">CITATION Alv13 \l 5130 </w:instrText>
          </w:r>
          <w:r w:rsidRPr="006469CD">
            <w:rPr>
              <w:rFonts w:ascii="Palatino Linotype" w:hAnsi="Palatino Linotype" w:cs="Times New Roman"/>
            </w:rPr>
            <w:fldChar w:fldCharType="separate"/>
          </w:r>
          <w:r w:rsidRPr="006469CD">
            <w:rPr>
              <w:rFonts w:ascii="Palatino Linotype" w:hAnsi="Palatino Linotype" w:cs="Times New Roman"/>
              <w:noProof/>
              <w:lang w:val="es-CR"/>
            </w:rPr>
            <w:t>(Alvarez Nuñez &amp; Parra Muñoz, 2013)</w:t>
          </w:r>
          <w:r w:rsidRPr="006469CD">
            <w:rPr>
              <w:rFonts w:ascii="Palatino Linotype" w:hAnsi="Palatino Linotype" w:cs="Times New Roman"/>
            </w:rPr>
            <w:fldChar w:fldCharType="end"/>
          </w:r>
        </w:sdtContent>
      </w:sdt>
      <w:r w:rsidRPr="006469CD">
        <w:rPr>
          <w:rFonts w:ascii="Palatino Linotype" w:hAnsi="Palatino Linotype" w:cs="Times New Roman"/>
        </w:rPr>
        <w:t>. El grafo trata, precisamente, de representar gráfica o visualmente la relación entre objetos – los cuales no necesariamente deben ser números – conteniendo una gran gama de aplicaciones: desde demarcar una red de enlaces ferroviarios hasta la detección de fraudes.</w:t>
      </w:r>
    </w:p>
    <w:p w14:paraId="1DFF50C7"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Los grafos son una herramienta sumamente versátil para analizar una gran variedad de problemas prácticos cuyos puntos y conexiones tienen una interpretación física y conceptual </w:t>
      </w:r>
      <w:sdt>
        <w:sdtPr>
          <w:rPr>
            <w:rFonts w:ascii="Palatino Linotype" w:hAnsi="Palatino Linotype" w:cs="Times New Roman"/>
          </w:rPr>
          <w:id w:val="1460687280"/>
          <w:citation/>
        </w:sdtPr>
        <w:sdtEndPr/>
        <w:sdtContent>
          <w:r w:rsidRPr="006469CD">
            <w:rPr>
              <w:rFonts w:ascii="Palatino Linotype" w:hAnsi="Palatino Linotype" w:cs="Times New Roman"/>
            </w:rPr>
            <w:fldChar w:fldCharType="begin"/>
          </w:r>
          <w:r w:rsidRPr="006469CD">
            <w:rPr>
              <w:rFonts w:ascii="Palatino Linotype" w:hAnsi="Palatino Linotype" w:cs="Times New Roman"/>
              <w:lang w:val="es-CR"/>
            </w:rPr>
            <w:instrText xml:space="preserve">CITATION Mar \l 5130 </w:instrText>
          </w:r>
          <w:r w:rsidRPr="006469CD">
            <w:rPr>
              <w:rFonts w:ascii="Palatino Linotype" w:hAnsi="Palatino Linotype" w:cs="Times New Roman"/>
            </w:rPr>
            <w:fldChar w:fldCharType="separate"/>
          </w:r>
          <w:r w:rsidRPr="006469CD">
            <w:rPr>
              <w:rFonts w:ascii="Palatino Linotype" w:hAnsi="Palatino Linotype" w:cs="Times New Roman"/>
              <w:noProof/>
              <w:lang w:val="es-CR"/>
            </w:rPr>
            <w:t>(Sánchez, 2017)</w:t>
          </w:r>
          <w:r w:rsidRPr="006469CD">
            <w:rPr>
              <w:rFonts w:ascii="Palatino Linotype" w:hAnsi="Palatino Linotype" w:cs="Times New Roman"/>
            </w:rPr>
            <w:fldChar w:fldCharType="end"/>
          </w:r>
        </w:sdtContent>
      </w:sdt>
      <w:r w:rsidRPr="006469CD">
        <w:rPr>
          <w:rFonts w:ascii="Palatino Linotype" w:hAnsi="Palatino Linotype" w:cs="Times New Roman"/>
        </w:rPr>
        <w:t>.</w:t>
      </w:r>
    </w:p>
    <w:p w14:paraId="66CAB430"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noProof/>
          <w:lang w:val="es-CR" w:eastAsia="es-CR"/>
        </w:rPr>
        <w:drawing>
          <wp:anchor distT="0" distB="0" distL="114300" distR="114300" simplePos="0" relativeHeight="251665408" behindDoc="1" locked="0" layoutInCell="1" allowOverlap="1" wp14:anchorId="357221D7" wp14:editId="7689159C">
            <wp:simplePos x="0" y="0"/>
            <wp:positionH relativeFrom="margin">
              <wp:posOffset>729615</wp:posOffset>
            </wp:positionH>
            <wp:positionV relativeFrom="paragraph">
              <wp:posOffset>0</wp:posOffset>
            </wp:positionV>
            <wp:extent cx="4143375" cy="1167765"/>
            <wp:effectExtent l="0" t="0" r="9525" b="0"/>
            <wp:wrapTight wrapText="bothSides">
              <wp:wrapPolygon edited="0">
                <wp:start x="0" y="0"/>
                <wp:lineTo x="0" y="21142"/>
                <wp:lineTo x="21550" y="21142"/>
                <wp:lineTo x="2155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3Grafo.png"/>
                    <pic:cNvPicPr/>
                  </pic:nvPicPr>
                  <pic:blipFill>
                    <a:blip r:embed="rId46">
                      <a:extLst>
                        <a:ext uri="{28A0092B-C50C-407E-A947-70E740481C1C}">
                          <a14:useLocalDpi xmlns:a14="http://schemas.microsoft.com/office/drawing/2010/main" val="0"/>
                        </a:ext>
                      </a:extLst>
                    </a:blip>
                    <a:stretch>
                      <a:fillRect/>
                    </a:stretch>
                  </pic:blipFill>
                  <pic:spPr>
                    <a:xfrm>
                      <a:off x="0" y="0"/>
                      <a:ext cx="4143375" cy="1167765"/>
                    </a:xfrm>
                    <a:prstGeom prst="rect">
                      <a:avLst/>
                    </a:prstGeom>
                  </pic:spPr>
                </pic:pic>
              </a:graphicData>
            </a:graphic>
            <wp14:sizeRelH relativeFrom="margin">
              <wp14:pctWidth>0</wp14:pctWidth>
            </wp14:sizeRelH>
            <wp14:sizeRelV relativeFrom="margin">
              <wp14:pctHeight>0</wp14:pctHeight>
            </wp14:sizeRelV>
          </wp:anchor>
        </w:drawing>
      </w:r>
    </w:p>
    <w:p w14:paraId="096F83BC" w14:textId="77777777" w:rsidR="00674E90" w:rsidRPr="006469CD" w:rsidRDefault="00674E90" w:rsidP="00674E90">
      <w:pPr>
        <w:spacing w:line="240" w:lineRule="auto"/>
        <w:ind w:firstLine="708"/>
        <w:jc w:val="center"/>
        <w:rPr>
          <w:rFonts w:ascii="Palatino Linotype" w:hAnsi="Palatino Linotype" w:cs="Times New Roman"/>
        </w:rPr>
      </w:pPr>
      <w:r w:rsidRPr="006469CD">
        <w:rPr>
          <w:rFonts w:ascii="Palatino Linotype" w:hAnsi="Palatino Linotype" w:cs="Times New Roman"/>
        </w:rPr>
        <w:t xml:space="preserve"> </w:t>
      </w:r>
    </w:p>
    <w:p w14:paraId="161D8529" w14:textId="77777777" w:rsidR="00674E90" w:rsidRPr="006469CD" w:rsidRDefault="00674E90" w:rsidP="00674E90">
      <w:pPr>
        <w:spacing w:line="240" w:lineRule="auto"/>
        <w:jc w:val="center"/>
        <w:rPr>
          <w:rFonts w:ascii="Palatino Linotype" w:hAnsi="Palatino Linotype" w:cs="Times New Roman"/>
        </w:rPr>
      </w:pPr>
    </w:p>
    <w:p w14:paraId="058A42C6" w14:textId="77777777" w:rsidR="00674E90" w:rsidRPr="006469CD" w:rsidRDefault="00674E90" w:rsidP="00674E90">
      <w:pPr>
        <w:spacing w:line="240" w:lineRule="auto"/>
        <w:jc w:val="center"/>
        <w:rPr>
          <w:rFonts w:ascii="Palatino Linotype" w:hAnsi="Palatino Linotype" w:cs="Times New Roman"/>
        </w:rPr>
      </w:pPr>
    </w:p>
    <w:p w14:paraId="24306758" w14:textId="77777777" w:rsidR="00674E90" w:rsidRPr="006469CD" w:rsidRDefault="00674E90" w:rsidP="00674E90">
      <w:pPr>
        <w:spacing w:line="240" w:lineRule="auto"/>
        <w:jc w:val="center"/>
        <w:rPr>
          <w:rFonts w:ascii="Palatino Linotype" w:hAnsi="Palatino Linotype" w:cs="Times New Roman"/>
        </w:rPr>
      </w:pPr>
    </w:p>
    <w:p w14:paraId="6FF96465" w14:textId="77777777" w:rsidR="00674E90" w:rsidRPr="006469CD" w:rsidRDefault="00674E90" w:rsidP="00674E90">
      <w:pPr>
        <w:spacing w:line="240" w:lineRule="auto"/>
        <w:jc w:val="center"/>
        <w:rPr>
          <w:rFonts w:ascii="Palatino Linotype" w:hAnsi="Palatino Linotype" w:cs="Times New Roman"/>
        </w:rPr>
      </w:pPr>
      <w:r w:rsidRPr="006469CD">
        <w:rPr>
          <w:rFonts w:ascii="Palatino Linotype" w:hAnsi="Palatino Linotype" w:cs="Times New Roman"/>
        </w:rPr>
        <w:t xml:space="preserve">Figura 2. Grafo no dirigido, grafo dirigido y grafo mixto. </w:t>
      </w:r>
    </w:p>
    <w:p w14:paraId="4D8D7731" w14:textId="77777777" w:rsidR="00674E90" w:rsidRPr="006469CD" w:rsidRDefault="00674E90" w:rsidP="00674E90">
      <w:pPr>
        <w:spacing w:line="240" w:lineRule="auto"/>
        <w:jc w:val="both"/>
        <w:rPr>
          <w:rFonts w:ascii="Palatino Linotype" w:hAnsi="Palatino Linotype" w:cs="Times New Roman"/>
          <w:color w:val="000000"/>
        </w:rPr>
      </w:pPr>
      <w:r w:rsidRPr="006469CD">
        <w:rPr>
          <w:rFonts w:ascii="Palatino Linotype" w:hAnsi="Palatino Linotype" w:cs="Times New Roman"/>
          <w:color w:val="000000"/>
        </w:rPr>
        <w:t xml:space="preserve">En la Figura 2, podemos observar tres tipos de grafos: aquellos nodos o vértices unidos únicamente por líneas se conoce como grafos no dirigidos; los nodos o vértices unidos únicamente por flechas han de entenderse como un grafo dirigido y finalmente, los nodos o vértices conectados tanto por líneas como flechas ilustran un grafo mixto. Tanto los nodos o vértices como </w:t>
      </w:r>
      <w:r w:rsidRPr="006469CD">
        <w:rPr>
          <w:rFonts w:ascii="Palatino Linotype" w:hAnsi="Palatino Linotype" w:cs="Times New Roman"/>
          <w:color w:val="000000"/>
        </w:rPr>
        <w:lastRenderedPageBreak/>
        <w:t xml:space="preserve">los arcos o aristas pueden tener asociados propiedades como color, tipo o forma, dependiendo de utilidad particular del modelo. </w:t>
      </w:r>
    </w:p>
    <w:p w14:paraId="4722806C" w14:textId="77777777" w:rsidR="00674E90" w:rsidRPr="006469CD" w:rsidRDefault="00674E90" w:rsidP="00674E90">
      <w:pPr>
        <w:spacing w:line="240" w:lineRule="auto"/>
        <w:jc w:val="both"/>
        <w:rPr>
          <w:rFonts w:ascii="Palatino Linotype" w:hAnsi="Palatino Linotype" w:cs="Times New Roman"/>
          <w:color w:val="000000"/>
        </w:rPr>
      </w:pPr>
      <w:r w:rsidRPr="006469CD">
        <w:rPr>
          <w:rFonts w:ascii="Palatino Linotype" w:hAnsi="Palatino Linotype" w:cs="Times New Roman"/>
          <w:color w:val="000000"/>
        </w:rPr>
        <w:t xml:space="preserve">No ahondaremos en demás aspectos matemáticos concernientes al grafo, sino que ahora se procederá a explicar su aplicación en el PP. </w:t>
      </w:r>
    </w:p>
    <w:p w14:paraId="11A57F1C" w14:textId="77777777" w:rsidR="00674E90" w:rsidRPr="006469CD" w:rsidRDefault="00674E90" w:rsidP="00674E90">
      <w:pPr>
        <w:pStyle w:val="Ttulo2"/>
        <w:rPr>
          <w:rFonts w:ascii="Palatino Linotype" w:hAnsi="Palatino Linotype" w:cs="Times New Roman"/>
          <w:b/>
          <w:i/>
          <w:color w:val="auto"/>
          <w:sz w:val="22"/>
          <w:szCs w:val="22"/>
        </w:rPr>
      </w:pPr>
      <w:r w:rsidRPr="006469CD">
        <w:rPr>
          <w:rFonts w:ascii="Palatino Linotype" w:hAnsi="Palatino Linotype" w:cs="Times New Roman"/>
          <w:b/>
          <w:i/>
          <w:color w:val="auto"/>
          <w:sz w:val="22"/>
          <w:szCs w:val="22"/>
        </w:rPr>
        <w:t>5.2) Hechos hipotéticos de una demanda</w:t>
      </w:r>
    </w:p>
    <w:p w14:paraId="150A20C7" w14:textId="77777777" w:rsidR="00674E90" w:rsidRPr="006469CD" w:rsidRDefault="00674E90" w:rsidP="00674E90">
      <w:pPr>
        <w:spacing w:line="240" w:lineRule="auto"/>
        <w:jc w:val="both"/>
        <w:rPr>
          <w:rFonts w:ascii="Palatino Linotype" w:hAnsi="Palatino Linotype" w:cs="Times New Roman"/>
          <w:color w:val="000000"/>
        </w:rPr>
      </w:pPr>
      <w:r w:rsidRPr="006469CD">
        <w:rPr>
          <w:rFonts w:ascii="Palatino Linotype" w:hAnsi="Palatino Linotype" w:cs="Times New Roman"/>
          <w:color w:val="000000"/>
        </w:rPr>
        <w:t xml:space="preserve">Supongamos que nos es presentada una demanda con los siguientes hechos: </w:t>
      </w:r>
    </w:p>
    <w:p w14:paraId="40983055" w14:textId="77777777" w:rsidR="00674E90" w:rsidRPr="006469CD" w:rsidRDefault="00674E90" w:rsidP="00674E90">
      <w:pPr>
        <w:pStyle w:val="Prrafodelista"/>
        <w:numPr>
          <w:ilvl w:val="0"/>
          <w:numId w:val="100"/>
        </w:numPr>
        <w:spacing w:line="240" w:lineRule="auto"/>
        <w:jc w:val="both"/>
        <w:rPr>
          <w:rFonts w:ascii="Palatino Linotype" w:hAnsi="Palatino Linotype" w:cs="Times New Roman"/>
          <w:i/>
        </w:rPr>
      </w:pPr>
      <w:r w:rsidRPr="006469CD">
        <w:rPr>
          <w:rFonts w:ascii="Palatino Linotype" w:hAnsi="Palatino Linotype" w:cs="Times New Roman"/>
          <w:i/>
        </w:rPr>
        <w:t>JP, tiene inscrito a su nombre desde 1990, en el Registro Público de la Propiedad, la finca matrícula número 123456, que es terreno para construir, sito en Santa Ana, provincia de San José, con los siguientes linderos: Norte: Finca A; Sur: Finca B; Este: Finca C y Oeste: finca D. Mide mil metros cuadrados.</w:t>
      </w:r>
    </w:p>
    <w:p w14:paraId="29831601" w14:textId="77777777" w:rsidR="00674E90" w:rsidRPr="006469CD" w:rsidRDefault="00674E90" w:rsidP="00674E90">
      <w:pPr>
        <w:pStyle w:val="Prrafodelista"/>
        <w:numPr>
          <w:ilvl w:val="0"/>
          <w:numId w:val="100"/>
        </w:numPr>
        <w:spacing w:line="240" w:lineRule="auto"/>
        <w:jc w:val="both"/>
        <w:rPr>
          <w:rFonts w:ascii="Palatino Linotype" w:hAnsi="Palatino Linotype" w:cs="Times New Roman"/>
          <w:i/>
        </w:rPr>
      </w:pPr>
      <w:r w:rsidRPr="006469CD">
        <w:rPr>
          <w:rFonts w:ascii="Palatino Linotype" w:hAnsi="Palatino Linotype" w:cs="Times New Roman"/>
          <w:i/>
        </w:rPr>
        <w:t>Dicha finca fue invadida en el año 1988 por CG, quien se mantiene en posesión desde entonces en ese terreno y ha construido allí una casa de habitación, en la que habita con su familia.</w:t>
      </w:r>
    </w:p>
    <w:p w14:paraId="24EFF823" w14:textId="77777777" w:rsidR="00674E90" w:rsidRPr="006469CD" w:rsidRDefault="00674E90" w:rsidP="00674E90">
      <w:pPr>
        <w:pStyle w:val="Prrafodelista"/>
        <w:numPr>
          <w:ilvl w:val="0"/>
          <w:numId w:val="100"/>
        </w:numPr>
        <w:spacing w:line="240" w:lineRule="auto"/>
        <w:jc w:val="both"/>
        <w:rPr>
          <w:rFonts w:ascii="Palatino Linotype" w:hAnsi="Palatino Linotype" w:cs="Times New Roman"/>
          <w:i/>
        </w:rPr>
      </w:pPr>
      <w:r w:rsidRPr="006469CD">
        <w:rPr>
          <w:rFonts w:ascii="Palatino Linotype" w:hAnsi="Palatino Linotype" w:cs="Times New Roman"/>
          <w:i/>
        </w:rPr>
        <w:t>El demandado CG, aduce ser el poseedor como dueño de ese inmueble desde ese año, pero no tiene título de propiedad inscrito en el Registro Público de la Propiedad.</w:t>
      </w:r>
    </w:p>
    <w:p w14:paraId="250F0D0A" w14:textId="77777777" w:rsidR="00674E90" w:rsidRPr="006469CD" w:rsidRDefault="00674E90" w:rsidP="00674E90">
      <w:pPr>
        <w:pStyle w:val="Prrafodelista"/>
        <w:numPr>
          <w:ilvl w:val="0"/>
          <w:numId w:val="100"/>
        </w:numPr>
        <w:spacing w:line="240" w:lineRule="auto"/>
        <w:jc w:val="both"/>
        <w:rPr>
          <w:rFonts w:ascii="Palatino Linotype" w:hAnsi="Palatino Linotype" w:cs="Times New Roman"/>
          <w:i/>
        </w:rPr>
      </w:pPr>
      <w:r w:rsidRPr="006469CD">
        <w:rPr>
          <w:rFonts w:ascii="Palatino Linotype" w:hAnsi="Palatino Linotype" w:cs="Times New Roman"/>
          <w:i/>
        </w:rPr>
        <w:t xml:space="preserve">El actor, JP, recibió la finca en donación en el año 2000, de su padre MP, quien aún vive y es testigo. </w:t>
      </w:r>
    </w:p>
    <w:p w14:paraId="4D74068F" w14:textId="77777777" w:rsidR="00674E90" w:rsidRPr="006469CD" w:rsidRDefault="00674E90" w:rsidP="00674E90">
      <w:pPr>
        <w:pStyle w:val="Prrafodelista"/>
        <w:numPr>
          <w:ilvl w:val="0"/>
          <w:numId w:val="100"/>
        </w:numPr>
        <w:spacing w:line="240" w:lineRule="auto"/>
        <w:jc w:val="both"/>
        <w:rPr>
          <w:rFonts w:ascii="Palatino Linotype" w:hAnsi="Palatino Linotype" w:cs="Times New Roman"/>
          <w:i/>
        </w:rPr>
      </w:pPr>
      <w:r w:rsidRPr="006469CD">
        <w:rPr>
          <w:rFonts w:ascii="Palatino Linotype" w:hAnsi="Palatino Linotype" w:cs="Times New Roman"/>
          <w:i/>
        </w:rPr>
        <w:t>La finca indicada, no fue poseída tampoco por MP, quien se la había adjudicado en un remate judicial en el año 1988 y no pudo tomar posesión tampoco, debido a la invasión realizada por el demandado, quien fue advertido personalmente por MP en 1988, que la finca se la había adjudicado en un remate judicial y que le pertenecía a él, mostrándole al demandado los documentos del remate.</w:t>
      </w:r>
    </w:p>
    <w:p w14:paraId="772C7230" w14:textId="77777777" w:rsidR="00674E90" w:rsidRPr="006469CD" w:rsidRDefault="00674E90" w:rsidP="00674E90">
      <w:pPr>
        <w:pStyle w:val="Prrafodelista"/>
        <w:numPr>
          <w:ilvl w:val="0"/>
          <w:numId w:val="100"/>
        </w:numPr>
        <w:spacing w:line="240" w:lineRule="auto"/>
        <w:jc w:val="both"/>
        <w:rPr>
          <w:rFonts w:ascii="Palatino Linotype" w:hAnsi="Palatino Linotype" w:cs="Times New Roman"/>
          <w:i/>
        </w:rPr>
      </w:pPr>
      <w:r w:rsidRPr="006469CD">
        <w:rPr>
          <w:rFonts w:ascii="Palatino Linotype" w:hAnsi="Palatino Linotype" w:cs="Times New Roman"/>
          <w:i/>
        </w:rPr>
        <w:t>Desde esa época se le ha venido informando y requiriendo por escrito y verbalmente al demandado, que debe salir de esa propiedad que no es suya. Pero ha sido infructuoso. Lo anterior mediante el abogado, PS, quien será testigo de ello.</w:t>
      </w:r>
    </w:p>
    <w:p w14:paraId="7F259E42" w14:textId="77777777" w:rsidR="00674E90" w:rsidRPr="006469CD" w:rsidRDefault="00674E90" w:rsidP="00674E90">
      <w:pPr>
        <w:pStyle w:val="Prrafodelista"/>
        <w:numPr>
          <w:ilvl w:val="0"/>
          <w:numId w:val="100"/>
        </w:numPr>
        <w:spacing w:line="240" w:lineRule="auto"/>
        <w:jc w:val="both"/>
        <w:rPr>
          <w:rFonts w:ascii="Palatino Linotype" w:hAnsi="Palatino Linotype" w:cs="Times New Roman"/>
          <w:i/>
        </w:rPr>
      </w:pPr>
      <w:r w:rsidRPr="006469CD">
        <w:rPr>
          <w:rFonts w:ascii="Palatino Linotype" w:hAnsi="Palatino Linotype" w:cs="Times New Roman"/>
          <w:i/>
        </w:rPr>
        <w:t>La posesión del demandado ha sido y es de mala fe, desde 1988 en razón de las reiteradas advertencias que le fueron hechas por MP y PS.</w:t>
      </w:r>
    </w:p>
    <w:p w14:paraId="61354FDF" w14:textId="77777777" w:rsidR="00674E90" w:rsidRPr="006469CD" w:rsidRDefault="00674E90" w:rsidP="00674E90">
      <w:pPr>
        <w:pStyle w:val="Prrafodelista"/>
        <w:numPr>
          <w:ilvl w:val="0"/>
          <w:numId w:val="100"/>
        </w:numPr>
        <w:spacing w:line="240" w:lineRule="auto"/>
        <w:jc w:val="both"/>
        <w:rPr>
          <w:rFonts w:ascii="Palatino Linotype" w:hAnsi="Palatino Linotype" w:cs="Times New Roman"/>
          <w:i/>
        </w:rPr>
      </w:pPr>
      <w:r w:rsidRPr="006469CD">
        <w:rPr>
          <w:rFonts w:ascii="Palatino Linotype" w:hAnsi="Palatino Linotype" w:cs="Times New Roman"/>
          <w:i/>
        </w:rPr>
        <w:t>Por consiguiente, las construcciones y mejoras hechas en la finca por el demandado, fueron hechas siendo el demandado un poseedor de mala fe.</w:t>
      </w:r>
    </w:p>
    <w:p w14:paraId="55460EA1" w14:textId="77777777" w:rsidR="00674E90" w:rsidRPr="006469CD" w:rsidRDefault="00674E90" w:rsidP="00674E90">
      <w:pPr>
        <w:pStyle w:val="Prrafodelista"/>
        <w:numPr>
          <w:ilvl w:val="0"/>
          <w:numId w:val="100"/>
        </w:numPr>
        <w:spacing w:line="240" w:lineRule="auto"/>
        <w:jc w:val="both"/>
        <w:rPr>
          <w:rFonts w:ascii="Palatino Linotype" w:hAnsi="Palatino Linotype" w:cs="Times New Roman"/>
          <w:i/>
        </w:rPr>
      </w:pPr>
      <w:r w:rsidRPr="006469CD">
        <w:rPr>
          <w:rFonts w:ascii="Palatino Linotype" w:hAnsi="Palatino Linotype" w:cs="Times New Roman"/>
          <w:i/>
        </w:rPr>
        <w:t xml:space="preserve">Daños y Perjuicios: Al haber impedido tomar posesión de la finca del actor, el demandado debe indemnizar al actor por el usufructo que pudo haber ejercido desde el año 2000 con mediana inteligencia y que estima en doce </w:t>
      </w:r>
      <w:r w:rsidRPr="006469CD">
        <w:rPr>
          <w:rFonts w:ascii="Palatino Linotype" w:hAnsi="Palatino Linotype" w:cs="Times New Roman"/>
          <w:i/>
        </w:rPr>
        <w:lastRenderedPageBreak/>
        <w:t>millones de colones al año. Este reclamo se valora mediante el informe pericial privado adjunto, del ingeniero civil JM.</w:t>
      </w:r>
    </w:p>
    <w:p w14:paraId="7BAC108C"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Los conflictos se sustentan en las relaciones entre los sujetos y las acciones que dirigen hacia un determinado objeto o fin de su interés: estos son sus componentes o elementos moleculares. Dichos sujetos pueden o no estar unidos por un vínculo particular que influirá en las alianzas o asociaciones que se formen dentro de tal conflicto. Ahora, ¿cómo ilustrarlo?</w:t>
      </w:r>
    </w:p>
    <w:p w14:paraId="1303D7CD" w14:textId="77777777" w:rsidR="00674E90" w:rsidRPr="006469CD" w:rsidRDefault="00674E90" w:rsidP="00674E90">
      <w:pPr>
        <w:pStyle w:val="Ttulo2"/>
        <w:rPr>
          <w:rFonts w:ascii="Palatino Linotype" w:hAnsi="Palatino Linotype" w:cs="Times New Roman"/>
          <w:b/>
          <w:i/>
          <w:sz w:val="22"/>
          <w:szCs w:val="22"/>
        </w:rPr>
      </w:pPr>
      <w:r w:rsidRPr="006469CD">
        <w:rPr>
          <w:rFonts w:ascii="Palatino Linotype" w:hAnsi="Palatino Linotype" w:cs="Times New Roman"/>
          <w:b/>
          <w:i/>
          <w:color w:val="auto"/>
          <w:sz w:val="22"/>
          <w:szCs w:val="22"/>
        </w:rPr>
        <w:t>5.3) Lenguaje visual del grafo y notaciones</w:t>
      </w:r>
    </w:p>
    <w:p w14:paraId="157AA094"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Antes que todo es necesario iniciar con el diseño de un lenguaje visual, sea utilizando formas o símbolos (tal como se vio con el Ideograma de Wigmore). Para nuestro PP, se decidió darle una identidad a cada nodo o vértice: el círculo representará a los individuos o sujetos partícipes del conflicto y un rectángulo simbolizará un objeto o cosa, que para el caso en cuestión será la finca matrícula 123456. Luego, a cada uno de estos vértices o nodos se les asignará un nombre: los de cada sujeto o individuo incluido en los hechos de la demanda y el del inmueble, catalogado como “M: 123456” (Figura 3). </w:t>
      </w:r>
    </w:p>
    <w:p w14:paraId="1C6EFDB9" w14:textId="77777777" w:rsidR="00674E90" w:rsidRPr="006469CD" w:rsidRDefault="00674E90" w:rsidP="00674E90">
      <w:pPr>
        <w:spacing w:line="240" w:lineRule="auto"/>
        <w:rPr>
          <w:rFonts w:ascii="Palatino Linotype" w:hAnsi="Palatino Linotype" w:cs="Times New Roman"/>
          <w:color w:val="000000"/>
        </w:rPr>
      </w:pPr>
      <w:r w:rsidRPr="006469CD">
        <w:rPr>
          <w:rFonts w:ascii="Palatino Linotype" w:hAnsi="Palatino Linotype" w:cs="Times New Roman"/>
          <w:noProof/>
          <w:color w:val="000000"/>
          <w:lang w:val="es-CR" w:eastAsia="es-CR"/>
        </w:rPr>
        <w:drawing>
          <wp:anchor distT="0" distB="0" distL="114300" distR="114300" simplePos="0" relativeHeight="251666432" behindDoc="1" locked="0" layoutInCell="1" allowOverlap="1" wp14:anchorId="040F0014" wp14:editId="4E82C33A">
            <wp:simplePos x="0" y="0"/>
            <wp:positionH relativeFrom="margin">
              <wp:posOffset>594995</wp:posOffset>
            </wp:positionH>
            <wp:positionV relativeFrom="paragraph">
              <wp:posOffset>79375</wp:posOffset>
            </wp:positionV>
            <wp:extent cx="4422775" cy="491490"/>
            <wp:effectExtent l="0" t="0" r="0" b="3810"/>
            <wp:wrapTight wrapText="bothSides">
              <wp:wrapPolygon edited="0">
                <wp:start x="0" y="0"/>
                <wp:lineTo x="0" y="20930"/>
                <wp:lineTo x="21491" y="20930"/>
                <wp:lineTo x="21491"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4nodos.png"/>
                    <pic:cNvPicPr/>
                  </pic:nvPicPr>
                  <pic:blipFill>
                    <a:blip r:embed="rId47">
                      <a:extLst>
                        <a:ext uri="{28A0092B-C50C-407E-A947-70E740481C1C}">
                          <a14:useLocalDpi xmlns:a14="http://schemas.microsoft.com/office/drawing/2010/main" val="0"/>
                        </a:ext>
                      </a:extLst>
                    </a:blip>
                    <a:stretch>
                      <a:fillRect/>
                    </a:stretch>
                  </pic:blipFill>
                  <pic:spPr>
                    <a:xfrm>
                      <a:off x="0" y="0"/>
                      <a:ext cx="4422775" cy="491490"/>
                    </a:xfrm>
                    <a:prstGeom prst="rect">
                      <a:avLst/>
                    </a:prstGeom>
                  </pic:spPr>
                </pic:pic>
              </a:graphicData>
            </a:graphic>
            <wp14:sizeRelH relativeFrom="margin">
              <wp14:pctWidth>0</wp14:pctWidth>
            </wp14:sizeRelH>
            <wp14:sizeRelV relativeFrom="margin">
              <wp14:pctHeight>0</wp14:pctHeight>
            </wp14:sizeRelV>
          </wp:anchor>
        </w:drawing>
      </w:r>
    </w:p>
    <w:p w14:paraId="69085F45" w14:textId="77777777" w:rsidR="00674E90" w:rsidRPr="006469CD" w:rsidRDefault="00674E90" w:rsidP="00674E90">
      <w:pPr>
        <w:spacing w:line="240" w:lineRule="auto"/>
        <w:rPr>
          <w:rFonts w:ascii="Palatino Linotype" w:hAnsi="Palatino Linotype" w:cs="Times New Roman"/>
          <w:color w:val="000000"/>
        </w:rPr>
      </w:pPr>
    </w:p>
    <w:p w14:paraId="013BDBB2" w14:textId="77777777" w:rsidR="00674E90" w:rsidRPr="006469CD" w:rsidRDefault="00674E90" w:rsidP="00674E90">
      <w:pPr>
        <w:spacing w:line="240" w:lineRule="auto"/>
        <w:jc w:val="center"/>
        <w:rPr>
          <w:rFonts w:ascii="Palatino Linotype" w:hAnsi="Palatino Linotype" w:cs="Times New Roman"/>
          <w:color w:val="000000"/>
        </w:rPr>
      </w:pPr>
    </w:p>
    <w:p w14:paraId="7067F847" w14:textId="77777777" w:rsidR="00674E90" w:rsidRPr="006469CD" w:rsidRDefault="00674E90" w:rsidP="00674E90">
      <w:pPr>
        <w:spacing w:line="240" w:lineRule="auto"/>
        <w:jc w:val="center"/>
        <w:rPr>
          <w:rFonts w:ascii="Palatino Linotype" w:hAnsi="Palatino Linotype" w:cs="Times New Roman"/>
          <w:color w:val="000000"/>
        </w:rPr>
      </w:pPr>
      <w:r w:rsidRPr="006469CD">
        <w:rPr>
          <w:rFonts w:ascii="Palatino Linotype" w:hAnsi="Palatino Linotype" w:cs="Times New Roman"/>
          <w:color w:val="000000"/>
        </w:rPr>
        <w:t xml:space="preserve">Figura 3. Identificación de los nodos o vértices. </w:t>
      </w:r>
    </w:p>
    <w:p w14:paraId="5FACB9F9" w14:textId="77777777" w:rsidR="00674E90" w:rsidRPr="006469CD" w:rsidRDefault="00674E90" w:rsidP="00674E90">
      <w:pPr>
        <w:spacing w:line="240" w:lineRule="auto"/>
        <w:jc w:val="both"/>
        <w:rPr>
          <w:rFonts w:ascii="Palatino Linotype" w:hAnsi="Palatino Linotype" w:cs="Times New Roman"/>
          <w:color w:val="000000"/>
        </w:rPr>
      </w:pPr>
      <w:r w:rsidRPr="006469CD">
        <w:rPr>
          <w:rFonts w:ascii="Palatino Linotype" w:hAnsi="Palatino Linotype" w:cs="Times New Roman"/>
          <w:color w:val="000000"/>
        </w:rPr>
        <w:t>Teniendo los vértices o nodos claramente identificados, se debe especificar las relaciones que se forman entre cada uno de ellos. Es a partir de aquí donde se comienza a darle forma al grafo. Para ello, recurriremos tanto a líneas como a flechas, estructurándose así un grafo mixto.</w:t>
      </w:r>
    </w:p>
    <w:p w14:paraId="00676658" w14:textId="77777777" w:rsidR="00674E90" w:rsidRPr="006469CD" w:rsidRDefault="00674E90" w:rsidP="00674E90">
      <w:pPr>
        <w:spacing w:line="240" w:lineRule="auto"/>
        <w:jc w:val="both"/>
        <w:rPr>
          <w:rFonts w:ascii="Palatino Linotype" w:hAnsi="Palatino Linotype" w:cs="Times New Roman"/>
          <w:color w:val="000000"/>
        </w:rPr>
      </w:pPr>
      <w:r w:rsidRPr="006469CD">
        <w:rPr>
          <w:rFonts w:ascii="Palatino Linotype" w:hAnsi="Palatino Linotype" w:cs="Times New Roman"/>
          <w:color w:val="000000"/>
        </w:rPr>
        <w:t xml:space="preserve">Para delinear las conexiones, o formalmente, las aristas, se debe examinar los actos realizados por cada uno de los partícipes del conflicto como las interrelaciones o vínculos entre ellos. Iniciando con el hecho 1, JP aduce ser el dueño de la finca M: 123456, sin embargo, no lo era originalmente, ya que de conformidad con el hecho 4 y 5, el inmueble le fue adjudicado vía remate judicial a MP quien es el padre de JP, al que posteriormente le donó la finca. Así entonces, JP no adquirió el inmueble sino que este le fue donado, transfiriéndosele la propiedad de este y luego intentando tomar posesión del </w:t>
      </w:r>
      <w:r w:rsidRPr="006469CD">
        <w:rPr>
          <w:rFonts w:ascii="Palatino Linotype" w:hAnsi="Palatino Linotype" w:cs="Times New Roman"/>
          <w:color w:val="000000"/>
        </w:rPr>
        <w:lastRenderedPageBreak/>
        <w:t xml:space="preserve">mismo siéndole negado el derecho por parte de CG, por lo que las acciones de JP van dirigidas hacia M: 123456 y no al revés. </w:t>
      </w:r>
    </w:p>
    <w:p w14:paraId="19CDEC21" w14:textId="77777777" w:rsidR="00674E90" w:rsidRPr="006469CD" w:rsidRDefault="00674E90" w:rsidP="00674E90">
      <w:pPr>
        <w:spacing w:line="240" w:lineRule="auto"/>
        <w:ind w:firstLine="708"/>
        <w:jc w:val="center"/>
        <w:rPr>
          <w:rFonts w:ascii="Palatino Linotype" w:hAnsi="Palatino Linotype" w:cs="Times New Roman"/>
          <w:color w:val="000000"/>
        </w:rPr>
      </w:pPr>
      <w:r w:rsidRPr="006469CD">
        <w:rPr>
          <w:rFonts w:ascii="Palatino Linotype" w:hAnsi="Palatino Linotype" w:cs="Times New Roman"/>
          <w:noProof/>
          <w:color w:val="000000"/>
          <w:lang w:val="es-CR" w:eastAsia="es-CR"/>
        </w:rPr>
        <w:drawing>
          <wp:anchor distT="0" distB="0" distL="114300" distR="114300" simplePos="0" relativeHeight="251667456" behindDoc="0" locked="0" layoutInCell="1" allowOverlap="1" wp14:anchorId="0988583F" wp14:editId="4EAE2A00">
            <wp:simplePos x="0" y="0"/>
            <wp:positionH relativeFrom="margin">
              <wp:posOffset>1558290</wp:posOffset>
            </wp:positionH>
            <wp:positionV relativeFrom="paragraph">
              <wp:posOffset>0</wp:posOffset>
            </wp:positionV>
            <wp:extent cx="2489835" cy="2340610"/>
            <wp:effectExtent l="0" t="0" r="5715" b="254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5JPMP.png"/>
                    <pic:cNvPicPr/>
                  </pic:nvPicPr>
                  <pic:blipFill>
                    <a:blip r:embed="rId48">
                      <a:extLst>
                        <a:ext uri="{28A0092B-C50C-407E-A947-70E740481C1C}">
                          <a14:useLocalDpi xmlns:a14="http://schemas.microsoft.com/office/drawing/2010/main" val="0"/>
                        </a:ext>
                      </a:extLst>
                    </a:blip>
                    <a:stretch>
                      <a:fillRect/>
                    </a:stretch>
                  </pic:blipFill>
                  <pic:spPr>
                    <a:xfrm>
                      <a:off x="0" y="0"/>
                      <a:ext cx="2489835" cy="2340610"/>
                    </a:xfrm>
                    <a:prstGeom prst="rect">
                      <a:avLst/>
                    </a:prstGeom>
                  </pic:spPr>
                </pic:pic>
              </a:graphicData>
            </a:graphic>
            <wp14:sizeRelH relativeFrom="margin">
              <wp14:pctWidth>0</wp14:pctWidth>
            </wp14:sizeRelH>
            <wp14:sizeRelV relativeFrom="margin">
              <wp14:pctHeight>0</wp14:pctHeight>
            </wp14:sizeRelV>
          </wp:anchor>
        </w:drawing>
      </w:r>
    </w:p>
    <w:p w14:paraId="0BE85D46" w14:textId="77777777" w:rsidR="00674E90" w:rsidRPr="006469CD" w:rsidRDefault="00674E90" w:rsidP="00674E90">
      <w:pPr>
        <w:spacing w:line="240" w:lineRule="auto"/>
        <w:ind w:firstLine="708"/>
        <w:jc w:val="both"/>
        <w:rPr>
          <w:rFonts w:ascii="Palatino Linotype" w:hAnsi="Palatino Linotype" w:cs="Times New Roman"/>
          <w:color w:val="000000"/>
        </w:rPr>
      </w:pPr>
    </w:p>
    <w:p w14:paraId="6C4EF982" w14:textId="77777777" w:rsidR="00674E90" w:rsidRPr="006469CD" w:rsidRDefault="00674E90" w:rsidP="00674E90">
      <w:pPr>
        <w:spacing w:line="240" w:lineRule="auto"/>
        <w:ind w:firstLine="708"/>
        <w:jc w:val="both"/>
        <w:rPr>
          <w:rFonts w:ascii="Palatino Linotype" w:hAnsi="Palatino Linotype" w:cs="Times New Roman"/>
          <w:color w:val="000000"/>
        </w:rPr>
      </w:pPr>
      <w:r w:rsidRPr="006469CD">
        <w:rPr>
          <w:rFonts w:ascii="Palatino Linotype" w:hAnsi="Palatino Linotype" w:cs="Times New Roman"/>
          <w:color w:val="000000"/>
        </w:rPr>
        <w:t xml:space="preserve"> </w:t>
      </w:r>
    </w:p>
    <w:p w14:paraId="2CC6F3A2" w14:textId="77777777" w:rsidR="00674E90" w:rsidRPr="006469CD" w:rsidRDefault="00674E90" w:rsidP="00674E90">
      <w:pPr>
        <w:spacing w:line="240" w:lineRule="auto"/>
        <w:ind w:firstLine="708"/>
        <w:jc w:val="both"/>
        <w:rPr>
          <w:rFonts w:ascii="Palatino Linotype" w:hAnsi="Palatino Linotype" w:cs="Times New Roman"/>
          <w:color w:val="000000"/>
        </w:rPr>
      </w:pPr>
    </w:p>
    <w:p w14:paraId="677D6032" w14:textId="77777777" w:rsidR="00674E90" w:rsidRPr="006469CD" w:rsidRDefault="00674E90" w:rsidP="00674E90">
      <w:pPr>
        <w:spacing w:line="240" w:lineRule="auto"/>
        <w:ind w:firstLine="708"/>
        <w:jc w:val="both"/>
        <w:rPr>
          <w:rFonts w:ascii="Palatino Linotype" w:hAnsi="Palatino Linotype" w:cs="Times New Roman"/>
          <w:color w:val="000000"/>
        </w:rPr>
      </w:pPr>
    </w:p>
    <w:p w14:paraId="4FE04FE8" w14:textId="77777777" w:rsidR="00674E90" w:rsidRPr="006469CD" w:rsidRDefault="00674E90" w:rsidP="00674E90">
      <w:pPr>
        <w:spacing w:line="240" w:lineRule="auto"/>
        <w:ind w:firstLine="708"/>
        <w:jc w:val="both"/>
        <w:rPr>
          <w:rFonts w:ascii="Palatino Linotype" w:hAnsi="Palatino Linotype" w:cs="Times New Roman"/>
          <w:color w:val="000000"/>
        </w:rPr>
      </w:pPr>
    </w:p>
    <w:p w14:paraId="6B6646C7" w14:textId="77777777" w:rsidR="00674E90" w:rsidRPr="006469CD" w:rsidRDefault="00674E90" w:rsidP="00674E90">
      <w:pPr>
        <w:spacing w:line="240" w:lineRule="auto"/>
        <w:ind w:firstLine="708"/>
        <w:jc w:val="both"/>
        <w:rPr>
          <w:rFonts w:ascii="Palatino Linotype" w:hAnsi="Palatino Linotype" w:cs="Times New Roman"/>
          <w:color w:val="000000"/>
        </w:rPr>
      </w:pPr>
    </w:p>
    <w:p w14:paraId="4DB635C8" w14:textId="77777777" w:rsidR="00674E90" w:rsidRPr="006469CD" w:rsidRDefault="00674E90" w:rsidP="00674E90">
      <w:pPr>
        <w:spacing w:line="240" w:lineRule="auto"/>
        <w:ind w:firstLine="708"/>
        <w:jc w:val="center"/>
        <w:rPr>
          <w:rFonts w:ascii="Palatino Linotype" w:hAnsi="Palatino Linotype" w:cs="Times New Roman"/>
          <w:color w:val="000000"/>
        </w:rPr>
      </w:pPr>
    </w:p>
    <w:p w14:paraId="623A0C4D" w14:textId="77777777" w:rsidR="00674E90" w:rsidRPr="006469CD" w:rsidRDefault="00674E90" w:rsidP="00674E90">
      <w:pPr>
        <w:spacing w:line="240" w:lineRule="auto"/>
        <w:rPr>
          <w:rFonts w:ascii="Palatino Linotype" w:hAnsi="Palatino Linotype" w:cs="Times New Roman"/>
          <w:color w:val="000000"/>
        </w:rPr>
      </w:pPr>
    </w:p>
    <w:p w14:paraId="67F6CD39" w14:textId="77777777" w:rsidR="00674E90" w:rsidRPr="006469CD" w:rsidRDefault="00674E90" w:rsidP="00674E90">
      <w:pPr>
        <w:spacing w:line="240" w:lineRule="auto"/>
        <w:ind w:firstLine="708"/>
        <w:jc w:val="center"/>
        <w:rPr>
          <w:rFonts w:ascii="Palatino Linotype" w:hAnsi="Palatino Linotype" w:cs="Times New Roman"/>
          <w:color w:val="000000"/>
        </w:rPr>
      </w:pPr>
      <w:r w:rsidRPr="006469CD">
        <w:rPr>
          <w:rFonts w:ascii="Palatino Linotype" w:hAnsi="Palatino Linotype" w:cs="Times New Roman"/>
          <w:color w:val="000000"/>
        </w:rPr>
        <w:t>Figura 4. Relaciones entre MP, JP y M: 123456.</w:t>
      </w:r>
    </w:p>
    <w:p w14:paraId="022BE917" w14:textId="77777777" w:rsidR="00674E90" w:rsidRPr="006469CD" w:rsidRDefault="00674E90" w:rsidP="00674E90">
      <w:pPr>
        <w:spacing w:line="240" w:lineRule="auto"/>
        <w:jc w:val="both"/>
        <w:rPr>
          <w:rFonts w:ascii="Palatino Linotype" w:hAnsi="Palatino Linotype" w:cs="Times New Roman"/>
          <w:color w:val="000000"/>
        </w:rPr>
      </w:pPr>
      <w:r w:rsidRPr="006469CD">
        <w:rPr>
          <w:rFonts w:ascii="Palatino Linotype" w:hAnsi="Palatino Linotype" w:cs="Times New Roman"/>
          <w:color w:val="000000"/>
        </w:rPr>
        <w:t xml:space="preserve">En la Figura 4, se retrata lo siguiente: al ser MP el padre de JP, existe un vínculo paterno filial que se representa por una línea conectada de JP a MP y viceversa. Importante recalcar, que para el </w:t>
      </w:r>
      <w:r w:rsidRPr="006469CD">
        <w:rPr>
          <w:rFonts w:ascii="Palatino Linotype" w:hAnsi="Palatino Linotype" w:cs="Times New Roman"/>
        </w:rPr>
        <w:t>PP</w:t>
      </w:r>
      <w:r w:rsidRPr="006469CD">
        <w:rPr>
          <w:rFonts w:ascii="Palatino Linotype" w:hAnsi="Palatino Linotype" w:cs="Times New Roman"/>
          <w:color w:val="000000"/>
        </w:rPr>
        <w:t xml:space="preserve">, toda conexión sea dirigida o no dirigida de un nodo o vértice a otro se le denominará </w:t>
      </w:r>
      <w:r w:rsidRPr="006469CD">
        <w:rPr>
          <w:rFonts w:ascii="Palatino Linotype" w:hAnsi="Palatino Linotype" w:cs="Times New Roman"/>
          <w:i/>
          <w:color w:val="000000"/>
        </w:rPr>
        <w:t>“relación”.</w:t>
      </w:r>
      <w:r w:rsidRPr="006469CD">
        <w:rPr>
          <w:rFonts w:ascii="Palatino Linotype" w:hAnsi="Palatino Linotype" w:cs="Times New Roman"/>
          <w:color w:val="000000"/>
        </w:rPr>
        <w:t xml:space="preserve"> Para cada “</w:t>
      </w:r>
      <w:r w:rsidRPr="006469CD">
        <w:rPr>
          <w:rFonts w:ascii="Palatino Linotype" w:hAnsi="Palatino Linotype" w:cs="Times New Roman"/>
          <w:i/>
          <w:color w:val="000000"/>
        </w:rPr>
        <w:t>relación”</w:t>
      </w:r>
      <w:r w:rsidRPr="006469CD">
        <w:rPr>
          <w:rFonts w:ascii="Palatino Linotype" w:hAnsi="Palatino Linotype" w:cs="Times New Roman"/>
          <w:color w:val="000000"/>
        </w:rPr>
        <w:t xml:space="preserve">, se usará una expresión a modo de sintetizar su lectura (notación que no es formalmente matemática, sino inspirada en lógica matemática y acorde al lenguaje visual del grafo desarrollándose) siendo para el vínculo paterno filial MP y JP el siguiente: </w:t>
      </w:r>
    </w:p>
    <w:p w14:paraId="6999C19D" w14:textId="77777777" w:rsidR="00674E90" w:rsidRPr="006469CD" w:rsidRDefault="00674E90" w:rsidP="00674E90">
      <w:pPr>
        <w:spacing w:line="240" w:lineRule="auto"/>
        <w:ind w:firstLine="708"/>
        <w:jc w:val="center"/>
        <w:rPr>
          <w:rFonts w:ascii="Palatino Linotype" w:hAnsi="Palatino Linotype" w:cs="Times New Roman"/>
          <w:b/>
          <w:i/>
        </w:rPr>
      </w:pPr>
      <w:r w:rsidRPr="006469CD">
        <w:rPr>
          <w:rFonts w:ascii="Palatino Linotype" w:hAnsi="Palatino Linotype" w:cs="Times New Roman"/>
          <w:b/>
          <w:i/>
        </w:rPr>
        <w:t xml:space="preserve">(MP </w:t>
      </w:r>
      <w:r w:rsidRPr="006469CD">
        <w:rPr>
          <w:rFonts w:ascii="Segoe UI Emoji" w:hAnsi="Segoe UI Emoji" w:cs="Segoe UI Emoji"/>
          <w:b/>
          <w:i/>
        </w:rPr>
        <w:t>↔</w:t>
      </w:r>
      <w:r w:rsidRPr="006469CD">
        <w:rPr>
          <w:rFonts w:ascii="Palatino Linotype" w:hAnsi="Palatino Linotype" w:cs="Times New Roman"/>
          <w:b/>
          <w:i/>
        </w:rPr>
        <w:t xml:space="preserve"> JP)</w:t>
      </w:r>
    </w:p>
    <w:p w14:paraId="4AA58EF6"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La utilización de la flecha de doble sentido horizontal simboliza una interrelación o relación mutua entre MP y JP, al ser padre e hijo respectivamente. Asimismo, se puede observar que la arista de tal interrelación o vínculo (véase la Figura 5), o en otras palabras, la conexión entre MP y JP, tiene etiquetado un {4}</w:t>
      </w:r>
      <w:r w:rsidRPr="006469CD">
        <w:rPr>
          <w:rFonts w:ascii="Palatino Linotype" w:hAnsi="Palatino Linotype" w:cs="Times New Roman"/>
          <w:i/>
        </w:rPr>
        <w:t xml:space="preserve">. </w:t>
      </w:r>
      <w:r w:rsidRPr="006469CD">
        <w:rPr>
          <w:rFonts w:ascii="Palatino Linotype" w:hAnsi="Palatino Linotype" w:cs="Times New Roman"/>
        </w:rPr>
        <w:t xml:space="preserve">Con esto, se pretende ilustrar una referencia a un hecho o </w:t>
      </w:r>
      <w:r w:rsidRPr="006469CD">
        <w:rPr>
          <w:rFonts w:ascii="Palatino Linotype" w:hAnsi="Palatino Linotype" w:cs="Times New Roman"/>
          <w:i/>
        </w:rPr>
        <w:t>“conjunto de hechos”</w:t>
      </w:r>
      <w:r w:rsidRPr="006469CD">
        <w:rPr>
          <w:rFonts w:ascii="Palatino Linotype" w:hAnsi="Palatino Linotype" w:cs="Times New Roman"/>
        </w:rPr>
        <w:t xml:space="preserve"> para la </w:t>
      </w:r>
      <w:r w:rsidRPr="006469CD">
        <w:rPr>
          <w:rFonts w:ascii="Palatino Linotype" w:hAnsi="Palatino Linotype" w:cs="Times New Roman"/>
          <w:i/>
        </w:rPr>
        <w:t>“relación”</w:t>
      </w:r>
      <w:r w:rsidRPr="006469CD">
        <w:rPr>
          <w:rFonts w:ascii="Palatino Linotype" w:hAnsi="Palatino Linotype" w:cs="Times New Roman"/>
        </w:rPr>
        <w:t xml:space="preserve"> (MP </w:t>
      </w:r>
      <w:r w:rsidRPr="006469CD">
        <w:rPr>
          <w:rFonts w:ascii="Segoe UI Emoji" w:hAnsi="Segoe UI Emoji" w:cs="Segoe UI Emoji"/>
        </w:rPr>
        <w:t>↔</w:t>
      </w:r>
      <w:r w:rsidRPr="006469CD">
        <w:rPr>
          <w:rFonts w:ascii="Palatino Linotype" w:hAnsi="Palatino Linotype" w:cs="Times New Roman"/>
        </w:rPr>
        <w:t xml:space="preserve"> JP). Todos los hechos de un caso particular están relacionados, por tanto, los hechos no han de verse de forma aislada, sino como un conjunto de elementos cuyo fin es explicar las razones o motivos de un conflicto. </w:t>
      </w:r>
    </w:p>
    <w:p w14:paraId="4C6A4590"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lastRenderedPageBreak/>
        <w:t xml:space="preserve">Por ejemplo, la </w:t>
      </w:r>
      <w:r w:rsidRPr="006469CD">
        <w:rPr>
          <w:rFonts w:ascii="Palatino Linotype" w:hAnsi="Palatino Linotype" w:cs="Times New Roman"/>
          <w:i/>
        </w:rPr>
        <w:t>“relación”</w:t>
      </w:r>
      <w:r w:rsidRPr="006469CD">
        <w:rPr>
          <w:rFonts w:ascii="Palatino Linotype" w:hAnsi="Palatino Linotype" w:cs="Times New Roman"/>
        </w:rPr>
        <w:t xml:space="preserve"> (M: 123456 </w:t>
      </w:r>
      <w:r w:rsidRPr="006469CD">
        <w:rPr>
          <w:rFonts w:ascii="Times New Roman" w:hAnsi="Times New Roman" w:cs="Times New Roman"/>
        </w:rPr>
        <w:t>→</w:t>
      </w:r>
      <w:r w:rsidRPr="006469CD">
        <w:rPr>
          <w:rFonts w:ascii="Palatino Linotype" w:hAnsi="Palatino Linotype" w:cs="Times New Roman"/>
        </w:rPr>
        <w:t xml:space="preserve"> MP) </w:t>
      </w:r>
      <w:r w:rsidRPr="006469CD">
        <w:rPr>
          <w:rFonts w:ascii="Palatino Linotype" w:hAnsi="Palatino Linotype" w:cs="Palatino Linotype"/>
        </w:rPr>
        <w:t>–</w:t>
      </w:r>
      <w:r w:rsidRPr="006469CD">
        <w:rPr>
          <w:rFonts w:ascii="Palatino Linotype" w:hAnsi="Palatino Linotype" w:cs="Times New Roman"/>
        </w:rPr>
        <w:t xml:space="preserve"> donde la flecha dirigida representa una acción o movimiento direccionado sea hacia un sujeto u objeto – expone la adjudicación de la finca M: 123456 vía remate a MP, quien no pudo ejercer posesión sobre ella gracias a los actos ilegítimos de CG. Por ello, para la comprensión de lectura del grafo (Figura 4), se etiqueta a la arista o flecha, el conjunto de hechos {2,5},</w:t>
      </w:r>
      <w:r w:rsidRPr="006469CD">
        <w:rPr>
          <w:rFonts w:ascii="Palatino Linotype" w:hAnsi="Palatino Linotype" w:cs="Times New Roman"/>
          <w:i/>
        </w:rPr>
        <w:t xml:space="preserve"> </w:t>
      </w:r>
      <w:r w:rsidRPr="006469CD">
        <w:rPr>
          <w:rFonts w:ascii="Palatino Linotype" w:hAnsi="Palatino Linotype" w:cs="Times New Roman"/>
        </w:rPr>
        <w:t xml:space="preserve">ya que el hecho 2 escribe sobre la invasión que CG realizó sobre el inmueble M: 12345, motivo por el que MP no pudo ejercer la posesión de la finca según se explicó en el hecho 5 de la demanda, de allí el por qué se agrupan en conjunto. Igualmente para simplificar la lectura, usamos la notación:  </w:t>
      </w:r>
    </w:p>
    <w:p w14:paraId="23FB891E" w14:textId="77777777" w:rsidR="00674E90" w:rsidRPr="006469CD" w:rsidRDefault="00674E90" w:rsidP="00674E90">
      <w:pPr>
        <w:spacing w:line="240" w:lineRule="auto"/>
        <w:jc w:val="center"/>
        <w:rPr>
          <w:rFonts w:ascii="Palatino Linotype" w:hAnsi="Palatino Linotype" w:cs="Times New Roman"/>
          <w:b/>
          <w:i/>
        </w:rPr>
      </w:pPr>
      <w:r w:rsidRPr="006469CD">
        <w:rPr>
          <w:rFonts w:ascii="Palatino Linotype" w:hAnsi="Palatino Linotype" w:cs="Times New Roman"/>
          <w:b/>
          <w:i/>
        </w:rPr>
        <w:t xml:space="preserve">{2,5} </w:t>
      </w:r>
      <w:r w:rsidRPr="006469CD">
        <w:rPr>
          <w:rFonts w:ascii="Cambria Math" w:hAnsi="Cambria Math" w:cs="Cambria Math"/>
          <w:b/>
          <w:i/>
          <w:color w:val="222222"/>
          <w:shd w:val="clear" w:color="auto" w:fill="FFFFFF"/>
        </w:rPr>
        <w:t>∈</w:t>
      </w:r>
      <w:r w:rsidRPr="006469CD">
        <w:rPr>
          <w:rFonts w:ascii="Palatino Linotype" w:hAnsi="Palatino Linotype" w:cs="Cambria Math"/>
          <w:b/>
          <w:i/>
          <w:color w:val="222222"/>
          <w:shd w:val="clear" w:color="auto" w:fill="FFFFFF"/>
        </w:rPr>
        <w:t xml:space="preserve"> </w:t>
      </w:r>
      <w:r w:rsidRPr="006469CD">
        <w:rPr>
          <w:rFonts w:ascii="Palatino Linotype" w:hAnsi="Palatino Linotype" w:cs="Times New Roman"/>
          <w:b/>
          <w:i/>
        </w:rPr>
        <w:t xml:space="preserve">(M: 123456 </w:t>
      </w:r>
      <w:r w:rsidRPr="006469CD">
        <w:rPr>
          <w:rFonts w:ascii="Times New Roman" w:hAnsi="Times New Roman" w:cs="Times New Roman"/>
          <w:b/>
          <w:i/>
        </w:rPr>
        <w:t>→</w:t>
      </w:r>
      <w:r w:rsidRPr="006469CD">
        <w:rPr>
          <w:rFonts w:ascii="Palatino Linotype" w:hAnsi="Palatino Linotype" w:cs="Times New Roman"/>
          <w:b/>
          <w:i/>
        </w:rPr>
        <w:t xml:space="preserve"> MP)</w:t>
      </w:r>
    </w:p>
    <w:p w14:paraId="03C81BA5"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Que significa: </w:t>
      </w:r>
      <w:r w:rsidRPr="006469CD">
        <w:rPr>
          <w:rFonts w:ascii="Palatino Linotype" w:hAnsi="Palatino Linotype" w:cs="Times New Roman"/>
          <w:i/>
        </w:rPr>
        <w:t xml:space="preserve">“el conjunto de hechos {2,5} pertenecen a la relación (M: 123456 </w:t>
      </w:r>
      <w:r w:rsidRPr="006469CD">
        <w:rPr>
          <w:rFonts w:ascii="Times New Roman" w:hAnsi="Times New Roman" w:cs="Times New Roman"/>
          <w:i/>
        </w:rPr>
        <w:t>→</w:t>
      </w:r>
      <w:r w:rsidRPr="006469CD">
        <w:rPr>
          <w:rFonts w:ascii="Palatino Linotype" w:hAnsi="Palatino Linotype" w:cs="Times New Roman"/>
          <w:i/>
        </w:rPr>
        <w:t xml:space="preserve"> MP).”</w:t>
      </w:r>
      <w:r w:rsidRPr="006469CD">
        <w:rPr>
          <w:rFonts w:ascii="Palatino Linotype" w:hAnsi="Palatino Linotype" w:cs="Times New Roman"/>
        </w:rPr>
        <w:t xml:space="preserve"> Otra “</w:t>
      </w:r>
      <w:r w:rsidRPr="006469CD">
        <w:rPr>
          <w:rFonts w:ascii="Palatino Linotype" w:hAnsi="Palatino Linotype" w:cs="Times New Roman"/>
          <w:i/>
        </w:rPr>
        <w:t xml:space="preserve">relación” </w:t>
      </w:r>
      <w:r w:rsidRPr="006469CD">
        <w:rPr>
          <w:rFonts w:ascii="Palatino Linotype" w:hAnsi="Palatino Linotype" w:cs="Times New Roman"/>
        </w:rPr>
        <w:t xml:space="preserve">relevante en la Figura 4, corresponde a la donación que hace MP a su hijo JP del inmueble M: 123456, denotada como: </w:t>
      </w:r>
    </w:p>
    <w:p w14:paraId="2ED930F4" w14:textId="77777777" w:rsidR="00674E90" w:rsidRPr="006469CD" w:rsidRDefault="00674E90" w:rsidP="00674E90">
      <w:pPr>
        <w:spacing w:line="240" w:lineRule="auto"/>
        <w:ind w:firstLine="708"/>
        <w:jc w:val="center"/>
        <w:rPr>
          <w:rFonts w:ascii="Palatino Linotype" w:hAnsi="Palatino Linotype" w:cs="Times New Roman"/>
          <w:b/>
          <w:i/>
        </w:rPr>
      </w:pPr>
      <w:r w:rsidRPr="006469CD">
        <w:rPr>
          <w:rFonts w:ascii="Palatino Linotype" w:hAnsi="Palatino Linotype" w:cs="Times New Roman"/>
          <w:b/>
          <w:i/>
        </w:rPr>
        <w:t xml:space="preserve">(MP </w:t>
      </w:r>
      <w:r w:rsidRPr="006469CD">
        <w:rPr>
          <w:rFonts w:ascii="Cambria Math" w:hAnsi="Cambria Math" w:cs="Cambria Math"/>
          <w:b/>
          <w:i/>
        </w:rPr>
        <w:t>↷</w:t>
      </w:r>
      <w:r w:rsidRPr="006469CD">
        <w:rPr>
          <w:rFonts w:ascii="Palatino Linotype" w:hAnsi="Palatino Linotype" w:cs="Times New Roman"/>
          <w:b/>
          <w:i/>
        </w:rPr>
        <w:t xml:space="preserve"> JP)</w:t>
      </w:r>
    </w:p>
    <w:p w14:paraId="5D37DA54"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Donde con la flecha arqueada tanto en la notación como en el grafo (Figura 4), se hace alusión a una transacción dirigida a JP, etiquetando o referenciando el </w:t>
      </w:r>
      <w:r w:rsidRPr="006469CD">
        <w:rPr>
          <w:rFonts w:ascii="Palatino Linotype" w:hAnsi="Palatino Linotype" w:cs="Times New Roman"/>
          <w:i/>
        </w:rPr>
        <w:t xml:space="preserve">“conjunto de hechos” </w:t>
      </w:r>
      <w:r w:rsidRPr="006469CD">
        <w:rPr>
          <w:rFonts w:ascii="Palatino Linotype" w:hAnsi="Palatino Linotype" w:cs="Times New Roman"/>
        </w:rPr>
        <w:t xml:space="preserve">{1,4}. Por tanto {1,4} </w:t>
      </w:r>
      <w:r w:rsidRPr="006469CD">
        <w:rPr>
          <w:rFonts w:ascii="Cambria Math" w:hAnsi="Cambria Math" w:cs="Cambria Math"/>
          <w:color w:val="222222"/>
          <w:shd w:val="clear" w:color="auto" w:fill="FFFFFF"/>
        </w:rPr>
        <w:t>∈</w:t>
      </w:r>
      <w:r w:rsidRPr="006469CD">
        <w:rPr>
          <w:rFonts w:ascii="Palatino Linotype" w:hAnsi="Palatino Linotype" w:cs="Times New Roman"/>
        </w:rPr>
        <w:t xml:space="preserve"> (MP </w:t>
      </w:r>
      <w:r w:rsidRPr="006469CD">
        <w:rPr>
          <w:rFonts w:ascii="Cambria Math" w:hAnsi="Cambria Math" w:cs="Cambria Math"/>
        </w:rPr>
        <w:t>↷</w:t>
      </w:r>
      <w:r w:rsidRPr="006469CD">
        <w:rPr>
          <w:rFonts w:ascii="Palatino Linotype" w:hAnsi="Palatino Linotype" w:cs="Times New Roman"/>
        </w:rPr>
        <w:t xml:space="preserve"> JP), ya que es a partir del hecho 4 que se cumple lo declarado en el hecho 1 de la demanda. </w:t>
      </w:r>
    </w:p>
    <w:p w14:paraId="42BFB29D"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Según se van determinando las </w:t>
      </w:r>
      <w:r w:rsidRPr="006469CD">
        <w:rPr>
          <w:rFonts w:ascii="Palatino Linotype" w:hAnsi="Palatino Linotype" w:cs="Times New Roman"/>
          <w:i/>
        </w:rPr>
        <w:t>“relaciones”</w:t>
      </w:r>
      <w:r w:rsidRPr="006469CD">
        <w:rPr>
          <w:rFonts w:ascii="Palatino Linotype" w:hAnsi="Palatino Linotype" w:cs="Times New Roman"/>
        </w:rPr>
        <w:t xml:space="preserve"> y definiendo los </w:t>
      </w:r>
      <w:r w:rsidRPr="006469CD">
        <w:rPr>
          <w:rFonts w:ascii="Palatino Linotype" w:hAnsi="Palatino Linotype" w:cs="Times New Roman"/>
          <w:i/>
        </w:rPr>
        <w:t>“conjuntos de hechos”</w:t>
      </w:r>
      <w:r w:rsidRPr="006469CD">
        <w:rPr>
          <w:rFonts w:ascii="Palatino Linotype" w:hAnsi="Palatino Linotype" w:cs="Times New Roman"/>
        </w:rPr>
        <w:t xml:space="preserve"> incluidos en la demanda, se construye un grafo mixto general. La ventaja de la estructura del grafo, es que permite añadir más información conforme el proceso sigue su curso, funcionado como un índice o mapa del caso.</w:t>
      </w:r>
    </w:p>
    <w:p w14:paraId="4F3412AB"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Tendríamos de ésta forma, algo parecido a lo que se ilustra en la Figura 5. Un grafo mixto con la siguiente lista de nodos o vértices: </w:t>
      </w:r>
    </w:p>
    <w:p w14:paraId="1BBCF799" w14:textId="77777777" w:rsidR="00674E90" w:rsidRPr="006469CD" w:rsidRDefault="00674E90" w:rsidP="00674E90">
      <w:pPr>
        <w:spacing w:line="240" w:lineRule="auto"/>
        <w:jc w:val="center"/>
        <w:rPr>
          <w:rFonts w:ascii="Palatino Linotype" w:hAnsi="Palatino Linotype" w:cs="Times New Roman"/>
        </w:rPr>
      </w:pPr>
      <w:r w:rsidRPr="006469CD">
        <w:rPr>
          <w:rFonts w:ascii="Palatino Linotype" w:hAnsi="Palatino Linotype" w:cs="Times New Roman"/>
          <w:b/>
          <w:i/>
        </w:rPr>
        <w:t>JP, MP, PS, CG, M: 123456.</w:t>
      </w:r>
    </w:p>
    <w:p w14:paraId="3B737B61" w14:textId="77777777" w:rsidR="00674E90" w:rsidRPr="006469CD" w:rsidRDefault="00674E90" w:rsidP="00674E90">
      <w:pPr>
        <w:spacing w:line="240" w:lineRule="auto"/>
        <w:rPr>
          <w:rFonts w:ascii="Palatino Linotype" w:hAnsi="Palatino Linotype" w:cs="Times New Roman"/>
        </w:rPr>
      </w:pPr>
      <w:r w:rsidRPr="006469CD">
        <w:rPr>
          <w:rFonts w:ascii="Palatino Linotype" w:hAnsi="Palatino Linotype" w:cs="Times New Roman"/>
        </w:rPr>
        <w:t xml:space="preserve">Las </w:t>
      </w:r>
      <w:r w:rsidRPr="006469CD">
        <w:rPr>
          <w:rFonts w:ascii="Palatino Linotype" w:hAnsi="Palatino Linotype" w:cs="Times New Roman"/>
          <w:i/>
        </w:rPr>
        <w:t>“relaciones”</w:t>
      </w:r>
      <w:r w:rsidRPr="006469CD">
        <w:rPr>
          <w:rFonts w:ascii="Palatino Linotype" w:hAnsi="Palatino Linotype" w:cs="Times New Roman"/>
        </w:rPr>
        <w:t xml:space="preserve"> que serían: </w:t>
      </w:r>
    </w:p>
    <w:p w14:paraId="58510710" w14:textId="77777777" w:rsidR="00674E90" w:rsidRPr="006469CD" w:rsidRDefault="00674E90" w:rsidP="00674E90">
      <w:pPr>
        <w:spacing w:line="240" w:lineRule="auto"/>
        <w:jc w:val="center"/>
        <w:rPr>
          <w:rFonts w:ascii="Palatino Linotype" w:hAnsi="Palatino Linotype" w:cs="Times New Roman"/>
        </w:rPr>
      </w:pPr>
      <w:r w:rsidRPr="006469CD">
        <w:rPr>
          <w:rFonts w:ascii="Palatino Linotype" w:hAnsi="Palatino Linotype" w:cs="Times New Roman"/>
          <w:b/>
          <w:i/>
        </w:rPr>
        <w:t xml:space="preserve">(MP </w:t>
      </w:r>
      <w:r w:rsidRPr="006469CD">
        <w:rPr>
          <w:rFonts w:ascii="Segoe UI Emoji" w:hAnsi="Segoe UI Emoji" w:cs="Segoe UI Emoji"/>
          <w:b/>
          <w:i/>
        </w:rPr>
        <w:t>↔</w:t>
      </w:r>
      <w:r w:rsidRPr="006469CD">
        <w:rPr>
          <w:rFonts w:ascii="Palatino Linotype" w:hAnsi="Palatino Linotype" w:cs="Times New Roman"/>
          <w:b/>
          <w:i/>
        </w:rPr>
        <w:t xml:space="preserve"> JP), (JP </w:t>
      </w:r>
      <w:r w:rsidRPr="006469CD">
        <w:rPr>
          <w:rFonts w:ascii="Times New Roman" w:hAnsi="Times New Roman" w:cs="Times New Roman"/>
          <w:b/>
          <w:i/>
        </w:rPr>
        <w:t>→</w:t>
      </w:r>
      <w:r w:rsidRPr="006469CD">
        <w:rPr>
          <w:rFonts w:ascii="Palatino Linotype" w:hAnsi="Palatino Linotype" w:cs="Times New Roman"/>
          <w:b/>
          <w:i/>
        </w:rPr>
        <w:t xml:space="preserve"> M: 123456), (JP </w:t>
      </w:r>
      <w:r w:rsidRPr="006469CD">
        <w:rPr>
          <w:rFonts w:ascii="Times New Roman" w:hAnsi="Times New Roman" w:cs="Times New Roman"/>
          <w:b/>
          <w:i/>
        </w:rPr>
        <w:t>→</w:t>
      </w:r>
      <w:r w:rsidRPr="006469CD">
        <w:rPr>
          <w:rFonts w:ascii="Palatino Linotype" w:hAnsi="Palatino Linotype" w:cs="Times New Roman"/>
          <w:b/>
          <w:i/>
        </w:rPr>
        <w:t xml:space="preserve"> CG), (M: 123456 </w:t>
      </w:r>
      <w:r w:rsidRPr="006469CD">
        <w:rPr>
          <w:rFonts w:ascii="Times New Roman" w:hAnsi="Times New Roman" w:cs="Times New Roman"/>
          <w:b/>
          <w:i/>
        </w:rPr>
        <w:t>→</w:t>
      </w:r>
      <w:r w:rsidRPr="006469CD">
        <w:rPr>
          <w:rFonts w:ascii="Palatino Linotype" w:hAnsi="Palatino Linotype" w:cs="Times New Roman"/>
          <w:b/>
          <w:i/>
        </w:rPr>
        <w:t xml:space="preserve"> MP), (MP </w:t>
      </w:r>
      <w:r w:rsidRPr="006469CD">
        <w:rPr>
          <w:rFonts w:ascii="Times New Roman" w:hAnsi="Times New Roman" w:cs="Times New Roman"/>
          <w:b/>
          <w:i/>
        </w:rPr>
        <w:t>→</w:t>
      </w:r>
      <w:r w:rsidRPr="006469CD">
        <w:rPr>
          <w:rFonts w:ascii="Palatino Linotype" w:hAnsi="Palatino Linotype" w:cs="Times New Roman"/>
          <w:b/>
          <w:i/>
        </w:rPr>
        <w:t xml:space="preserve"> CG), (MP </w:t>
      </w:r>
      <w:r w:rsidRPr="006469CD">
        <w:rPr>
          <w:rFonts w:ascii="Segoe UI Emoji" w:hAnsi="Segoe UI Emoji" w:cs="Segoe UI Emoji"/>
          <w:b/>
          <w:i/>
        </w:rPr>
        <w:t>↔</w:t>
      </w:r>
      <w:r w:rsidRPr="006469CD">
        <w:rPr>
          <w:rFonts w:ascii="Palatino Linotype" w:hAnsi="Palatino Linotype" w:cs="Times New Roman"/>
          <w:b/>
          <w:i/>
        </w:rPr>
        <w:t xml:space="preserve"> PS), (PS </w:t>
      </w:r>
      <w:r w:rsidRPr="006469CD">
        <w:rPr>
          <w:rFonts w:ascii="Times New Roman" w:hAnsi="Times New Roman" w:cs="Times New Roman"/>
          <w:b/>
          <w:i/>
        </w:rPr>
        <w:t>→</w:t>
      </w:r>
      <w:r w:rsidRPr="006469CD">
        <w:rPr>
          <w:rFonts w:ascii="Palatino Linotype" w:hAnsi="Palatino Linotype" w:cs="Times New Roman"/>
          <w:b/>
          <w:i/>
        </w:rPr>
        <w:t xml:space="preserve"> CG), (CG </w:t>
      </w:r>
      <w:r w:rsidRPr="006469CD">
        <w:rPr>
          <w:rFonts w:ascii="Times New Roman" w:hAnsi="Times New Roman" w:cs="Times New Roman"/>
          <w:b/>
          <w:i/>
        </w:rPr>
        <w:t>→</w:t>
      </w:r>
      <w:r w:rsidRPr="006469CD">
        <w:rPr>
          <w:rFonts w:ascii="Palatino Linotype" w:hAnsi="Palatino Linotype" w:cs="Times New Roman"/>
          <w:b/>
          <w:i/>
        </w:rPr>
        <w:t xml:space="preserve"> M: 123456), (MP </w:t>
      </w:r>
      <w:r w:rsidRPr="006469CD">
        <w:rPr>
          <w:rFonts w:ascii="Cambria Math" w:hAnsi="Cambria Math" w:cs="Cambria Math"/>
          <w:b/>
          <w:i/>
        </w:rPr>
        <w:t>↷</w:t>
      </w:r>
      <w:r w:rsidRPr="006469CD">
        <w:rPr>
          <w:rFonts w:ascii="Palatino Linotype" w:hAnsi="Palatino Linotype" w:cs="Times New Roman"/>
          <w:b/>
          <w:i/>
        </w:rPr>
        <w:t xml:space="preserve"> JP).</w:t>
      </w:r>
    </w:p>
    <w:p w14:paraId="3788CDF3"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Y los </w:t>
      </w:r>
      <w:r w:rsidRPr="006469CD">
        <w:rPr>
          <w:rFonts w:ascii="Palatino Linotype" w:hAnsi="Palatino Linotype" w:cs="Times New Roman"/>
          <w:i/>
        </w:rPr>
        <w:t>“conjuntos de hechos”</w:t>
      </w:r>
      <w:r w:rsidRPr="006469CD">
        <w:rPr>
          <w:rFonts w:ascii="Palatino Linotype" w:hAnsi="Palatino Linotype" w:cs="Times New Roman"/>
        </w:rPr>
        <w:t xml:space="preserve"> listados a continuación: </w:t>
      </w:r>
    </w:p>
    <w:p w14:paraId="1651B4A7" w14:textId="77777777" w:rsidR="00674E90" w:rsidRPr="006469CD" w:rsidRDefault="00674E90" w:rsidP="00674E90">
      <w:pPr>
        <w:spacing w:line="240" w:lineRule="auto"/>
        <w:jc w:val="center"/>
        <w:rPr>
          <w:rFonts w:ascii="Palatino Linotype" w:hAnsi="Palatino Linotype" w:cs="Times New Roman"/>
          <w:i/>
        </w:rPr>
      </w:pPr>
      <w:r w:rsidRPr="006469CD">
        <w:rPr>
          <w:rFonts w:ascii="Palatino Linotype" w:hAnsi="Palatino Linotype" w:cs="Times New Roman"/>
          <w:b/>
          <w:i/>
        </w:rPr>
        <w:lastRenderedPageBreak/>
        <w:t xml:space="preserve">{4} </w:t>
      </w:r>
      <w:r w:rsidRPr="006469CD">
        <w:rPr>
          <w:rFonts w:ascii="Cambria Math" w:hAnsi="Cambria Math" w:cs="Cambria Math"/>
          <w:b/>
          <w:i/>
          <w:color w:val="222222"/>
          <w:shd w:val="clear" w:color="auto" w:fill="FFFFFF"/>
        </w:rPr>
        <w:t>∈</w:t>
      </w:r>
      <w:r w:rsidRPr="006469CD">
        <w:rPr>
          <w:rFonts w:ascii="Palatino Linotype" w:hAnsi="Palatino Linotype" w:cs="Times New Roman"/>
          <w:b/>
          <w:i/>
        </w:rPr>
        <w:t xml:space="preserve"> (MP </w:t>
      </w:r>
      <w:r w:rsidRPr="006469CD">
        <w:rPr>
          <w:rFonts w:ascii="Segoe UI Emoji" w:hAnsi="Segoe UI Emoji" w:cs="Segoe UI Emoji"/>
          <w:b/>
          <w:i/>
        </w:rPr>
        <w:t>↔</w:t>
      </w:r>
      <w:r w:rsidRPr="006469CD">
        <w:rPr>
          <w:rFonts w:ascii="Palatino Linotype" w:hAnsi="Palatino Linotype" w:cs="Times New Roman"/>
          <w:b/>
          <w:i/>
        </w:rPr>
        <w:t xml:space="preserve"> JP), {1} </w:t>
      </w:r>
      <w:r w:rsidRPr="006469CD">
        <w:rPr>
          <w:rFonts w:ascii="Cambria Math" w:hAnsi="Cambria Math" w:cs="Cambria Math"/>
          <w:b/>
          <w:i/>
          <w:color w:val="222222"/>
          <w:shd w:val="clear" w:color="auto" w:fill="FFFFFF"/>
        </w:rPr>
        <w:t>∈</w:t>
      </w:r>
      <w:r w:rsidRPr="006469CD">
        <w:rPr>
          <w:rFonts w:ascii="Palatino Linotype" w:hAnsi="Palatino Linotype" w:cs="Cambria Math"/>
          <w:b/>
          <w:i/>
          <w:color w:val="222222"/>
          <w:shd w:val="clear" w:color="auto" w:fill="FFFFFF"/>
        </w:rPr>
        <w:t xml:space="preserve"> </w:t>
      </w:r>
      <w:r w:rsidRPr="006469CD">
        <w:rPr>
          <w:rFonts w:ascii="Palatino Linotype" w:hAnsi="Palatino Linotype" w:cs="Times New Roman"/>
          <w:b/>
          <w:i/>
        </w:rPr>
        <w:t xml:space="preserve">(JP </w:t>
      </w:r>
      <w:r w:rsidRPr="006469CD">
        <w:rPr>
          <w:rFonts w:ascii="Times New Roman" w:hAnsi="Times New Roman" w:cs="Times New Roman"/>
          <w:b/>
          <w:i/>
        </w:rPr>
        <w:t>→</w:t>
      </w:r>
      <w:r w:rsidRPr="006469CD">
        <w:rPr>
          <w:rFonts w:ascii="Palatino Linotype" w:hAnsi="Palatino Linotype" w:cs="Times New Roman"/>
          <w:b/>
          <w:i/>
        </w:rPr>
        <w:t xml:space="preserve"> M: 123456), {9} </w:t>
      </w:r>
      <w:r w:rsidRPr="006469CD">
        <w:rPr>
          <w:rFonts w:ascii="Cambria Math" w:hAnsi="Cambria Math" w:cs="Cambria Math"/>
          <w:b/>
          <w:i/>
          <w:color w:val="222222"/>
          <w:shd w:val="clear" w:color="auto" w:fill="FFFFFF"/>
        </w:rPr>
        <w:t>∈</w:t>
      </w:r>
      <w:r w:rsidRPr="006469CD">
        <w:rPr>
          <w:rFonts w:ascii="Palatino Linotype" w:hAnsi="Palatino Linotype" w:cs="Cambria Math"/>
          <w:b/>
          <w:i/>
          <w:color w:val="222222"/>
          <w:shd w:val="clear" w:color="auto" w:fill="FFFFFF"/>
        </w:rPr>
        <w:t xml:space="preserve"> </w:t>
      </w:r>
      <w:r w:rsidRPr="006469CD">
        <w:rPr>
          <w:rFonts w:ascii="Palatino Linotype" w:hAnsi="Palatino Linotype" w:cs="Times New Roman"/>
          <w:b/>
          <w:i/>
        </w:rPr>
        <w:t xml:space="preserve">(JP </w:t>
      </w:r>
      <w:r w:rsidRPr="006469CD">
        <w:rPr>
          <w:rFonts w:ascii="Times New Roman" w:hAnsi="Times New Roman" w:cs="Times New Roman"/>
          <w:b/>
          <w:i/>
        </w:rPr>
        <w:t>→</w:t>
      </w:r>
      <w:r w:rsidRPr="006469CD">
        <w:rPr>
          <w:rFonts w:ascii="Palatino Linotype" w:hAnsi="Palatino Linotype" w:cs="Times New Roman"/>
          <w:b/>
          <w:i/>
        </w:rPr>
        <w:t xml:space="preserve"> CG), {2,5} </w:t>
      </w:r>
      <w:r w:rsidRPr="006469CD">
        <w:rPr>
          <w:rFonts w:ascii="Cambria Math" w:hAnsi="Cambria Math" w:cs="Cambria Math"/>
          <w:b/>
          <w:i/>
          <w:color w:val="222222"/>
          <w:shd w:val="clear" w:color="auto" w:fill="FFFFFF"/>
        </w:rPr>
        <w:t>∈</w:t>
      </w:r>
      <w:r w:rsidRPr="006469CD">
        <w:rPr>
          <w:rFonts w:ascii="Palatino Linotype" w:hAnsi="Palatino Linotype" w:cs="Cambria Math"/>
          <w:b/>
          <w:i/>
          <w:color w:val="222222"/>
          <w:shd w:val="clear" w:color="auto" w:fill="FFFFFF"/>
        </w:rPr>
        <w:t xml:space="preserve"> </w:t>
      </w:r>
      <w:r w:rsidRPr="006469CD">
        <w:rPr>
          <w:rFonts w:ascii="Palatino Linotype" w:hAnsi="Palatino Linotype" w:cs="Times New Roman"/>
          <w:b/>
          <w:i/>
        </w:rPr>
        <w:t xml:space="preserve">(M: 123456 </w:t>
      </w:r>
      <w:r w:rsidRPr="006469CD">
        <w:rPr>
          <w:rFonts w:ascii="Times New Roman" w:hAnsi="Times New Roman" w:cs="Times New Roman"/>
          <w:b/>
          <w:i/>
        </w:rPr>
        <w:t>→</w:t>
      </w:r>
      <w:r w:rsidRPr="006469CD">
        <w:rPr>
          <w:rFonts w:ascii="Palatino Linotype" w:hAnsi="Palatino Linotype" w:cs="Times New Roman"/>
          <w:b/>
          <w:i/>
        </w:rPr>
        <w:t xml:space="preserve"> MP), {2, 5, 6, 7} </w:t>
      </w:r>
      <w:r w:rsidRPr="006469CD">
        <w:rPr>
          <w:rFonts w:ascii="Cambria Math" w:hAnsi="Cambria Math" w:cs="Cambria Math"/>
          <w:b/>
          <w:i/>
          <w:color w:val="222222"/>
          <w:shd w:val="clear" w:color="auto" w:fill="FFFFFF"/>
        </w:rPr>
        <w:t>∈</w:t>
      </w:r>
      <w:r w:rsidRPr="006469CD">
        <w:rPr>
          <w:rFonts w:ascii="Palatino Linotype" w:hAnsi="Palatino Linotype" w:cs="Cambria Math"/>
          <w:b/>
          <w:i/>
          <w:color w:val="222222"/>
          <w:shd w:val="clear" w:color="auto" w:fill="FFFFFF"/>
        </w:rPr>
        <w:t xml:space="preserve"> </w:t>
      </w:r>
      <w:r w:rsidRPr="006469CD">
        <w:rPr>
          <w:rFonts w:ascii="Palatino Linotype" w:hAnsi="Palatino Linotype" w:cs="Times New Roman"/>
          <w:b/>
          <w:i/>
        </w:rPr>
        <w:t xml:space="preserve">(MP </w:t>
      </w:r>
      <w:r w:rsidRPr="006469CD">
        <w:rPr>
          <w:rFonts w:ascii="Times New Roman" w:hAnsi="Times New Roman" w:cs="Times New Roman"/>
          <w:b/>
          <w:i/>
        </w:rPr>
        <w:t>→</w:t>
      </w:r>
      <w:r w:rsidRPr="006469CD">
        <w:rPr>
          <w:rFonts w:ascii="Palatino Linotype" w:hAnsi="Palatino Linotype" w:cs="Times New Roman"/>
          <w:b/>
          <w:i/>
        </w:rPr>
        <w:t xml:space="preserve"> CG), {2, 5, 6, 7} </w:t>
      </w:r>
      <w:r w:rsidRPr="006469CD">
        <w:rPr>
          <w:rFonts w:ascii="Cambria Math" w:hAnsi="Cambria Math" w:cs="Cambria Math"/>
          <w:b/>
          <w:i/>
          <w:color w:val="222222"/>
          <w:shd w:val="clear" w:color="auto" w:fill="FFFFFF"/>
        </w:rPr>
        <w:t>∈</w:t>
      </w:r>
      <w:r w:rsidRPr="006469CD">
        <w:rPr>
          <w:rFonts w:ascii="Palatino Linotype" w:hAnsi="Palatino Linotype" w:cs="Cambria Math"/>
          <w:b/>
          <w:i/>
          <w:color w:val="222222"/>
          <w:shd w:val="clear" w:color="auto" w:fill="FFFFFF"/>
        </w:rPr>
        <w:t xml:space="preserve"> </w:t>
      </w:r>
      <w:r w:rsidRPr="006469CD">
        <w:rPr>
          <w:rFonts w:ascii="Palatino Linotype" w:hAnsi="Palatino Linotype" w:cs="Times New Roman"/>
          <w:b/>
          <w:i/>
        </w:rPr>
        <w:t xml:space="preserve">(MP </w:t>
      </w:r>
      <w:r w:rsidRPr="006469CD">
        <w:rPr>
          <w:rFonts w:ascii="Segoe UI Emoji" w:hAnsi="Segoe UI Emoji" w:cs="Segoe UI Emoji"/>
          <w:b/>
          <w:i/>
        </w:rPr>
        <w:t>↔</w:t>
      </w:r>
      <w:r w:rsidRPr="006469CD">
        <w:rPr>
          <w:rFonts w:ascii="Palatino Linotype" w:hAnsi="Palatino Linotype" w:cs="Times New Roman"/>
          <w:b/>
          <w:i/>
        </w:rPr>
        <w:t xml:space="preserve"> PS), {2, 5, 6, 7} </w:t>
      </w:r>
      <w:r w:rsidRPr="006469CD">
        <w:rPr>
          <w:rFonts w:ascii="Cambria Math" w:hAnsi="Cambria Math" w:cs="Cambria Math"/>
          <w:b/>
          <w:i/>
          <w:color w:val="222222"/>
          <w:shd w:val="clear" w:color="auto" w:fill="FFFFFF"/>
        </w:rPr>
        <w:t>∈</w:t>
      </w:r>
      <w:r w:rsidRPr="006469CD">
        <w:rPr>
          <w:rFonts w:ascii="Palatino Linotype" w:hAnsi="Palatino Linotype" w:cs="Cambria Math"/>
          <w:b/>
          <w:i/>
          <w:color w:val="222222"/>
          <w:shd w:val="clear" w:color="auto" w:fill="FFFFFF"/>
        </w:rPr>
        <w:t xml:space="preserve"> (</w:t>
      </w:r>
      <w:r w:rsidRPr="006469CD">
        <w:rPr>
          <w:rFonts w:ascii="Palatino Linotype" w:hAnsi="Palatino Linotype" w:cs="Times New Roman"/>
          <w:b/>
          <w:i/>
        </w:rPr>
        <w:t xml:space="preserve">PS </w:t>
      </w:r>
      <w:r w:rsidRPr="006469CD">
        <w:rPr>
          <w:rFonts w:ascii="Times New Roman" w:hAnsi="Times New Roman" w:cs="Times New Roman"/>
          <w:b/>
          <w:i/>
        </w:rPr>
        <w:t>→</w:t>
      </w:r>
      <w:r w:rsidRPr="006469CD">
        <w:rPr>
          <w:rFonts w:ascii="Palatino Linotype" w:hAnsi="Palatino Linotype" w:cs="Times New Roman"/>
          <w:b/>
          <w:i/>
        </w:rPr>
        <w:t xml:space="preserve"> CG), {2, 3, 8} </w:t>
      </w:r>
      <w:r w:rsidRPr="006469CD">
        <w:rPr>
          <w:rFonts w:ascii="Cambria Math" w:hAnsi="Cambria Math" w:cs="Cambria Math"/>
          <w:b/>
          <w:i/>
          <w:color w:val="222222"/>
          <w:shd w:val="clear" w:color="auto" w:fill="FFFFFF"/>
        </w:rPr>
        <w:t>∈</w:t>
      </w:r>
      <w:r w:rsidRPr="006469CD">
        <w:rPr>
          <w:rFonts w:ascii="Palatino Linotype" w:hAnsi="Palatino Linotype" w:cs="Cambria Math"/>
          <w:b/>
          <w:i/>
          <w:color w:val="222222"/>
          <w:shd w:val="clear" w:color="auto" w:fill="FFFFFF"/>
        </w:rPr>
        <w:t xml:space="preserve"> </w:t>
      </w:r>
      <w:r w:rsidRPr="006469CD">
        <w:rPr>
          <w:rFonts w:ascii="Palatino Linotype" w:hAnsi="Palatino Linotype" w:cs="Times New Roman"/>
          <w:b/>
          <w:i/>
        </w:rPr>
        <w:t xml:space="preserve">(CG </w:t>
      </w:r>
      <w:r w:rsidRPr="006469CD">
        <w:rPr>
          <w:rFonts w:ascii="Times New Roman" w:hAnsi="Times New Roman" w:cs="Times New Roman"/>
          <w:b/>
          <w:i/>
        </w:rPr>
        <w:t>→</w:t>
      </w:r>
      <w:r w:rsidRPr="006469CD">
        <w:rPr>
          <w:rFonts w:ascii="Palatino Linotype" w:hAnsi="Palatino Linotype" w:cs="Times New Roman"/>
          <w:b/>
          <w:i/>
        </w:rPr>
        <w:t xml:space="preserve"> M: 123456), {1,4} </w:t>
      </w:r>
      <w:r w:rsidRPr="006469CD">
        <w:rPr>
          <w:rFonts w:ascii="Cambria Math" w:hAnsi="Cambria Math" w:cs="Cambria Math"/>
          <w:b/>
          <w:i/>
          <w:color w:val="222222"/>
          <w:shd w:val="clear" w:color="auto" w:fill="FFFFFF"/>
        </w:rPr>
        <w:t>∈</w:t>
      </w:r>
      <w:r w:rsidRPr="006469CD">
        <w:rPr>
          <w:rFonts w:ascii="Palatino Linotype" w:hAnsi="Palatino Linotype" w:cs="Times New Roman"/>
          <w:b/>
          <w:i/>
        </w:rPr>
        <w:t xml:space="preserve">  (MP </w:t>
      </w:r>
      <w:r w:rsidRPr="006469CD">
        <w:rPr>
          <w:rFonts w:ascii="Cambria Math" w:hAnsi="Cambria Math" w:cs="Cambria Math"/>
          <w:b/>
          <w:i/>
        </w:rPr>
        <w:t>↷</w:t>
      </w:r>
      <w:r w:rsidRPr="006469CD">
        <w:rPr>
          <w:rFonts w:ascii="Palatino Linotype" w:hAnsi="Palatino Linotype" w:cs="Times New Roman"/>
          <w:b/>
          <w:i/>
        </w:rPr>
        <w:t xml:space="preserve"> JP).</w:t>
      </w:r>
    </w:p>
    <w:p w14:paraId="578C282F" w14:textId="77777777" w:rsidR="00674E90" w:rsidRPr="006469CD" w:rsidRDefault="00674E90" w:rsidP="00674E90">
      <w:pPr>
        <w:spacing w:line="240" w:lineRule="auto"/>
        <w:jc w:val="center"/>
        <w:rPr>
          <w:rFonts w:ascii="Palatino Linotype" w:hAnsi="Palatino Linotype" w:cs="Times New Roman"/>
          <w:b/>
          <w:i/>
        </w:rPr>
      </w:pPr>
    </w:p>
    <w:p w14:paraId="36EE71C9" w14:textId="77777777" w:rsidR="00674E90" w:rsidRPr="006469CD" w:rsidRDefault="00674E90" w:rsidP="00674E90">
      <w:pPr>
        <w:spacing w:line="240" w:lineRule="auto"/>
        <w:ind w:firstLine="708"/>
        <w:jc w:val="both"/>
        <w:rPr>
          <w:rFonts w:ascii="Palatino Linotype" w:hAnsi="Palatino Linotype" w:cs="Times New Roman"/>
        </w:rPr>
      </w:pPr>
      <w:r w:rsidRPr="006469CD">
        <w:rPr>
          <w:rFonts w:ascii="Palatino Linotype" w:hAnsi="Palatino Linotype" w:cs="Times New Roman"/>
          <w:noProof/>
          <w:lang w:val="es-CR" w:eastAsia="es-CR"/>
        </w:rPr>
        <w:drawing>
          <wp:anchor distT="0" distB="0" distL="114300" distR="114300" simplePos="0" relativeHeight="251671552" behindDoc="1" locked="0" layoutInCell="1" allowOverlap="1" wp14:anchorId="0A8E15EC" wp14:editId="07EBC2FF">
            <wp:simplePos x="0" y="0"/>
            <wp:positionH relativeFrom="margin">
              <wp:align>center</wp:align>
            </wp:positionH>
            <wp:positionV relativeFrom="paragraph">
              <wp:posOffset>10795</wp:posOffset>
            </wp:positionV>
            <wp:extent cx="3352165" cy="3305175"/>
            <wp:effectExtent l="0" t="0" r="635" b="9525"/>
            <wp:wrapTight wrapText="bothSides">
              <wp:wrapPolygon edited="0">
                <wp:start x="0" y="0"/>
                <wp:lineTo x="0" y="21538"/>
                <wp:lineTo x="21481" y="21538"/>
                <wp:lineTo x="21481"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6GrafoGeneral.png"/>
                    <pic:cNvPicPr/>
                  </pic:nvPicPr>
                  <pic:blipFill>
                    <a:blip r:embed="rId49">
                      <a:extLst>
                        <a:ext uri="{28A0092B-C50C-407E-A947-70E740481C1C}">
                          <a14:useLocalDpi xmlns:a14="http://schemas.microsoft.com/office/drawing/2010/main" val="0"/>
                        </a:ext>
                      </a:extLst>
                    </a:blip>
                    <a:stretch>
                      <a:fillRect/>
                    </a:stretch>
                  </pic:blipFill>
                  <pic:spPr>
                    <a:xfrm>
                      <a:off x="0" y="0"/>
                      <a:ext cx="3352165" cy="3305175"/>
                    </a:xfrm>
                    <a:prstGeom prst="rect">
                      <a:avLst/>
                    </a:prstGeom>
                  </pic:spPr>
                </pic:pic>
              </a:graphicData>
            </a:graphic>
            <wp14:sizeRelH relativeFrom="margin">
              <wp14:pctWidth>0</wp14:pctWidth>
            </wp14:sizeRelH>
            <wp14:sizeRelV relativeFrom="margin">
              <wp14:pctHeight>0</wp14:pctHeight>
            </wp14:sizeRelV>
          </wp:anchor>
        </w:drawing>
      </w:r>
    </w:p>
    <w:p w14:paraId="748FF645" w14:textId="77777777" w:rsidR="00674E90" w:rsidRPr="006469CD" w:rsidRDefault="00674E90" w:rsidP="00674E90">
      <w:pPr>
        <w:spacing w:line="240" w:lineRule="auto"/>
        <w:ind w:firstLine="708"/>
        <w:jc w:val="center"/>
        <w:rPr>
          <w:rFonts w:ascii="Palatino Linotype" w:hAnsi="Palatino Linotype" w:cs="Times New Roman"/>
          <w:color w:val="000000"/>
        </w:rPr>
      </w:pPr>
    </w:p>
    <w:p w14:paraId="51E7B57E" w14:textId="77777777" w:rsidR="00674E90" w:rsidRPr="006469CD" w:rsidRDefault="00674E90" w:rsidP="00674E90">
      <w:pPr>
        <w:spacing w:line="240" w:lineRule="auto"/>
        <w:rPr>
          <w:rFonts w:ascii="Palatino Linotype" w:hAnsi="Palatino Linotype" w:cs="Times New Roman"/>
          <w:color w:val="000000"/>
        </w:rPr>
      </w:pPr>
    </w:p>
    <w:p w14:paraId="412A8980" w14:textId="77777777" w:rsidR="00674E90" w:rsidRPr="006469CD" w:rsidRDefault="00674E90" w:rsidP="00674E90">
      <w:pPr>
        <w:spacing w:line="240" w:lineRule="auto"/>
        <w:ind w:firstLine="708"/>
        <w:jc w:val="center"/>
        <w:rPr>
          <w:rFonts w:ascii="Palatino Linotype" w:hAnsi="Palatino Linotype" w:cs="Times New Roman"/>
          <w:color w:val="000000"/>
        </w:rPr>
      </w:pPr>
    </w:p>
    <w:p w14:paraId="17E9CE77" w14:textId="77777777" w:rsidR="00674E90" w:rsidRPr="006469CD" w:rsidRDefault="00674E90" w:rsidP="00674E90">
      <w:pPr>
        <w:spacing w:line="240" w:lineRule="auto"/>
        <w:ind w:firstLine="708"/>
        <w:jc w:val="center"/>
        <w:rPr>
          <w:rFonts w:ascii="Palatino Linotype" w:hAnsi="Palatino Linotype" w:cs="Times New Roman"/>
          <w:color w:val="000000"/>
        </w:rPr>
      </w:pPr>
    </w:p>
    <w:p w14:paraId="7FA27255" w14:textId="77777777" w:rsidR="00674E90" w:rsidRPr="006469CD" w:rsidRDefault="00674E90" w:rsidP="00674E90">
      <w:pPr>
        <w:spacing w:line="240" w:lineRule="auto"/>
        <w:ind w:firstLine="708"/>
        <w:jc w:val="center"/>
        <w:rPr>
          <w:rFonts w:ascii="Palatino Linotype" w:hAnsi="Palatino Linotype" w:cs="Times New Roman"/>
          <w:color w:val="000000"/>
        </w:rPr>
      </w:pPr>
    </w:p>
    <w:p w14:paraId="1609358C" w14:textId="77777777" w:rsidR="00674E90" w:rsidRPr="006469CD" w:rsidRDefault="00674E90" w:rsidP="00674E90">
      <w:pPr>
        <w:spacing w:line="240" w:lineRule="auto"/>
        <w:ind w:firstLine="708"/>
        <w:jc w:val="center"/>
        <w:rPr>
          <w:rFonts w:ascii="Palatino Linotype" w:hAnsi="Palatino Linotype" w:cs="Times New Roman"/>
          <w:color w:val="000000"/>
        </w:rPr>
      </w:pPr>
    </w:p>
    <w:p w14:paraId="7A57E956" w14:textId="77777777" w:rsidR="00674E90" w:rsidRPr="006469CD" w:rsidRDefault="00674E90" w:rsidP="00674E90">
      <w:pPr>
        <w:spacing w:line="240" w:lineRule="auto"/>
        <w:rPr>
          <w:rFonts w:ascii="Palatino Linotype" w:hAnsi="Palatino Linotype" w:cs="Times New Roman"/>
          <w:color w:val="000000"/>
        </w:rPr>
      </w:pPr>
    </w:p>
    <w:p w14:paraId="199F9243" w14:textId="77777777" w:rsidR="00674E90" w:rsidRPr="006469CD" w:rsidRDefault="00674E90" w:rsidP="00674E90">
      <w:pPr>
        <w:spacing w:line="240" w:lineRule="auto"/>
        <w:rPr>
          <w:rFonts w:ascii="Palatino Linotype" w:hAnsi="Palatino Linotype" w:cs="Times New Roman"/>
          <w:color w:val="000000"/>
        </w:rPr>
      </w:pPr>
    </w:p>
    <w:p w14:paraId="19BADE4C" w14:textId="77777777" w:rsidR="00674E90" w:rsidRPr="006469CD" w:rsidRDefault="00674E90" w:rsidP="00674E90">
      <w:pPr>
        <w:spacing w:line="240" w:lineRule="auto"/>
        <w:ind w:firstLine="708"/>
        <w:jc w:val="center"/>
        <w:rPr>
          <w:rFonts w:ascii="Palatino Linotype" w:hAnsi="Palatino Linotype" w:cs="Times New Roman"/>
          <w:color w:val="000000"/>
        </w:rPr>
      </w:pPr>
    </w:p>
    <w:p w14:paraId="30EEC7CD" w14:textId="77777777" w:rsidR="00674E90" w:rsidRPr="006469CD" w:rsidRDefault="00674E90" w:rsidP="00674E90">
      <w:pPr>
        <w:spacing w:line="240" w:lineRule="auto"/>
        <w:ind w:firstLine="708"/>
        <w:jc w:val="center"/>
        <w:rPr>
          <w:rFonts w:ascii="Palatino Linotype" w:hAnsi="Palatino Linotype" w:cs="Times New Roman"/>
          <w:color w:val="000000"/>
        </w:rPr>
      </w:pPr>
    </w:p>
    <w:p w14:paraId="5373D42B" w14:textId="77777777" w:rsidR="00674E90" w:rsidRPr="006469CD" w:rsidRDefault="00674E90" w:rsidP="00674E90">
      <w:pPr>
        <w:spacing w:line="240" w:lineRule="auto"/>
        <w:ind w:firstLine="708"/>
        <w:jc w:val="center"/>
        <w:rPr>
          <w:rFonts w:ascii="Palatino Linotype" w:hAnsi="Palatino Linotype" w:cs="Times New Roman"/>
          <w:color w:val="000000"/>
        </w:rPr>
      </w:pPr>
    </w:p>
    <w:p w14:paraId="12E8D56E" w14:textId="77777777" w:rsidR="00674E90" w:rsidRPr="006469CD" w:rsidRDefault="00674E90" w:rsidP="00674E90">
      <w:pPr>
        <w:spacing w:line="240" w:lineRule="auto"/>
        <w:ind w:firstLine="708"/>
        <w:jc w:val="center"/>
        <w:rPr>
          <w:rFonts w:ascii="Palatino Linotype" w:hAnsi="Palatino Linotype" w:cs="Times New Roman"/>
          <w:color w:val="000000"/>
        </w:rPr>
      </w:pPr>
      <w:r w:rsidRPr="006469CD">
        <w:rPr>
          <w:rFonts w:ascii="Palatino Linotype" w:hAnsi="Palatino Linotype" w:cs="Times New Roman"/>
          <w:color w:val="000000"/>
        </w:rPr>
        <w:t>Figura 5. Grafo mixto general de la demanda.</w:t>
      </w:r>
    </w:p>
    <w:p w14:paraId="095089FF" w14:textId="77777777" w:rsidR="00674E90" w:rsidRPr="006469CD" w:rsidRDefault="00674E90" w:rsidP="00674E90">
      <w:pPr>
        <w:spacing w:line="240" w:lineRule="auto"/>
        <w:jc w:val="both"/>
        <w:rPr>
          <w:rFonts w:ascii="Palatino Linotype" w:hAnsi="Palatino Linotype" w:cs="Times New Roman"/>
          <w:color w:val="000000"/>
        </w:rPr>
      </w:pPr>
      <w:r w:rsidRPr="006469CD">
        <w:rPr>
          <w:rFonts w:ascii="Palatino Linotype" w:hAnsi="Palatino Linotype" w:cs="Times New Roman"/>
        </w:rPr>
        <w:t xml:space="preserve">Se puede ver, además, características como que el </w:t>
      </w:r>
      <w:r w:rsidRPr="006469CD">
        <w:rPr>
          <w:rFonts w:ascii="Palatino Linotype" w:hAnsi="Palatino Linotype" w:cs="Times New Roman"/>
          <w:i/>
        </w:rPr>
        <w:t xml:space="preserve">“conjunto de hechos” </w:t>
      </w:r>
      <w:r w:rsidRPr="006469CD">
        <w:rPr>
          <w:rFonts w:ascii="Palatino Linotype" w:hAnsi="Palatino Linotype" w:cs="Times New Roman"/>
        </w:rPr>
        <w:t xml:space="preserve">{2, 5, 6, 7} se repiten en tres de las </w:t>
      </w:r>
      <w:r w:rsidRPr="006469CD">
        <w:rPr>
          <w:rFonts w:ascii="Palatino Linotype" w:hAnsi="Palatino Linotype" w:cs="Times New Roman"/>
          <w:i/>
        </w:rPr>
        <w:t>“relaciones”</w:t>
      </w:r>
      <w:r w:rsidRPr="006469CD">
        <w:rPr>
          <w:rFonts w:ascii="Palatino Linotype" w:hAnsi="Palatino Linotype" w:cs="Times New Roman"/>
        </w:rPr>
        <w:t xml:space="preserve"> del gráfico (MP </w:t>
      </w:r>
      <w:r w:rsidRPr="006469CD">
        <w:rPr>
          <w:rFonts w:ascii="Times New Roman" w:hAnsi="Times New Roman" w:cs="Times New Roman"/>
        </w:rPr>
        <w:t>→</w:t>
      </w:r>
      <w:r w:rsidRPr="006469CD">
        <w:rPr>
          <w:rFonts w:ascii="Palatino Linotype" w:hAnsi="Palatino Linotype" w:cs="Times New Roman"/>
        </w:rPr>
        <w:t xml:space="preserve"> CG), (MP </w:t>
      </w:r>
      <w:r w:rsidRPr="006469CD">
        <w:rPr>
          <w:rFonts w:ascii="Segoe UI Emoji" w:hAnsi="Segoe UI Emoji" w:cs="Segoe UI Emoji"/>
        </w:rPr>
        <w:t>↔</w:t>
      </w:r>
      <w:r w:rsidRPr="006469CD">
        <w:rPr>
          <w:rFonts w:ascii="Palatino Linotype" w:hAnsi="Palatino Linotype" w:cs="Times New Roman"/>
        </w:rPr>
        <w:t xml:space="preserve"> PS), (PS </w:t>
      </w:r>
      <w:r w:rsidRPr="006469CD">
        <w:rPr>
          <w:rFonts w:ascii="Times New Roman" w:hAnsi="Times New Roman" w:cs="Times New Roman"/>
        </w:rPr>
        <w:t>→</w:t>
      </w:r>
      <w:r w:rsidRPr="006469CD">
        <w:rPr>
          <w:rFonts w:ascii="Palatino Linotype" w:hAnsi="Palatino Linotype" w:cs="Times New Roman"/>
        </w:rPr>
        <w:t xml:space="preserve"> CG), concluy</w:t>
      </w:r>
      <w:r w:rsidRPr="006469CD">
        <w:rPr>
          <w:rFonts w:ascii="Palatino Linotype" w:hAnsi="Palatino Linotype" w:cs="Palatino Linotype"/>
        </w:rPr>
        <w:t>é</w:t>
      </w:r>
      <w:r w:rsidRPr="006469CD">
        <w:rPr>
          <w:rFonts w:ascii="Palatino Linotype" w:hAnsi="Palatino Linotype" w:cs="Times New Roman"/>
        </w:rPr>
        <w:t>ndose que tales hechos son un centro en la argumentaci</w:t>
      </w:r>
      <w:r w:rsidRPr="006469CD">
        <w:rPr>
          <w:rFonts w:ascii="Palatino Linotype" w:hAnsi="Palatino Linotype" w:cs="Palatino Linotype"/>
        </w:rPr>
        <w:t>ó</w:t>
      </w:r>
      <w:r w:rsidRPr="006469CD">
        <w:rPr>
          <w:rFonts w:ascii="Palatino Linotype" w:hAnsi="Palatino Linotype" w:cs="Times New Roman"/>
        </w:rPr>
        <w:t>n de la parte actora o que no se indica en el grafo, ninguna relación que emane desde el nodo CG hacia alguno de los sujetos, generando dudas sobre cómo se conocieron las partes o si se conocían desde antes.</w:t>
      </w:r>
    </w:p>
    <w:p w14:paraId="71CAB57B"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Análogo a lo expuesto, las notaciones antedichas habilitan la posibilidad de compilar la información en bloques o conjuntos para el análisis por parte del jurista. Las </w:t>
      </w:r>
      <w:r w:rsidRPr="006469CD">
        <w:rPr>
          <w:rFonts w:ascii="Palatino Linotype" w:hAnsi="Palatino Linotype" w:cs="Times New Roman"/>
          <w:i/>
        </w:rPr>
        <w:t>“relaciones”</w:t>
      </w:r>
      <w:r w:rsidRPr="006469CD">
        <w:rPr>
          <w:rFonts w:ascii="Palatino Linotype" w:hAnsi="Palatino Linotype" w:cs="Times New Roman"/>
        </w:rPr>
        <w:t xml:space="preserve"> pueden agruparse tales como:</w:t>
      </w:r>
    </w:p>
    <w:p w14:paraId="08A11238" w14:textId="77777777" w:rsidR="00674E90" w:rsidRPr="006469CD" w:rsidRDefault="00674E90" w:rsidP="00674E90">
      <w:pPr>
        <w:spacing w:line="240" w:lineRule="auto"/>
        <w:ind w:firstLine="708"/>
        <w:jc w:val="center"/>
        <w:rPr>
          <w:rFonts w:ascii="Palatino Linotype" w:hAnsi="Palatino Linotype" w:cs="Times New Roman"/>
          <w:b/>
          <w:i/>
        </w:rPr>
      </w:pPr>
      <w:r w:rsidRPr="006469CD">
        <w:rPr>
          <w:rFonts w:ascii="Palatino Linotype" w:hAnsi="Palatino Linotype" w:cs="Times New Roman"/>
          <w:b/>
          <w:i/>
        </w:rPr>
        <w:t xml:space="preserve">{(MP </w:t>
      </w:r>
      <w:r w:rsidRPr="006469CD">
        <w:rPr>
          <w:rFonts w:ascii="Times New Roman" w:hAnsi="Times New Roman" w:cs="Times New Roman"/>
          <w:b/>
          <w:i/>
        </w:rPr>
        <w:t>→</w:t>
      </w:r>
      <w:r w:rsidRPr="006469CD">
        <w:rPr>
          <w:rFonts w:ascii="Palatino Linotype" w:hAnsi="Palatino Linotype" w:cs="Times New Roman"/>
          <w:b/>
          <w:i/>
        </w:rPr>
        <w:t xml:space="preserve"> CG), (MP </w:t>
      </w:r>
      <w:r w:rsidRPr="006469CD">
        <w:rPr>
          <w:rFonts w:ascii="Segoe UI Emoji" w:hAnsi="Segoe UI Emoji" w:cs="Segoe UI Emoji"/>
          <w:b/>
          <w:i/>
        </w:rPr>
        <w:t>↔</w:t>
      </w:r>
      <w:r w:rsidRPr="006469CD">
        <w:rPr>
          <w:rFonts w:ascii="Palatino Linotype" w:hAnsi="Palatino Linotype" w:cs="Times New Roman"/>
          <w:b/>
          <w:i/>
        </w:rPr>
        <w:t xml:space="preserve"> PS), (PS </w:t>
      </w:r>
      <w:r w:rsidRPr="006469CD">
        <w:rPr>
          <w:rFonts w:ascii="Times New Roman" w:hAnsi="Times New Roman" w:cs="Times New Roman"/>
          <w:b/>
          <w:i/>
        </w:rPr>
        <w:t>→</w:t>
      </w:r>
      <w:r w:rsidRPr="006469CD">
        <w:rPr>
          <w:rFonts w:ascii="Palatino Linotype" w:hAnsi="Palatino Linotype" w:cs="Times New Roman"/>
          <w:b/>
          <w:i/>
        </w:rPr>
        <w:t xml:space="preserve"> CG)}</w:t>
      </w:r>
    </w:p>
    <w:p w14:paraId="26449C6D"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lastRenderedPageBreak/>
        <w:t xml:space="preserve">Lo que equivale a un subgrafo del grafo mixto general de la demanda (Figura 5). Dicho conjunto de </w:t>
      </w:r>
      <w:r w:rsidRPr="006469CD">
        <w:rPr>
          <w:rFonts w:ascii="Palatino Linotype" w:hAnsi="Palatino Linotype" w:cs="Times New Roman"/>
          <w:i/>
        </w:rPr>
        <w:t xml:space="preserve">“relaciones” </w:t>
      </w:r>
      <w:r w:rsidRPr="006469CD">
        <w:rPr>
          <w:rFonts w:ascii="Palatino Linotype" w:hAnsi="Palatino Linotype" w:cs="Times New Roman"/>
        </w:rPr>
        <w:t xml:space="preserve">aluden a las comunicaciones y conflictos suscitados entre MP y CG. </w:t>
      </w:r>
      <w:r w:rsidRPr="006469CD">
        <w:rPr>
          <w:rFonts w:ascii="Palatino Linotype" w:hAnsi="Palatino Linotype" w:cs="Times New Roman"/>
          <w:i/>
        </w:rPr>
        <w:t>Las</w:t>
      </w:r>
      <w:r w:rsidRPr="006469CD">
        <w:rPr>
          <w:rFonts w:ascii="Palatino Linotype" w:hAnsi="Palatino Linotype" w:cs="Times New Roman"/>
        </w:rPr>
        <w:t xml:space="preserve"> </w:t>
      </w:r>
      <w:r w:rsidRPr="006469CD">
        <w:rPr>
          <w:rFonts w:ascii="Palatino Linotype" w:hAnsi="Palatino Linotype" w:cs="Times New Roman"/>
          <w:i/>
        </w:rPr>
        <w:t xml:space="preserve">“relaciones” </w:t>
      </w:r>
      <w:r w:rsidRPr="006469CD">
        <w:rPr>
          <w:rFonts w:ascii="Palatino Linotype" w:hAnsi="Palatino Linotype" w:cs="Times New Roman"/>
        </w:rPr>
        <w:t xml:space="preserve">y </w:t>
      </w:r>
      <w:r w:rsidRPr="006469CD">
        <w:rPr>
          <w:rFonts w:ascii="Palatino Linotype" w:hAnsi="Palatino Linotype" w:cs="Times New Roman"/>
          <w:i/>
        </w:rPr>
        <w:t>“conjuntos de hechos”</w:t>
      </w:r>
      <w:r w:rsidRPr="006469CD">
        <w:rPr>
          <w:rFonts w:ascii="Palatino Linotype" w:hAnsi="Palatino Linotype" w:cs="Times New Roman"/>
        </w:rPr>
        <w:t xml:space="preserve"> pueden entenderse como bloques de construcción, en sí, otra forma de expresar los datos del conflicto – más sintético – con los cuales se puede desarrollar o construir otros recursos, modelos o herramientas visuales, siempre y cuando, el grafo mixto general ya exista. </w:t>
      </w:r>
    </w:p>
    <w:p w14:paraId="3131D046" w14:textId="77777777" w:rsidR="00674E90" w:rsidRPr="006469CD" w:rsidRDefault="00674E90" w:rsidP="00674E90">
      <w:pPr>
        <w:pStyle w:val="Ttulo2"/>
        <w:rPr>
          <w:rFonts w:ascii="Palatino Linotype" w:hAnsi="Palatino Linotype" w:cs="Times New Roman"/>
          <w:b/>
          <w:i/>
          <w:color w:val="auto"/>
          <w:sz w:val="22"/>
          <w:szCs w:val="22"/>
        </w:rPr>
      </w:pPr>
      <w:r w:rsidRPr="006469CD">
        <w:rPr>
          <w:rFonts w:ascii="Palatino Linotype" w:hAnsi="Palatino Linotype" w:cs="Times New Roman"/>
          <w:b/>
          <w:i/>
          <w:color w:val="auto"/>
          <w:sz w:val="22"/>
          <w:szCs w:val="22"/>
        </w:rPr>
        <w:t xml:space="preserve">5.4) Cronología de los hechos </w:t>
      </w:r>
    </w:p>
    <w:p w14:paraId="5F0FDCA1"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Uno de los recursos posibles de desarrollar es una cronología de hechos. Tomando las </w:t>
      </w:r>
      <w:r w:rsidRPr="006469CD">
        <w:rPr>
          <w:rFonts w:ascii="Palatino Linotype" w:hAnsi="Palatino Linotype" w:cs="Times New Roman"/>
          <w:i/>
        </w:rPr>
        <w:t xml:space="preserve">“relaciones” </w:t>
      </w:r>
      <w:r w:rsidRPr="006469CD">
        <w:rPr>
          <w:rFonts w:ascii="Palatino Linotype" w:hAnsi="Palatino Linotype" w:cs="Times New Roman"/>
        </w:rPr>
        <w:t xml:space="preserve">como datos de referencia, se puede formular una tabla para situar los años de comisión de los hechos (véase Tabla 1). </w:t>
      </w:r>
    </w:p>
    <w:p w14:paraId="7E8FE619" w14:textId="77777777" w:rsidR="00674E90" w:rsidRPr="006469CD" w:rsidRDefault="00674E90" w:rsidP="00674E90">
      <w:pPr>
        <w:spacing w:line="240" w:lineRule="auto"/>
        <w:jc w:val="both"/>
        <w:rPr>
          <w:rFonts w:ascii="Palatino Linotype" w:hAnsi="Palatino Linotype" w:cs="Times New Roman"/>
          <w:b/>
        </w:rPr>
      </w:pPr>
      <w:r w:rsidRPr="006469CD">
        <w:rPr>
          <w:rFonts w:ascii="Palatino Linotype" w:hAnsi="Palatino Linotype" w:cs="Times New Roman"/>
          <w:b/>
        </w:rPr>
        <w:t xml:space="preserve">Tabla 1. </w:t>
      </w:r>
      <w:r w:rsidRPr="006469CD">
        <w:rPr>
          <w:rFonts w:ascii="Palatino Linotype" w:hAnsi="Palatino Linotype" w:cs="Times New Roman"/>
          <w:b/>
          <w:i/>
        </w:rPr>
        <w:t>Año de comisión de hechos</w:t>
      </w:r>
    </w:p>
    <w:tbl>
      <w:tblPr>
        <w:tblStyle w:val="Tablaconcuadrcula"/>
        <w:tblW w:w="6804"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253"/>
        <w:gridCol w:w="1275"/>
      </w:tblGrid>
      <w:tr w:rsidR="00674E90" w:rsidRPr="006469CD" w14:paraId="0861E8EF" w14:textId="77777777" w:rsidTr="000256DD">
        <w:trPr>
          <w:trHeight w:val="283"/>
          <w:jc w:val="center"/>
        </w:trPr>
        <w:tc>
          <w:tcPr>
            <w:tcW w:w="1276" w:type="dxa"/>
            <w:tcBorders>
              <w:top w:val="single" w:sz="4" w:space="0" w:color="auto"/>
              <w:bottom w:val="single" w:sz="4" w:space="0" w:color="auto"/>
            </w:tcBorders>
            <w:vAlign w:val="center"/>
          </w:tcPr>
          <w:p w14:paraId="717B5693" w14:textId="77777777" w:rsidR="00674E90" w:rsidRPr="006469CD" w:rsidRDefault="00674E90" w:rsidP="000256DD">
            <w:pPr>
              <w:rPr>
                <w:rFonts w:ascii="Palatino Linotype" w:hAnsi="Palatino Linotype" w:cs="Times New Roman"/>
                <w:b/>
              </w:rPr>
            </w:pPr>
            <w:r w:rsidRPr="006469CD">
              <w:rPr>
                <w:rFonts w:ascii="Palatino Linotype" w:hAnsi="Palatino Linotype" w:cs="Times New Roman"/>
                <w:b/>
              </w:rPr>
              <w:t>HECHO</w:t>
            </w:r>
          </w:p>
        </w:tc>
        <w:tc>
          <w:tcPr>
            <w:tcW w:w="4253" w:type="dxa"/>
            <w:tcBorders>
              <w:top w:val="single" w:sz="4" w:space="0" w:color="auto"/>
              <w:bottom w:val="single" w:sz="4" w:space="0" w:color="auto"/>
            </w:tcBorders>
            <w:vAlign w:val="center"/>
          </w:tcPr>
          <w:p w14:paraId="23B52B3B" w14:textId="77777777" w:rsidR="00674E90" w:rsidRPr="006469CD" w:rsidRDefault="00674E90" w:rsidP="000256DD">
            <w:pPr>
              <w:rPr>
                <w:rFonts w:ascii="Palatino Linotype" w:hAnsi="Palatino Linotype" w:cs="Times New Roman"/>
                <w:b/>
              </w:rPr>
            </w:pPr>
            <w:r w:rsidRPr="006469CD">
              <w:rPr>
                <w:rFonts w:ascii="Palatino Linotype" w:hAnsi="Palatino Linotype" w:cs="Times New Roman"/>
                <w:b/>
              </w:rPr>
              <w:t>RELACIÓN</w:t>
            </w:r>
          </w:p>
        </w:tc>
        <w:tc>
          <w:tcPr>
            <w:tcW w:w="1275" w:type="dxa"/>
            <w:tcBorders>
              <w:top w:val="single" w:sz="4" w:space="0" w:color="auto"/>
              <w:bottom w:val="single" w:sz="4" w:space="0" w:color="auto"/>
            </w:tcBorders>
            <w:vAlign w:val="center"/>
          </w:tcPr>
          <w:p w14:paraId="78484A93" w14:textId="77777777" w:rsidR="00674E90" w:rsidRPr="006469CD" w:rsidRDefault="00674E90" w:rsidP="000256DD">
            <w:pPr>
              <w:rPr>
                <w:rFonts w:ascii="Palatino Linotype" w:hAnsi="Palatino Linotype" w:cs="Times New Roman"/>
                <w:b/>
              </w:rPr>
            </w:pPr>
            <w:r w:rsidRPr="006469CD">
              <w:rPr>
                <w:rFonts w:ascii="Palatino Linotype" w:hAnsi="Palatino Linotype" w:cs="Times New Roman"/>
                <w:b/>
              </w:rPr>
              <w:t>AÑO</w:t>
            </w:r>
          </w:p>
        </w:tc>
      </w:tr>
      <w:tr w:rsidR="00674E90" w:rsidRPr="006469CD" w14:paraId="31127154" w14:textId="77777777" w:rsidTr="000256DD">
        <w:trPr>
          <w:trHeight w:val="359"/>
          <w:jc w:val="center"/>
        </w:trPr>
        <w:tc>
          <w:tcPr>
            <w:tcW w:w="1276" w:type="dxa"/>
            <w:tcBorders>
              <w:top w:val="single" w:sz="4" w:space="0" w:color="auto"/>
            </w:tcBorders>
          </w:tcPr>
          <w:p w14:paraId="2F31D24C" w14:textId="77777777" w:rsidR="00674E90" w:rsidRPr="006469CD" w:rsidRDefault="00674E90" w:rsidP="00D141D3">
            <w:pPr>
              <w:jc w:val="center"/>
              <w:rPr>
                <w:rFonts w:ascii="Palatino Linotype" w:hAnsi="Palatino Linotype" w:cs="Times New Roman"/>
              </w:rPr>
            </w:pPr>
            <w:r w:rsidRPr="006469CD">
              <w:rPr>
                <w:rFonts w:ascii="Palatino Linotype" w:hAnsi="Palatino Linotype" w:cs="Times New Roman"/>
              </w:rPr>
              <w:t>1</w:t>
            </w:r>
          </w:p>
        </w:tc>
        <w:tc>
          <w:tcPr>
            <w:tcW w:w="4253" w:type="dxa"/>
            <w:tcBorders>
              <w:top w:val="single" w:sz="4" w:space="0" w:color="auto"/>
            </w:tcBorders>
          </w:tcPr>
          <w:p w14:paraId="255D6D4D" w14:textId="77777777" w:rsidR="00674E90" w:rsidRPr="006469CD" w:rsidRDefault="00674E90" w:rsidP="00D141D3">
            <w:pPr>
              <w:rPr>
                <w:rFonts w:ascii="Palatino Linotype" w:hAnsi="Palatino Linotype" w:cs="Times New Roman"/>
              </w:rPr>
            </w:pPr>
            <w:r w:rsidRPr="006469CD">
              <w:rPr>
                <w:rFonts w:ascii="Palatino Linotype" w:hAnsi="Palatino Linotype" w:cs="Times New Roman"/>
              </w:rPr>
              <w:t xml:space="preserve">(JP </w:t>
            </w:r>
            <w:r w:rsidRPr="006469CD">
              <w:rPr>
                <w:rFonts w:ascii="Times New Roman" w:hAnsi="Times New Roman" w:cs="Times New Roman"/>
              </w:rPr>
              <w:t>→</w:t>
            </w:r>
            <w:r w:rsidRPr="006469CD">
              <w:rPr>
                <w:rFonts w:ascii="Palatino Linotype" w:hAnsi="Palatino Linotype" w:cs="Times New Roman"/>
              </w:rPr>
              <w:t xml:space="preserve"> M: 123456)</w:t>
            </w:r>
          </w:p>
        </w:tc>
        <w:tc>
          <w:tcPr>
            <w:tcW w:w="1275" w:type="dxa"/>
            <w:tcBorders>
              <w:top w:val="single" w:sz="4" w:space="0" w:color="auto"/>
            </w:tcBorders>
          </w:tcPr>
          <w:p w14:paraId="0C36E596" w14:textId="77777777" w:rsidR="00674E90" w:rsidRPr="006469CD" w:rsidRDefault="00674E90" w:rsidP="00D141D3">
            <w:pPr>
              <w:rPr>
                <w:rFonts w:ascii="Palatino Linotype" w:hAnsi="Palatino Linotype" w:cs="Times New Roman"/>
              </w:rPr>
            </w:pPr>
            <w:r w:rsidRPr="006469CD">
              <w:rPr>
                <w:rFonts w:ascii="Palatino Linotype" w:hAnsi="Palatino Linotype" w:cs="Times New Roman"/>
              </w:rPr>
              <w:t>1990</w:t>
            </w:r>
          </w:p>
        </w:tc>
      </w:tr>
      <w:tr w:rsidR="00674E90" w:rsidRPr="006469CD" w14:paraId="0777BC93" w14:textId="77777777" w:rsidTr="000256DD">
        <w:trPr>
          <w:trHeight w:val="375"/>
          <w:jc w:val="center"/>
        </w:trPr>
        <w:tc>
          <w:tcPr>
            <w:tcW w:w="1276" w:type="dxa"/>
          </w:tcPr>
          <w:p w14:paraId="2B926215" w14:textId="77777777" w:rsidR="00674E90" w:rsidRPr="006469CD" w:rsidRDefault="00674E90" w:rsidP="00D141D3">
            <w:pPr>
              <w:jc w:val="center"/>
              <w:rPr>
                <w:rFonts w:ascii="Palatino Linotype" w:hAnsi="Palatino Linotype" w:cs="Times New Roman"/>
              </w:rPr>
            </w:pPr>
            <w:r w:rsidRPr="006469CD">
              <w:rPr>
                <w:rFonts w:ascii="Palatino Linotype" w:hAnsi="Palatino Linotype" w:cs="Times New Roman"/>
              </w:rPr>
              <w:t>2</w:t>
            </w:r>
          </w:p>
        </w:tc>
        <w:tc>
          <w:tcPr>
            <w:tcW w:w="4253" w:type="dxa"/>
          </w:tcPr>
          <w:p w14:paraId="29C98CCF" w14:textId="77777777" w:rsidR="00674E90" w:rsidRPr="006469CD" w:rsidRDefault="00674E90" w:rsidP="00D141D3">
            <w:pPr>
              <w:rPr>
                <w:rFonts w:ascii="Palatino Linotype" w:hAnsi="Palatino Linotype" w:cs="Times New Roman"/>
              </w:rPr>
            </w:pPr>
            <w:r w:rsidRPr="006469CD">
              <w:rPr>
                <w:rFonts w:ascii="Palatino Linotype" w:hAnsi="Palatino Linotype" w:cs="Times New Roman"/>
              </w:rPr>
              <w:t xml:space="preserve">(CG </w:t>
            </w:r>
            <w:r w:rsidRPr="006469CD">
              <w:rPr>
                <w:rFonts w:ascii="Times New Roman" w:hAnsi="Times New Roman" w:cs="Times New Roman"/>
              </w:rPr>
              <w:t>→</w:t>
            </w:r>
            <w:r w:rsidRPr="006469CD">
              <w:rPr>
                <w:rFonts w:ascii="Palatino Linotype" w:hAnsi="Palatino Linotype" w:cs="Times New Roman"/>
              </w:rPr>
              <w:t xml:space="preserve"> M: 123456)</w:t>
            </w:r>
          </w:p>
        </w:tc>
        <w:tc>
          <w:tcPr>
            <w:tcW w:w="1275" w:type="dxa"/>
          </w:tcPr>
          <w:p w14:paraId="342B981F" w14:textId="77777777" w:rsidR="00674E90" w:rsidRPr="006469CD" w:rsidRDefault="00674E90" w:rsidP="00D141D3">
            <w:pPr>
              <w:rPr>
                <w:rFonts w:ascii="Palatino Linotype" w:hAnsi="Palatino Linotype" w:cs="Times New Roman"/>
              </w:rPr>
            </w:pPr>
            <w:r w:rsidRPr="006469CD">
              <w:rPr>
                <w:rFonts w:ascii="Palatino Linotype" w:hAnsi="Palatino Linotype" w:cs="Times New Roman"/>
              </w:rPr>
              <w:t>1988</w:t>
            </w:r>
          </w:p>
        </w:tc>
      </w:tr>
      <w:tr w:rsidR="00674E90" w:rsidRPr="006469CD" w14:paraId="27D9AADD" w14:textId="77777777" w:rsidTr="000256DD">
        <w:trPr>
          <w:trHeight w:val="375"/>
          <w:jc w:val="center"/>
        </w:trPr>
        <w:tc>
          <w:tcPr>
            <w:tcW w:w="1276" w:type="dxa"/>
          </w:tcPr>
          <w:p w14:paraId="178A08AE" w14:textId="77777777" w:rsidR="00674E90" w:rsidRPr="006469CD" w:rsidRDefault="00674E90" w:rsidP="00D141D3">
            <w:pPr>
              <w:jc w:val="center"/>
              <w:rPr>
                <w:rFonts w:ascii="Palatino Linotype" w:hAnsi="Palatino Linotype" w:cs="Times New Roman"/>
              </w:rPr>
            </w:pPr>
            <w:r w:rsidRPr="006469CD">
              <w:rPr>
                <w:rFonts w:ascii="Palatino Linotype" w:hAnsi="Palatino Linotype" w:cs="Times New Roman"/>
              </w:rPr>
              <w:t>3</w:t>
            </w:r>
          </w:p>
        </w:tc>
        <w:tc>
          <w:tcPr>
            <w:tcW w:w="4253" w:type="dxa"/>
          </w:tcPr>
          <w:p w14:paraId="257BB44F" w14:textId="77777777" w:rsidR="00674E90" w:rsidRPr="006469CD" w:rsidRDefault="00674E90" w:rsidP="00D141D3">
            <w:pPr>
              <w:rPr>
                <w:rFonts w:ascii="Palatino Linotype" w:hAnsi="Palatino Linotype" w:cs="Times New Roman"/>
              </w:rPr>
            </w:pPr>
            <w:r w:rsidRPr="006469CD">
              <w:rPr>
                <w:rFonts w:ascii="Palatino Linotype" w:hAnsi="Palatino Linotype" w:cs="Times New Roman"/>
              </w:rPr>
              <w:t xml:space="preserve">(CG </w:t>
            </w:r>
            <w:r w:rsidRPr="006469CD">
              <w:rPr>
                <w:rFonts w:ascii="Times New Roman" w:hAnsi="Times New Roman" w:cs="Times New Roman"/>
              </w:rPr>
              <w:t>→</w:t>
            </w:r>
            <w:r w:rsidRPr="006469CD">
              <w:rPr>
                <w:rFonts w:ascii="Palatino Linotype" w:hAnsi="Palatino Linotype" w:cs="Times New Roman"/>
              </w:rPr>
              <w:t xml:space="preserve"> M: 123456)</w:t>
            </w:r>
          </w:p>
        </w:tc>
        <w:tc>
          <w:tcPr>
            <w:tcW w:w="1275" w:type="dxa"/>
          </w:tcPr>
          <w:p w14:paraId="15C0FDEA" w14:textId="77777777" w:rsidR="00674E90" w:rsidRPr="006469CD" w:rsidRDefault="00674E90" w:rsidP="00D141D3">
            <w:pPr>
              <w:rPr>
                <w:rFonts w:ascii="Palatino Linotype" w:hAnsi="Palatino Linotype" w:cs="Times New Roman"/>
              </w:rPr>
            </w:pPr>
            <w:r w:rsidRPr="006469CD">
              <w:rPr>
                <w:rFonts w:ascii="Palatino Linotype" w:hAnsi="Palatino Linotype" w:cs="Times New Roman"/>
              </w:rPr>
              <w:t>1988</w:t>
            </w:r>
          </w:p>
        </w:tc>
      </w:tr>
      <w:tr w:rsidR="00674E90" w:rsidRPr="006469CD" w14:paraId="635A6304" w14:textId="77777777" w:rsidTr="000256DD">
        <w:trPr>
          <w:trHeight w:val="375"/>
          <w:jc w:val="center"/>
        </w:trPr>
        <w:tc>
          <w:tcPr>
            <w:tcW w:w="1276" w:type="dxa"/>
          </w:tcPr>
          <w:p w14:paraId="647CA43E" w14:textId="77777777" w:rsidR="00674E90" w:rsidRPr="006469CD" w:rsidRDefault="00674E90" w:rsidP="00D141D3">
            <w:pPr>
              <w:jc w:val="center"/>
              <w:rPr>
                <w:rFonts w:ascii="Palatino Linotype" w:hAnsi="Palatino Linotype" w:cs="Times New Roman"/>
              </w:rPr>
            </w:pPr>
            <w:r w:rsidRPr="006469CD">
              <w:rPr>
                <w:rFonts w:ascii="Palatino Linotype" w:hAnsi="Palatino Linotype" w:cs="Times New Roman"/>
              </w:rPr>
              <w:t>4</w:t>
            </w:r>
          </w:p>
        </w:tc>
        <w:tc>
          <w:tcPr>
            <w:tcW w:w="4253" w:type="dxa"/>
          </w:tcPr>
          <w:p w14:paraId="1CB5D510" w14:textId="77777777" w:rsidR="00674E90" w:rsidRPr="006469CD" w:rsidRDefault="00674E90" w:rsidP="00D141D3">
            <w:pPr>
              <w:rPr>
                <w:rFonts w:ascii="Palatino Linotype" w:hAnsi="Palatino Linotype" w:cs="Times New Roman"/>
              </w:rPr>
            </w:pPr>
            <w:r w:rsidRPr="006469CD">
              <w:rPr>
                <w:rFonts w:ascii="Palatino Linotype" w:hAnsi="Palatino Linotype" w:cs="Times New Roman"/>
              </w:rPr>
              <w:t xml:space="preserve">(MP </w:t>
            </w:r>
            <w:r w:rsidRPr="006469CD">
              <w:rPr>
                <w:rFonts w:ascii="Segoe UI Emoji" w:hAnsi="Segoe UI Emoji" w:cs="Segoe UI Emoji"/>
              </w:rPr>
              <w:t>↔</w:t>
            </w:r>
            <w:r w:rsidRPr="006469CD">
              <w:rPr>
                <w:rFonts w:ascii="Palatino Linotype" w:hAnsi="Palatino Linotype" w:cs="Times New Roman"/>
              </w:rPr>
              <w:t xml:space="preserve"> JP ), (MP </w:t>
            </w:r>
            <w:r w:rsidRPr="006469CD">
              <w:rPr>
                <w:rFonts w:ascii="Cambria Math" w:hAnsi="Cambria Math" w:cs="Cambria Math"/>
              </w:rPr>
              <w:t>↷</w:t>
            </w:r>
            <w:r w:rsidRPr="006469CD">
              <w:rPr>
                <w:rFonts w:ascii="Palatino Linotype" w:hAnsi="Palatino Linotype" w:cs="Times New Roman"/>
              </w:rPr>
              <w:t xml:space="preserve"> JP)</w:t>
            </w:r>
          </w:p>
        </w:tc>
        <w:tc>
          <w:tcPr>
            <w:tcW w:w="1275" w:type="dxa"/>
          </w:tcPr>
          <w:p w14:paraId="06BB87EE" w14:textId="77777777" w:rsidR="00674E90" w:rsidRPr="006469CD" w:rsidRDefault="00674E90" w:rsidP="00D141D3">
            <w:pPr>
              <w:rPr>
                <w:rFonts w:ascii="Palatino Linotype" w:hAnsi="Palatino Linotype" w:cs="Times New Roman"/>
              </w:rPr>
            </w:pPr>
            <w:r w:rsidRPr="006469CD">
              <w:rPr>
                <w:rFonts w:ascii="Palatino Linotype" w:hAnsi="Palatino Linotype" w:cs="Times New Roman"/>
              </w:rPr>
              <w:t>2000</w:t>
            </w:r>
          </w:p>
        </w:tc>
      </w:tr>
      <w:tr w:rsidR="00674E90" w:rsidRPr="006469CD" w14:paraId="27BA147D" w14:textId="77777777" w:rsidTr="000256DD">
        <w:trPr>
          <w:trHeight w:val="727"/>
          <w:jc w:val="center"/>
        </w:trPr>
        <w:tc>
          <w:tcPr>
            <w:tcW w:w="1276" w:type="dxa"/>
          </w:tcPr>
          <w:p w14:paraId="1D957B14" w14:textId="77777777" w:rsidR="00674E90" w:rsidRPr="006469CD" w:rsidRDefault="00674E90" w:rsidP="00D141D3">
            <w:pPr>
              <w:jc w:val="center"/>
              <w:rPr>
                <w:rFonts w:ascii="Palatino Linotype" w:hAnsi="Palatino Linotype" w:cs="Times New Roman"/>
              </w:rPr>
            </w:pPr>
            <w:r w:rsidRPr="006469CD">
              <w:rPr>
                <w:rFonts w:ascii="Palatino Linotype" w:hAnsi="Palatino Linotype" w:cs="Times New Roman"/>
              </w:rPr>
              <w:t>5</w:t>
            </w:r>
          </w:p>
        </w:tc>
        <w:tc>
          <w:tcPr>
            <w:tcW w:w="4253" w:type="dxa"/>
          </w:tcPr>
          <w:p w14:paraId="0A9F73F4" w14:textId="77777777" w:rsidR="00674E90" w:rsidRPr="006469CD" w:rsidRDefault="00674E90" w:rsidP="00D141D3">
            <w:pPr>
              <w:rPr>
                <w:rFonts w:ascii="Palatino Linotype" w:hAnsi="Palatino Linotype" w:cs="Times New Roman"/>
              </w:rPr>
            </w:pPr>
            <w:r w:rsidRPr="006469CD">
              <w:rPr>
                <w:rFonts w:ascii="Palatino Linotype" w:hAnsi="Palatino Linotype" w:cs="Times New Roman"/>
              </w:rPr>
              <w:t xml:space="preserve">(M: 123456 </w:t>
            </w:r>
            <w:r w:rsidRPr="006469CD">
              <w:rPr>
                <w:rFonts w:ascii="Times New Roman" w:hAnsi="Times New Roman" w:cs="Times New Roman"/>
              </w:rPr>
              <w:t>→</w:t>
            </w:r>
            <w:r w:rsidRPr="006469CD">
              <w:rPr>
                <w:rFonts w:ascii="Palatino Linotype" w:hAnsi="Palatino Linotype" w:cs="Times New Roman"/>
              </w:rPr>
              <w:t xml:space="preserve"> MP), (MP </w:t>
            </w:r>
            <w:r w:rsidRPr="006469CD">
              <w:rPr>
                <w:rFonts w:ascii="Segoe UI Emoji" w:hAnsi="Segoe UI Emoji" w:cs="Segoe UI Emoji"/>
              </w:rPr>
              <w:t>↔</w:t>
            </w:r>
            <w:r w:rsidRPr="006469CD">
              <w:rPr>
                <w:rFonts w:ascii="Palatino Linotype" w:hAnsi="Palatino Linotype" w:cs="Times New Roman"/>
              </w:rPr>
              <w:t xml:space="preserve"> PS), (MP </w:t>
            </w:r>
            <w:r w:rsidRPr="006469CD">
              <w:rPr>
                <w:rFonts w:ascii="Times New Roman" w:hAnsi="Times New Roman" w:cs="Times New Roman"/>
              </w:rPr>
              <w:t>→</w:t>
            </w:r>
            <w:r w:rsidRPr="006469CD">
              <w:rPr>
                <w:rFonts w:ascii="Palatino Linotype" w:hAnsi="Palatino Linotype" w:cs="Times New Roman"/>
              </w:rPr>
              <w:t xml:space="preserve"> CG), (PS </w:t>
            </w:r>
            <w:r w:rsidRPr="006469CD">
              <w:rPr>
                <w:rFonts w:ascii="Times New Roman" w:hAnsi="Times New Roman" w:cs="Times New Roman"/>
              </w:rPr>
              <w:t>→</w:t>
            </w:r>
            <w:r w:rsidRPr="006469CD">
              <w:rPr>
                <w:rFonts w:ascii="Palatino Linotype" w:hAnsi="Palatino Linotype" w:cs="Times New Roman"/>
              </w:rPr>
              <w:t xml:space="preserve"> CG)</w:t>
            </w:r>
          </w:p>
        </w:tc>
        <w:tc>
          <w:tcPr>
            <w:tcW w:w="1275" w:type="dxa"/>
          </w:tcPr>
          <w:p w14:paraId="22300845" w14:textId="77777777" w:rsidR="00674E90" w:rsidRPr="006469CD" w:rsidRDefault="00674E90" w:rsidP="00D141D3">
            <w:pPr>
              <w:rPr>
                <w:rFonts w:ascii="Palatino Linotype" w:hAnsi="Palatino Linotype" w:cs="Times New Roman"/>
              </w:rPr>
            </w:pPr>
            <w:r w:rsidRPr="006469CD">
              <w:rPr>
                <w:rFonts w:ascii="Palatino Linotype" w:hAnsi="Palatino Linotype" w:cs="Times New Roman"/>
              </w:rPr>
              <w:t>1988</w:t>
            </w:r>
          </w:p>
        </w:tc>
      </w:tr>
      <w:tr w:rsidR="00674E90" w:rsidRPr="006469CD" w14:paraId="39365956" w14:textId="77777777" w:rsidTr="000256DD">
        <w:trPr>
          <w:trHeight w:val="735"/>
          <w:jc w:val="center"/>
        </w:trPr>
        <w:tc>
          <w:tcPr>
            <w:tcW w:w="1276" w:type="dxa"/>
          </w:tcPr>
          <w:p w14:paraId="28B0B596" w14:textId="77777777" w:rsidR="00674E90" w:rsidRPr="006469CD" w:rsidRDefault="00674E90" w:rsidP="00D141D3">
            <w:pPr>
              <w:jc w:val="center"/>
              <w:rPr>
                <w:rFonts w:ascii="Palatino Linotype" w:hAnsi="Palatino Linotype" w:cs="Times New Roman"/>
              </w:rPr>
            </w:pPr>
            <w:r w:rsidRPr="006469CD">
              <w:rPr>
                <w:rFonts w:ascii="Palatino Linotype" w:hAnsi="Palatino Linotype" w:cs="Times New Roman"/>
              </w:rPr>
              <w:t>6</w:t>
            </w:r>
          </w:p>
        </w:tc>
        <w:tc>
          <w:tcPr>
            <w:tcW w:w="4253" w:type="dxa"/>
          </w:tcPr>
          <w:p w14:paraId="1E32FB7C" w14:textId="77777777" w:rsidR="00674E90" w:rsidRPr="006469CD" w:rsidRDefault="00674E90" w:rsidP="00D141D3">
            <w:pPr>
              <w:rPr>
                <w:rFonts w:ascii="Palatino Linotype" w:hAnsi="Palatino Linotype" w:cs="Times New Roman"/>
              </w:rPr>
            </w:pPr>
            <w:r w:rsidRPr="006469CD">
              <w:rPr>
                <w:rFonts w:ascii="Palatino Linotype" w:hAnsi="Palatino Linotype" w:cs="Times New Roman"/>
              </w:rPr>
              <w:t xml:space="preserve">(MP </w:t>
            </w:r>
            <w:r w:rsidRPr="006469CD">
              <w:rPr>
                <w:rFonts w:ascii="Segoe UI Emoji" w:hAnsi="Segoe UI Emoji" w:cs="Segoe UI Emoji"/>
              </w:rPr>
              <w:t>↔</w:t>
            </w:r>
            <w:r w:rsidRPr="006469CD">
              <w:rPr>
                <w:rFonts w:ascii="Palatino Linotype" w:hAnsi="Palatino Linotype" w:cs="Times New Roman"/>
              </w:rPr>
              <w:t xml:space="preserve"> PS), (MP </w:t>
            </w:r>
            <w:r w:rsidRPr="006469CD">
              <w:rPr>
                <w:rFonts w:ascii="Times New Roman" w:hAnsi="Times New Roman" w:cs="Times New Roman"/>
              </w:rPr>
              <w:t>→</w:t>
            </w:r>
            <w:r w:rsidRPr="006469CD">
              <w:rPr>
                <w:rFonts w:ascii="Palatino Linotype" w:hAnsi="Palatino Linotype" w:cs="Times New Roman"/>
              </w:rPr>
              <w:t xml:space="preserve"> CG), (PS </w:t>
            </w:r>
            <w:r w:rsidRPr="006469CD">
              <w:rPr>
                <w:rFonts w:ascii="Times New Roman" w:hAnsi="Times New Roman" w:cs="Times New Roman"/>
              </w:rPr>
              <w:t>→</w:t>
            </w:r>
            <w:r w:rsidRPr="006469CD">
              <w:rPr>
                <w:rFonts w:ascii="Palatino Linotype" w:hAnsi="Palatino Linotype" w:cs="Times New Roman"/>
              </w:rPr>
              <w:t xml:space="preserve"> CG)</w:t>
            </w:r>
          </w:p>
        </w:tc>
        <w:tc>
          <w:tcPr>
            <w:tcW w:w="1275" w:type="dxa"/>
          </w:tcPr>
          <w:p w14:paraId="24E67C2C" w14:textId="77777777" w:rsidR="00674E90" w:rsidRPr="006469CD" w:rsidRDefault="00674E90" w:rsidP="00D141D3">
            <w:pPr>
              <w:rPr>
                <w:rFonts w:ascii="Palatino Linotype" w:hAnsi="Palatino Linotype" w:cs="Times New Roman"/>
              </w:rPr>
            </w:pPr>
            <w:r w:rsidRPr="006469CD">
              <w:rPr>
                <w:rFonts w:ascii="Palatino Linotype" w:hAnsi="Palatino Linotype" w:cs="Times New Roman"/>
              </w:rPr>
              <w:t xml:space="preserve">1988 </w:t>
            </w:r>
          </w:p>
        </w:tc>
      </w:tr>
      <w:tr w:rsidR="00674E90" w:rsidRPr="006469CD" w14:paraId="125CF801" w14:textId="77777777" w:rsidTr="000256DD">
        <w:trPr>
          <w:trHeight w:val="752"/>
          <w:jc w:val="center"/>
        </w:trPr>
        <w:tc>
          <w:tcPr>
            <w:tcW w:w="1276" w:type="dxa"/>
          </w:tcPr>
          <w:p w14:paraId="750DF84E" w14:textId="77777777" w:rsidR="00674E90" w:rsidRPr="006469CD" w:rsidRDefault="00674E90" w:rsidP="00D141D3">
            <w:pPr>
              <w:jc w:val="center"/>
              <w:rPr>
                <w:rFonts w:ascii="Palatino Linotype" w:hAnsi="Palatino Linotype" w:cs="Times New Roman"/>
              </w:rPr>
            </w:pPr>
            <w:r w:rsidRPr="006469CD">
              <w:rPr>
                <w:rFonts w:ascii="Palatino Linotype" w:hAnsi="Palatino Linotype" w:cs="Times New Roman"/>
              </w:rPr>
              <w:t>7</w:t>
            </w:r>
          </w:p>
        </w:tc>
        <w:tc>
          <w:tcPr>
            <w:tcW w:w="4253" w:type="dxa"/>
          </w:tcPr>
          <w:p w14:paraId="33FBADCA" w14:textId="77777777" w:rsidR="00674E90" w:rsidRPr="006469CD" w:rsidRDefault="00674E90" w:rsidP="00D141D3">
            <w:pPr>
              <w:rPr>
                <w:rFonts w:ascii="Palatino Linotype" w:hAnsi="Palatino Linotype" w:cs="Times New Roman"/>
              </w:rPr>
            </w:pPr>
            <w:r w:rsidRPr="006469CD">
              <w:rPr>
                <w:rFonts w:ascii="Palatino Linotype" w:hAnsi="Palatino Linotype" w:cs="Times New Roman"/>
              </w:rPr>
              <w:t xml:space="preserve">(MP </w:t>
            </w:r>
            <w:r w:rsidRPr="006469CD">
              <w:rPr>
                <w:rFonts w:ascii="Segoe UI Emoji" w:hAnsi="Segoe UI Emoji" w:cs="Segoe UI Emoji"/>
              </w:rPr>
              <w:t>↔</w:t>
            </w:r>
            <w:r w:rsidRPr="006469CD">
              <w:rPr>
                <w:rFonts w:ascii="Palatino Linotype" w:hAnsi="Palatino Linotype" w:cs="Times New Roman"/>
              </w:rPr>
              <w:t xml:space="preserve"> PS), (MP </w:t>
            </w:r>
            <w:r w:rsidRPr="006469CD">
              <w:rPr>
                <w:rFonts w:ascii="Times New Roman" w:hAnsi="Times New Roman" w:cs="Times New Roman"/>
              </w:rPr>
              <w:t>→</w:t>
            </w:r>
            <w:r w:rsidRPr="006469CD">
              <w:rPr>
                <w:rFonts w:ascii="Palatino Linotype" w:hAnsi="Palatino Linotype" w:cs="Times New Roman"/>
              </w:rPr>
              <w:t xml:space="preserve"> CG), (PS </w:t>
            </w:r>
            <w:r w:rsidRPr="006469CD">
              <w:rPr>
                <w:rFonts w:ascii="Times New Roman" w:hAnsi="Times New Roman" w:cs="Times New Roman"/>
              </w:rPr>
              <w:t>→</w:t>
            </w:r>
            <w:r w:rsidRPr="006469CD">
              <w:rPr>
                <w:rFonts w:ascii="Palatino Linotype" w:hAnsi="Palatino Linotype" w:cs="Times New Roman"/>
              </w:rPr>
              <w:t xml:space="preserve"> CG)</w:t>
            </w:r>
          </w:p>
        </w:tc>
        <w:tc>
          <w:tcPr>
            <w:tcW w:w="1275" w:type="dxa"/>
          </w:tcPr>
          <w:p w14:paraId="5946F61F" w14:textId="77777777" w:rsidR="00674E90" w:rsidRPr="006469CD" w:rsidRDefault="00674E90" w:rsidP="00D141D3">
            <w:pPr>
              <w:rPr>
                <w:rFonts w:ascii="Palatino Linotype" w:hAnsi="Palatino Linotype" w:cs="Times New Roman"/>
              </w:rPr>
            </w:pPr>
            <w:r w:rsidRPr="006469CD">
              <w:rPr>
                <w:rFonts w:ascii="Palatino Linotype" w:hAnsi="Palatino Linotype" w:cs="Times New Roman"/>
              </w:rPr>
              <w:t xml:space="preserve">1988 </w:t>
            </w:r>
          </w:p>
        </w:tc>
      </w:tr>
      <w:tr w:rsidR="00674E90" w:rsidRPr="006469CD" w14:paraId="66E84C77" w14:textId="77777777" w:rsidTr="000256DD">
        <w:trPr>
          <w:trHeight w:val="375"/>
          <w:jc w:val="center"/>
        </w:trPr>
        <w:tc>
          <w:tcPr>
            <w:tcW w:w="1276" w:type="dxa"/>
          </w:tcPr>
          <w:p w14:paraId="13A2F1B1" w14:textId="77777777" w:rsidR="00674E90" w:rsidRPr="006469CD" w:rsidRDefault="00674E90" w:rsidP="00D141D3">
            <w:pPr>
              <w:jc w:val="center"/>
              <w:rPr>
                <w:rFonts w:ascii="Palatino Linotype" w:hAnsi="Palatino Linotype" w:cs="Times New Roman"/>
              </w:rPr>
            </w:pPr>
            <w:r w:rsidRPr="006469CD">
              <w:rPr>
                <w:rFonts w:ascii="Palatino Linotype" w:hAnsi="Palatino Linotype" w:cs="Times New Roman"/>
              </w:rPr>
              <w:t>8</w:t>
            </w:r>
          </w:p>
        </w:tc>
        <w:tc>
          <w:tcPr>
            <w:tcW w:w="4253" w:type="dxa"/>
          </w:tcPr>
          <w:p w14:paraId="6D1ED709" w14:textId="77777777" w:rsidR="00674E90" w:rsidRPr="006469CD" w:rsidRDefault="00674E90" w:rsidP="00D141D3">
            <w:pPr>
              <w:rPr>
                <w:rFonts w:ascii="Palatino Linotype" w:hAnsi="Palatino Linotype" w:cs="Times New Roman"/>
              </w:rPr>
            </w:pPr>
            <w:r w:rsidRPr="006469CD">
              <w:rPr>
                <w:rFonts w:ascii="Palatino Linotype" w:hAnsi="Palatino Linotype" w:cs="Times New Roman"/>
              </w:rPr>
              <w:t xml:space="preserve">(CG </w:t>
            </w:r>
            <w:r w:rsidRPr="006469CD">
              <w:rPr>
                <w:rFonts w:ascii="Times New Roman" w:hAnsi="Times New Roman" w:cs="Times New Roman"/>
              </w:rPr>
              <w:t>→</w:t>
            </w:r>
            <w:r w:rsidRPr="006469CD">
              <w:rPr>
                <w:rFonts w:ascii="Palatino Linotype" w:hAnsi="Palatino Linotype" w:cs="Times New Roman"/>
              </w:rPr>
              <w:t xml:space="preserve"> M: 123456)</w:t>
            </w:r>
          </w:p>
        </w:tc>
        <w:tc>
          <w:tcPr>
            <w:tcW w:w="1275" w:type="dxa"/>
          </w:tcPr>
          <w:p w14:paraId="532C55E6" w14:textId="77777777" w:rsidR="00674E90" w:rsidRPr="006469CD" w:rsidRDefault="00674E90" w:rsidP="00D141D3">
            <w:pPr>
              <w:rPr>
                <w:rFonts w:ascii="Palatino Linotype" w:hAnsi="Palatino Linotype" w:cs="Times New Roman"/>
              </w:rPr>
            </w:pPr>
            <w:r w:rsidRPr="006469CD">
              <w:rPr>
                <w:rFonts w:ascii="Palatino Linotype" w:hAnsi="Palatino Linotype" w:cs="Times New Roman"/>
              </w:rPr>
              <w:t xml:space="preserve">1988 </w:t>
            </w:r>
          </w:p>
        </w:tc>
      </w:tr>
      <w:tr w:rsidR="00674E90" w:rsidRPr="006469CD" w14:paraId="09F3BA71" w14:textId="77777777" w:rsidTr="000256DD">
        <w:trPr>
          <w:trHeight w:val="359"/>
          <w:jc w:val="center"/>
        </w:trPr>
        <w:tc>
          <w:tcPr>
            <w:tcW w:w="1276" w:type="dxa"/>
            <w:tcBorders>
              <w:bottom w:val="single" w:sz="4" w:space="0" w:color="auto"/>
            </w:tcBorders>
          </w:tcPr>
          <w:p w14:paraId="78CA715B" w14:textId="77777777" w:rsidR="00674E90" w:rsidRPr="006469CD" w:rsidRDefault="00674E90" w:rsidP="00D141D3">
            <w:pPr>
              <w:jc w:val="center"/>
              <w:rPr>
                <w:rFonts w:ascii="Palatino Linotype" w:hAnsi="Palatino Linotype" w:cs="Times New Roman"/>
              </w:rPr>
            </w:pPr>
            <w:r w:rsidRPr="006469CD">
              <w:rPr>
                <w:rFonts w:ascii="Palatino Linotype" w:hAnsi="Palatino Linotype" w:cs="Times New Roman"/>
              </w:rPr>
              <w:t>9</w:t>
            </w:r>
          </w:p>
        </w:tc>
        <w:tc>
          <w:tcPr>
            <w:tcW w:w="4253" w:type="dxa"/>
            <w:tcBorders>
              <w:bottom w:val="single" w:sz="4" w:space="0" w:color="auto"/>
            </w:tcBorders>
          </w:tcPr>
          <w:p w14:paraId="096BA121" w14:textId="77777777" w:rsidR="00674E90" w:rsidRPr="006469CD" w:rsidRDefault="00674E90" w:rsidP="00D141D3">
            <w:pPr>
              <w:rPr>
                <w:rFonts w:ascii="Palatino Linotype" w:hAnsi="Palatino Linotype" w:cs="Times New Roman"/>
              </w:rPr>
            </w:pPr>
            <w:r w:rsidRPr="006469CD">
              <w:rPr>
                <w:rFonts w:ascii="Palatino Linotype" w:hAnsi="Palatino Linotype" w:cs="Times New Roman"/>
              </w:rPr>
              <w:t xml:space="preserve">(JP </w:t>
            </w:r>
            <w:r w:rsidRPr="006469CD">
              <w:rPr>
                <w:rFonts w:ascii="Times New Roman" w:hAnsi="Times New Roman" w:cs="Times New Roman"/>
                <w:b/>
              </w:rPr>
              <w:t>→</w:t>
            </w:r>
            <w:r w:rsidRPr="006469CD">
              <w:rPr>
                <w:rFonts w:ascii="Palatino Linotype" w:hAnsi="Palatino Linotype" w:cs="Times New Roman"/>
              </w:rPr>
              <w:t xml:space="preserve"> CG)</w:t>
            </w:r>
          </w:p>
        </w:tc>
        <w:tc>
          <w:tcPr>
            <w:tcW w:w="1275" w:type="dxa"/>
            <w:tcBorders>
              <w:bottom w:val="single" w:sz="4" w:space="0" w:color="auto"/>
            </w:tcBorders>
          </w:tcPr>
          <w:p w14:paraId="01112637" w14:textId="77777777" w:rsidR="00674E90" w:rsidRPr="006469CD" w:rsidRDefault="00674E90" w:rsidP="00D141D3">
            <w:pPr>
              <w:rPr>
                <w:rFonts w:ascii="Palatino Linotype" w:hAnsi="Palatino Linotype" w:cs="Times New Roman"/>
              </w:rPr>
            </w:pPr>
            <w:r w:rsidRPr="006469CD">
              <w:rPr>
                <w:rFonts w:ascii="Palatino Linotype" w:hAnsi="Palatino Linotype" w:cs="Times New Roman"/>
              </w:rPr>
              <w:t>2000</w:t>
            </w:r>
          </w:p>
        </w:tc>
      </w:tr>
    </w:tbl>
    <w:p w14:paraId="664425D7" w14:textId="77777777" w:rsidR="00674E90" w:rsidRPr="006469CD" w:rsidRDefault="00674E90" w:rsidP="00674E90">
      <w:pPr>
        <w:spacing w:line="240" w:lineRule="auto"/>
        <w:ind w:firstLine="708"/>
        <w:jc w:val="both"/>
        <w:rPr>
          <w:rFonts w:ascii="Palatino Linotype" w:hAnsi="Palatino Linotype" w:cs="Times New Roman"/>
        </w:rPr>
      </w:pPr>
    </w:p>
    <w:p w14:paraId="5F6C9590"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Claro está, la Tabla 1 funciona para ubicar un año base para los hechos ocurridos, no ilustrar el transcurso del tiempo. Podemos definir una línea de tiempo tomando como guía la información presentada en la Tabla 1: </w:t>
      </w:r>
    </w:p>
    <w:p w14:paraId="6839ADDA" w14:textId="77777777" w:rsidR="00D141D3" w:rsidRDefault="00D141D3" w:rsidP="00674E90">
      <w:pPr>
        <w:spacing w:line="240" w:lineRule="auto"/>
        <w:ind w:firstLine="709"/>
        <w:jc w:val="center"/>
        <w:rPr>
          <w:rFonts w:ascii="Palatino Linotype" w:hAnsi="Palatino Linotype" w:cs="Times New Roman"/>
        </w:rPr>
      </w:pPr>
    </w:p>
    <w:p w14:paraId="3D67E220" w14:textId="77777777" w:rsidR="00D141D3" w:rsidRDefault="00D141D3" w:rsidP="00674E90">
      <w:pPr>
        <w:spacing w:line="240" w:lineRule="auto"/>
        <w:ind w:firstLine="709"/>
        <w:jc w:val="center"/>
        <w:rPr>
          <w:rFonts w:ascii="Palatino Linotype" w:hAnsi="Palatino Linotype" w:cs="Times New Roman"/>
        </w:rPr>
      </w:pPr>
    </w:p>
    <w:p w14:paraId="569A60C6" w14:textId="555AC35C" w:rsidR="00674E90" w:rsidRPr="006469CD" w:rsidRDefault="00674E90" w:rsidP="00674E90">
      <w:pPr>
        <w:spacing w:line="240" w:lineRule="auto"/>
        <w:ind w:firstLine="709"/>
        <w:jc w:val="center"/>
        <w:rPr>
          <w:rFonts w:ascii="Palatino Linotype" w:hAnsi="Palatino Linotype" w:cs="Times New Roman"/>
          <w:b/>
        </w:rPr>
      </w:pPr>
      <w:r w:rsidRPr="006469CD">
        <w:rPr>
          <w:rFonts w:ascii="Palatino Linotype" w:hAnsi="Palatino Linotype" w:cs="Times New Roman"/>
          <w:noProof/>
          <w:lang w:val="es-CR" w:eastAsia="es-CR"/>
        </w:rPr>
        <w:lastRenderedPageBreak/>
        <mc:AlternateContent>
          <mc:Choice Requires="wps">
            <w:drawing>
              <wp:anchor distT="0" distB="0" distL="114300" distR="114300" simplePos="0" relativeHeight="251668480" behindDoc="0" locked="0" layoutInCell="1" allowOverlap="1" wp14:anchorId="7AA47651" wp14:editId="125BFEC9">
                <wp:simplePos x="0" y="0"/>
                <wp:positionH relativeFrom="column">
                  <wp:posOffset>3693352</wp:posOffset>
                </wp:positionH>
                <wp:positionV relativeFrom="paragraph">
                  <wp:posOffset>217170</wp:posOffset>
                </wp:positionV>
                <wp:extent cx="21265" cy="1584252"/>
                <wp:effectExtent l="76200" t="19050" r="74295" b="54610"/>
                <wp:wrapNone/>
                <wp:docPr id="8" name="Conector recto de flecha 8"/>
                <wp:cNvGraphicFramePr/>
                <a:graphic xmlns:a="http://schemas.openxmlformats.org/drawingml/2006/main">
                  <a:graphicData uri="http://schemas.microsoft.com/office/word/2010/wordprocessingShape">
                    <wps:wsp>
                      <wps:cNvCnPr/>
                      <wps:spPr>
                        <a:xfrm flipH="1">
                          <a:off x="0" y="0"/>
                          <a:ext cx="21265" cy="158425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A821F2D">
              <v:shapetype id="_x0000_t32" coordsize="21600,21600" o:oned="t" filled="f" o:spt="32" path="m,l21600,21600e" w14:anchorId="4D968D0F">
                <v:path fillok="f" arrowok="t" o:connecttype="none"/>
                <o:lock v:ext="edit" shapetype="t"/>
              </v:shapetype>
              <v:shape id="Conector recto de flecha 8" style="position:absolute;margin-left:290.8pt;margin-top:17.1pt;width:1.65pt;height:124.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">
                <v:stroke joinstyle="miter" endarrow="block"/>
              </v:shape>
            </w:pict>
          </mc:Fallback>
        </mc:AlternateContent>
      </w:r>
      <w:r w:rsidRPr="006469CD">
        <w:rPr>
          <w:rFonts w:ascii="Palatino Linotype" w:hAnsi="Palatino Linotype" w:cs="Times New Roman"/>
        </w:rPr>
        <w:t xml:space="preserve">(M: 123456 </w:t>
      </w:r>
      <w:r w:rsidRPr="006469CD">
        <w:rPr>
          <w:rFonts w:ascii="Times New Roman" w:hAnsi="Times New Roman" w:cs="Times New Roman"/>
        </w:rPr>
        <w:t>→</w:t>
      </w:r>
      <w:r w:rsidRPr="006469CD">
        <w:rPr>
          <w:rFonts w:ascii="Palatino Linotype" w:hAnsi="Palatino Linotype" w:cs="Times New Roman"/>
        </w:rPr>
        <w:t xml:space="preserve"> MP) -- </w:t>
      </w:r>
      <w:r w:rsidRPr="006469CD">
        <w:rPr>
          <w:rFonts w:ascii="Palatino Linotype" w:hAnsi="Palatino Linotype" w:cs="Times New Roman"/>
          <w:b/>
        </w:rPr>
        <w:t>1988</w:t>
      </w:r>
    </w:p>
    <w:p w14:paraId="65557B5C" w14:textId="77777777" w:rsidR="00674E90" w:rsidRPr="006469CD" w:rsidRDefault="00674E90" w:rsidP="00674E90">
      <w:pPr>
        <w:spacing w:line="240" w:lineRule="auto"/>
        <w:ind w:left="3539" w:firstLine="1"/>
        <w:rPr>
          <w:rFonts w:ascii="Palatino Linotype" w:hAnsi="Palatino Linotype" w:cs="Times New Roman"/>
        </w:rPr>
      </w:pPr>
      <w:r w:rsidRPr="006469CD">
        <w:rPr>
          <w:rFonts w:ascii="Palatino Linotype" w:hAnsi="Palatino Linotype" w:cs="Times New Roman"/>
        </w:rPr>
        <w:t xml:space="preserve">     (CG </w:t>
      </w:r>
      <w:r w:rsidRPr="006469CD">
        <w:rPr>
          <w:rFonts w:ascii="Times New Roman" w:hAnsi="Times New Roman" w:cs="Times New Roman"/>
        </w:rPr>
        <w:t>→</w:t>
      </w:r>
      <w:r w:rsidRPr="006469CD">
        <w:rPr>
          <w:rFonts w:ascii="Palatino Linotype" w:hAnsi="Palatino Linotype" w:cs="Times New Roman"/>
        </w:rPr>
        <w:t xml:space="preserve"> M: 123456)</w:t>
      </w:r>
    </w:p>
    <w:p w14:paraId="1B6A6DB0" w14:textId="77777777" w:rsidR="00674E90" w:rsidRPr="006469CD" w:rsidRDefault="00674E90" w:rsidP="00674E90">
      <w:pPr>
        <w:spacing w:line="240" w:lineRule="auto"/>
        <w:ind w:firstLine="709"/>
        <w:jc w:val="center"/>
        <w:rPr>
          <w:rFonts w:ascii="Palatino Linotype" w:hAnsi="Palatino Linotype" w:cs="Times New Roman"/>
        </w:rPr>
      </w:pPr>
      <w:r w:rsidRPr="006469CD">
        <w:rPr>
          <w:rFonts w:ascii="Palatino Linotype" w:hAnsi="Palatino Linotype" w:cs="Times New Roman"/>
        </w:rPr>
        <w:t xml:space="preserve">              (MP </w:t>
      </w:r>
      <w:r w:rsidRPr="006469CD">
        <w:rPr>
          <w:rFonts w:ascii="Segoe UI Emoji" w:hAnsi="Segoe UI Emoji" w:cs="Segoe UI Emoji"/>
        </w:rPr>
        <w:t>↔</w:t>
      </w:r>
      <w:r w:rsidRPr="006469CD">
        <w:rPr>
          <w:rFonts w:ascii="Palatino Linotype" w:hAnsi="Palatino Linotype" w:cs="Times New Roman"/>
        </w:rPr>
        <w:t xml:space="preserve"> PS)</w:t>
      </w:r>
    </w:p>
    <w:p w14:paraId="5CFEB6AD" w14:textId="77777777" w:rsidR="00674E90" w:rsidRPr="006469CD" w:rsidRDefault="00674E90" w:rsidP="00674E90">
      <w:pPr>
        <w:spacing w:line="240" w:lineRule="auto"/>
        <w:ind w:firstLine="709"/>
        <w:jc w:val="center"/>
        <w:rPr>
          <w:rFonts w:ascii="Palatino Linotype" w:hAnsi="Palatino Linotype" w:cs="Times New Roman"/>
        </w:rPr>
      </w:pPr>
      <w:r w:rsidRPr="006469CD">
        <w:rPr>
          <w:rFonts w:ascii="Palatino Linotype" w:hAnsi="Palatino Linotype" w:cs="Times New Roman"/>
        </w:rPr>
        <w:t xml:space="preserve">             (MP </w:t>
      </w:r>
      <w:r w:rsidRPr="006469CD">
        <w:rPr>
          <w:rFonts w:ascii="Times New Roman" w:hAnsi="Times New Roman" w:cs="Times New Roman"/>
        </w:rPr>
        <w:t>→</w:t>
      </w:r>
      <w:r w:rsidRPr="006469CD">
        <w:rPr>
          <w:rFonts w:ascii="Palatino Linotype" w:hAnsi="Palatino Linotype" w:cs="Times New Roman"/>
        </w:rPr>
        <w:t xml:space="preserve"> CG)</w:t>
      </w:r>
    </w:p>
    <w:p w14:paraId="32B2FE77" w14:textId="77777777" w:rsidR="00674E90" w:rsidRPr="006469CD" w:rsidRDefault="00674E90" w:rsidP="00674E90">
      <w:pPr>
        <w:spacing w:line="240" w:lineRule="auto"/>
        <w:ind w:firstLine="709"/>
        <w:jc w:val="center"/>
        <w:rPr>
          <w:rFonts w:ascii="Palatino Linotype" w:hAnsi="Palatino Linotype" w:cs="Times New Roman"/>
          <w:b/>
        </w:rPr>
      </w:pPr>
      <w:r w:rsidRPr="006469CD">
        <w:rPr>
          <w:rFonts w:ascii="Palatino Linotype" w:hAnsi="Palatino Linotype" w:cs="Times New Roman"/>
        </w:rPr>
        <w:t xml:space="preserve">              (PS </w:t>
      </w:r>
      <w:r w:rsidRPr="006469CD">
        <w:rPr>
          <w:rFonts w:ascii="Times New Roman" w:hAnsi="Times New Roman" w:cs="Times New Roman"/>
        </w:rPr>
        <w:t>→</w:t>
      </w:r>
      <w:r w:rsidRPr="006469CD">
        <w:rPr>
          <w:rFonts w:ascii="Palatino Linotype" w:hAnsi="Palatino Linotype" w:cs="Times New Roman"/>
        </w:rPr>
        <w:t xml:space="preserve"> CG)</w:t>
      </w:r>
    </w:p>
    <w:p w14:paraId="750E5572" w14:textId="4CC7BFB9" w:rsidR="00674E90" w:rsidRPr="006469CD" w:rsidRDefault="00D141D3" w:rsidP="00674E90">
      <w:pPr>
        <w:spacing w:line="240" w:lineRule="auto"/>
        <w:ind w:firstLine="709"/>
        <w:jc w:val="center"/>
        <w:rPr>
          <w:rFonts w:ascii="Palatino Linotype" w:hAnsi="Palatino Linotype" w:cs="Times New Roman"/>
          <w:b/>
        </w:rPr>
      </w:pPr>
      <w:r w:rsidRPr="006469CD">
        <w:rPr>
          <w:rFonts w:ascii="Palatino Linotype" w:hAnsi="Palatino Linotype" w:cs="Times New Roman"/>
          <w:noProof/>
          <w:lang w:val="es-CR" w:eastAsia="es-CR"/>
        </w:rPr>
        <w:drawing>
          <wp:anchor distT="0" distB="0" distL="114300" distR="114300" simplePos="0" relativeHeight="251675648" behindDoc="0" locked="0" layoutInCell="1" allowOverlap="1" wp14:anchorId="5A10E333" wp14:editId="26130C3A">
            <wp:simplePos x="0" y="0"/>
            <wp:positionH relativeFrom="margin">
              <wp:align>center</wp:align>
            </wp:positionH>
            <wp:positionV relativeFrom="paragraph">
              <wp:posOffset>288798</wp:posOffset>
            </wp:positionV>
            <wp:extent cx="3928110" cy="479425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bgrafosCronología.png"/>
                    <pic:cNvPicPr/>
                  </pic:nvPicPr>
                  <pic:blipFill>
                    <a:blip r:embed="rId50">
                      <a:extLst>
                        <a:ext uri="{28A0092B-C50C-407E-A947-70E740481C1C}">
                          <a14:useLocalDpi xmlns:a14="http://schemas.microsoft.com/office/drawing/2010/main" val="0"/>
                        </a:ext>
                      </a:extLst>
                    </a:blip>
                    <a:stretch>
                      <a:fillRect/>
                    </a:stretch>
                  </pic:blipFill>
                  <pic:spPr>
                    <a:xfrm>
                      <a:off x="0" y="0"/>
                      <a:ext cx="3928110" cy="4794250"/>
                    </a:xfrm>
                    <a:prstGeom prst="rect">
                      <a:avLst/>
                    </a:prstGeom>
                  </pic:spPr>
                </pic:pic>
              </a:graphicData>
            </a:graphic>
            <wp14:sizeRelH relativeFrom="page">
              <wp14:pctWidth>0</wp14:pctWidth>
            </wp14:sizeRelH>
            <wp14:sizeRelV relativeFrom="page">
              <wp14:pctHeight>0</wp14:pctHeight>
            </wp14:sizeRelV>
          </wp:anchor>
        </w:drawing>
      </w:r>
      <w:r w:rsidR="00674E90" w:rsidRPr="006469CD">
        <w:rPr>
          <w:rFonts w:ascii="Palatino Linotype" w:hAnsi="Palatino Linotype" w:cs="Times New Roman"/>
        </w:rPr>
        <w:t xml:space="preserve">(JP </w:t>
      </w:r>
      <w:r w:rsidR="00674E90" w:rsidRPr="006469CD">
        <w:rPr>
          <w:rFonts w:ascii="Times New Roman" w:hAnsi="Times New Roman" w:cs="Times New Roman"/>
        </w:rPr>
        <w:t>→</w:t>
      </w:r>
      <w:r w:rsidR="00674E90" w:rsidRPr="006469CD">
        <w:rPr>
          <w:rFonts w:ascii="Palatino Linotype" w:hAnsi="Palatino Linotype" w:cs="Times New Roman"/>
        </w:rPr>
        <w:t xml:space="preserve"> M: 123456) -- </w:t>
      </w:r>
      <w:r w:rsidR="00674E90" w:rsidRPr="006469CD">
        <w:rPr>
          <w:rFonts w:ascii="Palatino Linotype" w:hAnsi="Palatino Linotype" w:cs="Times New Roman"/>
          <w:b/>
        </w:rPr>
        <w:t>1990</w:t>
      </w:r>
    </w:p>
    <w:p w14:paraId="41F0F8CA" w14:textId="77777777" w:rsidR="00674E90" w:rsidRPr="006469CD" w:rsidRDefault="00674E90" w:rsidP="00D141D3">
      <w:pPr>
        <w:spacing w:after="0" w:line="240" w:lineRule="auto"/>
        <w:ind w:firstLine="709"/>
        <w:jc w:val="center"/>
        <w:rPr>
          <w:rFonts w:ascii="Palatino Linotype" w:hAnsi="Palatino Linotype" w:cs="Times New Roman"/>
          <w:b/>
        </w:rPr>
      </w:pPr>
      <w:r w:rsidRPr="006469CD">
        <w:rPr>
          <w:rFonts w:ascii="Palatino Linotype" w:hAnsi="Palatino Linotype" w:cs="Times New Roman"/>
          <w:noProof/>
          <w:lang w:val="es-CR" w:eastAsia="es-CR"/>
        </w:rPr>
        <mc:AlternateContent>
          <mc:Choice Requires="wps">
            <w:drawing>
              <wp:anchor distT="0" distB="0" distL="114300" distR="114300" simplePos="0" relativeHeight="251669504" behindDoc="0" locked="0" layoutInCell="1" allowOverlap="1" wp14:anchorId="6E4A1426" wp14:editId="2AF3D950">
                <wp:simplePos x="0" y="0"/>
                <wp:positionH relativeFrom="column">
                  <wp:posOffset>3689758</wp:posOffset>
                </wp:positionH>
                <wp:positionV relativeFrom="paragraph">
                  <wp:posOffset>218611</wp:posOffset>
                </wp:positionV>
                <wp:extent cx="0" cy="457200"/>
                <wp:effectExtent l="57150" t="0" r="76200" b="38100"/>
                <wp:wrapNone/>
                <wp:docPr id="9" name="Conector recto de flecha 9"/>
                <wp:cNvGraphicFramePr/>
                <a:graphic xmlns:a="http://schemas.openxmlformats.org/drawingml/2006/main">
                  <a:graphicData uri="http://schemas.microsoft.com/office/word/2010/wordprocessingShape">
                    <wps:wsp>
                      <wps:cNvCnPr/>
                      <wps:spPr>
                        <a:xfrm>
                          <a:off x="0" y="0"/>
                          <a:ext cx="0" cy="4572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113B06E6">
              <v:shape id="Conector recto de flecha 9" style="position:absolute;margin-left:290.55pt;margin-top:17.2pt;width:0;height:36pt;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" w14:anchorId="7952B8D6">
                <v:stroke joinstyle="miter" endarrow="block"/>
              </v:shape>
            </w:pict>
          </mc:Fallback>
        </mc:AlternateContent>
      </w:r>
      <w:r w:rsidRPr="006469CD">
        <w:rPr>
          <w:rFonts w:ascii="Palatino Linotype" w:hAnsi="Palatino Linotype" w:cs="Times New Roman"/>
        </w:rPr>
        <w:t xml:space="preserve">            (MP </w:t>
      </w:r>
      <w:r w:rsidRPr="006469CD">
        <w:rPr>
          <w:rFonts w:ascii="Cambria Math" w:hAnsi="Cambria Math" w:cs="Cambria Math"/>
        </w:rPr>
        <w:t>↷</w:t>
      </w:r>
      <w:r w:rsidRPr="006469CD">
        <w:rPr>
          <w:rFonts w:ascii="Palatino Linotype" w:hAnsi="Palatino Linotype" w:cs="Times New Roman"/>
        </w:rPr>
        <w:t xml:space="preserve"> JP)</w:t>
      </w:r>
      <w:r w:rsidRPr="006469CD">
        <w:rPr>
          <w:rFonts w:ascii="Palatino Linotype" w:hAnsi="Palatino Linotype" w:cs="Times New Roman"/>
          <w:i/>
        </w:rPr>
        <w:t xml:space="preserve"> -- </w:t>
      </w:r>
      <w:r w:rsidRPr="006469CD">
        <w:rPr>
          <w:rFonts w:ascii="Palatino Linotype" w:hAnsi="Palatino Linotype" w:cs="Times New Roman"/>
          <w:b/>
        </w:rPr>
        <w:t>2000</w:t>
      </w:r>
    </w:p>
    <w:p w14:paraId="4B57ACBB" w14:textId="77777777" w:rsidR="00CE2C29" w:rsidRDefault="00674E90" w:rsidP="00CE2C29">
      <w:pPr>
        <w:spacing w:after="0" w:line="240" w:lineRule="auto"/>
        <w:ind w:firstLine="709"/>
        <w:jc w:val="center"/>
        <w:rPr>
          <w:rFonts w:ascii="Palatino Linotype" w:hAnsi="Palatino Linotype" w:cs="Times New Roman"/>
        </w:rPr>
      </w:pPr>
      <w:r w:rsidRPr="006469CD">
        <w:rPr>
          <w:rFonts w:ascii="Palatino Linotype" w:hAnsi="Palatino Linotype" w:cs="Times New Roman"/>
          <w:i/>
        </w:rPr>
        <w:t xml:space="preserve">        </w:t>
      </w:r>
      <w:r w:rsidRPr="006469CD">
        <w:rPr>
          <w:rFonts w:ascii="Palatino Linotype" w:hAnsi="Palatino Linotype" w:cs="Times New Roman"/>
        </w:rPr>
        <w:t xml:space="preserve">(JP </w:t>
      </w:r>
      <w:r w:rsidRPr="006469CD">
        <w:rPr>
          <w:rFonts w:ascii="Times New Roman" w:hAnsi="Times New Roman" w:cs="Times New Roman"/>
          <w:b/>
        </w:rPr>
        <w:t>→</w:t>
      </w:r>
      <w:r w:rsidRPr="006469CD">
        <w:rPr>
          <w:rFonts w:ascii="Palatino Linotype" w:hAnsi="Palatino Linotype" w:cs="Times New Roman"/>
        </w:rPr>
        <w:t xml:space="preserve"> CG)</w:t>
      </w:r>
    </w:p>
    <w:p w14:paraId="7C338D44" w14:textId="131297D6" w:rsidR="00674E90" w:rsidRPr="006469CD" w:rsidRDefault="00674E90" w:rsidP="00CE2C29">
      <w:pPr>
        <w:spacing w:after="0" w:line="240" w:lineRule="auto"/>
        <w:ind w:firstLine="709"/>
        <w:jc w:val="center"/>
        <w:rPr>
          <w:rFonts w:ascii="Palatino Linotype" w:hAnsi="Palatino Linotype" w:cs="Times New Roman"/>
        </w:rPr>
      </w:pPr>
      <w:r w:rsidRPr="006469CD">
        <w:rPr>
          <w:rFonts w:ascii="Palatino Linotype" w:hAnsi="Palatino Linotype" w:cs="Times New Roman"/>
        </w:rPr>
        <w:t>Figura 6. Subgrafos por orden cronológico</w:t>
      </w:r>
    </w:p>
    <w:p w14:paraId="60BF51ED"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lastRenderedPageBreak/>
        <w:t xml:space="preserve">La línea de tiempo como la Figura 6, nos muestra un detalle curioso: JP declara tener inscrito a su nombre, desde 1990, el inmueble M: 123456, sin embargo, la donación del inmueble sucedió hasta el año 2000, discordancia demostrada con las dos figuras anteriores. </w:t>
      </w:r>
    </w:p>
    <w:p w14:paraId="26B6E46A" w14:textId="77777777" w:rsidR="00674E90" w:rsidRPr="006469CD" w:rsidRDefault="00674E90" w:rsidP="00674E90">
      <w:pPr>
        <w:spacing w:line="240" w:lineRule="auto"/>
        <w:jc w:val="both"/>
        <w:rPr>
          <w:rFonts w:ascii="Palatino Linotype" w:hAnsi="Palatino Linotype" w:cs="Times New Roman"/>
          <w:lang w:val="es-CR"/>
        </w:rPr>
      </w:pPr>
      <w:r w:rsidRPr="006469CD">
        <w:rPr>
          <w:rFonts w:ascii="Palatino Linotype" w:hAnsi="Palatino Linotype" w:cs="Times New Roman"/>
        </w:rPr>
        <w:t xml:space="preserve">La producción de recursos o herramientas visuales como los exhibidos, pueden cooperar en la organización del expediente y en el examen probático del caso, para desembocar en una argumentación persuasiva que potencie el papel del abogado. La mayor virtud de la figura del grafo está en su capacidad fragmentar la información sin perder vista de su integridad, como se observa con los subgrafos de la Figura 6. Ello lo convierte en una herramienta de sumo provecho para la exposición fáctica e incluso para apoyo retórico. Del grafo mixto general propuesto, puntualizaremos algunos usos posibles deducidos a partir de su construcción: 1) Visualización de las dinámicas entre los elementos objetivos y subjetivos del proceso, a través de la organización de la información en un grafo mixto general del caso; 2) agrupación de los hechos en </w:t>
      </w:r>
      <w:r w:rsidRPr="006469CD">
        <w:rPr>
          <w:rFonts w:ascii="Palatino Linotype" w:hAnsi="Palatino Linotype" w:cs="Times New Roman"/>
          <w:i/>
        </w:rPr>
        <w:t>“conjuntos de hechos”</w:t>
      </w:r>
      <w:r w:rsidRPr="006469CD">
        <w:rPr>
          <w:rFonts w:ascii="Palatino Linotype" w:hAnsi="Palatino Linotype" w:cs="Times New Roman"/>
        </w:rPr>
        <w:t xml:space="preserve">, con el fin de determinar similitudes entre sus elementos; 3) notaciones como las </w:t>
      </w:r>
      <w:r w:rsidRPr="006469CD">
        <w:rPr>
          <w:rFonts w:ascii="Palatino Linotype" w:hAnsi="Palatino Linotype" w:cs="Times New Roman"/>
          <w:i/>
        </w:rPr>
        <w:t>“relaciones”</w:t>
      </w:r>
      <w:r w:rsidRPr="006469CD">
        <w:rPr>
          <w:rFonts w:ascii="Palatino Linotype" w:hAnsi="Palatino Linotype" w:cs="Times New Roman"/>
        </w:rPr>
        <w:t xml:space="preserve"> que sintetizan la información del caso y que sirvan como bloques para un sucesivo examen probático; 4) facilitar la ubicación errores en el planteamiento del caso; 4) por medio de las </w:t>
      </w:r>
      <w:r w:rsidRPr="006469CD">
        <w:rPr>
          <w:rFonts w:ascii="Palatino Linotype" w:hAnsi="Palatino Linotype" w:cs="Times New Roman"/>
          <w:i/>
        </w:rPr>
        <w:t xml:space="preserve">“relaciones” </w:t>
      </w:r>
      <w:r w:rsidRPr="006469CD">
        <w:rPr>
          <w:rFonts w:ascii="Palatino Linotype" w:hAnsi="Palatino Linotype" w:cs="Times New Roman"/>
        </w:rPr>
        <w:t xml:space="preserve">y </w:t>
      </w:r>
      <w:r w:rsidRPr="006469CD">
        <w:rPr>
          <w:rFonts w:ascii="Palatino Linotype" w:hAnsi="Palatino Linotype" w:cs="Times New Roman"/>
          <w:i/>
        </w:rPr>
        <w:t>“conjuntos de hechos”,</w:t>
      </w:r>
      <w:r w:rsidRPr="006469CD">
        <w:rPr>
          <w:rFonts w:ascii="Palatino Linotype" w:hAnsi="Palatino Linotype" w:cs="Times New Roman"/>
        </w:rPr>
        <w:t xml:space="preserve"> desarrollar o elaborar otros recursos o herramientas visuales para análisis; 5) como recurso mnemotécnico; 6) co</w:t>
      </w:r>
      <w:r w:rsidRPr="006469CD">
        <w:rPr>
          <w:rFonts w:ascii="Palatino Linotype" w:hAnsi="Palatino Linotype" w:cs="Times New Roman"/>
          <w:lang w:val="es-CR"/>
        </w:rPr>
        <w:t xml:space="preserve">mo recurso didáctico. </w:t>
      </w:r>
    </w:p>
    <w:p w14:paraId="51657EE3" w14:textId="77777777" w:rsidR="00674E90" w:rsidRPr="006469CD" w:rsidRDefault="00674E90" w:rsidP="00674E90">
      <w:pPr>
        <w:pStyle w:val="Ttulo1"/>
        <w:rPr>
          <w:rFonts w:ascii="Palatino Linotype" w:hAnsi="Palatino Linotype" w:cs="Times New Roman"/>
          <w:b w:val="0"/>
          <w:sz w:val="22"/>
          <w:szCs w:val="22"/>
        </w:rPr>
      </w:pPr>
      <w:r w:rsidRPr="006469CD">
        <w:rPr>
          <w:rFonts w:ascii="Palatino Linotype" w:hAnsi="Palatino Linotype" w:cs="Times New Roman"/>
          <w:sz w:val="22"/>
          <w:szCs w:val="22"/>
        </w:rPr>
        <w:t>6) CLASIFICACIÓN DE LOS HECHOS EN PRIMARIOS (THEMA PROBANDUM) Y SECUNDARIOS (SUBTHEMA PROBANDUM)</w:t>
      </w:r>
    </w:p>
    <w:p w14:paraId="3DC1B623"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Rescatando ideas de la estadística inferencial y ya que estamos lidiando con elementos que inciden entre sí, surge la siguiente interrogante: ¿Los hechos primarios (thema probandum) y secundarios (subthema probandum), pueden ser extraídos a partir del grafo mixto general, tomando como parámetro inicial la frecuencia de aparición de un </w:t>
      </w:r>
      <w:r w:rsidRPr="006469CD">
        <w:rPr>
          <w:rFonts w:ascii="Palatino Linotype" w:hAnsi="Palatino Linotype" w:cs="Times New Roman"/>
          <w:i/>
        </w:rPr>
        <w:t>“conjunto de hechos”</w:t>
      </w:r>
      <w:r w:rsidRPr="006469CD">
        <w:rPr>
          <w:rFonts w:ascii="Palatino Linotype" w:hAnsi="Palatino Linotype" w:cs="Times New Roman"/>
        </w:rPr>
        <w:t xml:space="preserve"> o los hechos propiamente dentro del mismo? Si se observa el grafo mixto general (Figura 5), notaremos un patrón subyacente: las </w:t>
      </w:r>
      <w:r w:rsidRPr="006469CD">
        <w:rPr>
          <w:rFonts w:ascii="Palatino Linotype" w:hAnsi="Palatino Linotype" w:cs="Times New Roman"/>
          <w:i/>
        </w:rPr>
        <w:t xml:space="preserve">“relaciones” </w:t>
      </w:r>
      <w:r w:rsidRPr="006469CD">
        <w:rPr>
          <w:rFonts w:ascii="Palatino Linotype" w:hAnsi="Palatino Linotype" w:cs="Times New Roman"/>
        </w:rPr>
        <w:t xml:space="preserve">(MP </w:t>
      </w:r>
      <w:r w:rsidRPr="006469CD">
        <w:rPr>
          <w:rFonts w:ascii="Times New Roman" w:hAnsi="Times New Roman" w:cs="Times New Roman"/>
        </w:rPr>
        <w:t>→</w:t>
      </w:r>
      <w:r w:rsidRPr="006469CD">
        <w:rPr>
          <w:rFonts w:ascii="Palatino Linotype" w:hAnsi="Palatino Linotype" w:cs="Times New Roman"/>
        </w:rPr>
        <w:t xml:space="preserve"> CG), (MP </w:t>
      </w:r>
      <w:r w:rsidRPr="006469CD">
        <w:rPr>
          <w:rFonts w:ascii="Segoe UI Emoji" w:hAnsi="Segoe UI Emoji" w:cs="Segoe UI Emoji"/>
        </w:rPr>
        <w:t>↔</w:t>
      </w:r>
      <w:r w:rsidRPr="006469CD">
        <w:rPr>
          <w:rFonts w:ascii="Palatino Linotype" w:hAnsi="Palatino Linotype" w:cs="Times New Roman"/>
        </w:rPr>
        <w:t xml:space="preserve"> PS), (PS </w:t>
      </w:r>
      <w:r w:rsidRPr="006469CD">
        <w:rPr>
          <w:rFonts w:ascii="Times New Roman" w:hAnsi="Times New Roman" w:cs="Times New Roman"/>
        </w:rPr>
        <w:t>→</w:t>
      </w:r>
      <w:r w:rsidRPr="006469CD">
        <w:rPr>
          <w:rFonts w:ascii="Palatino Linotype" w:hAnsi="Palatino Linotype" w:cs="Times New Roman"/>
        </w:rPr>
        <w:t xml:space="preserve"> CG), comparten el </w:t>
      </w:r>
      <w:r w:rsidRPr="006469CD">
        <w:rPr>
          <w:rFonts w:ascii="Palatino Linotype" w:hAnsi="Palatino Linotype" w:cs="Times New Roman"/>
          <w:i/>
        </w:rPr>
        <w:t>“conjunto de hecho”</w:t>
      </w:r>
      <w:r w:rsidRPr="006469CD">
        <w:rPr>
          <w:rFonts w:ascii="Palatino Linotype" w:hAnsi="Palatino Linotype" w:cs="Times New Roman"/>
        </w:rPr>
        <w:t xml:space="preserve"> {2, 5, 6, 7}, y este conjunto corresponde al de mayor frecuencia de aparición dentro del grafo mixto general (en tres ocasiones). Los hechos contenidos en tal conjunto serían los más probables de ser thema probandum, y se enfatiza más </w:t>
      </w:r>
      <w:r w:rsidRPr="006469CD">
        <w:rPr>
          <w:rFonts w:ascii="Palatino Linotype" w:hAnsi="Palatino Linotype" w:cs="Times New Roman"/>
        </w:rPr>
        <w:lastRenderedPageBreak/>
        <w:t>probables, debido a la naturaleza multiparadigmática de la argumentación legal.</w:t>
      </w:r>
    </w:p>
    <w:p w14:paraId="4B75373A"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También, si se desea especificar más la averiguación, listando los elementos (hechos) de los </w:t>
      </w:r>
      <w:r w:rsidRPr="006469CD">
        <w:rPr>
          <w:rFonts w:ascii="Palatino Linotype" w:hAnsi="Palatino Linotype" w:cs="Times New Roman"/>
          <w:i/>
        </w:rPr>
        <w:t>“conjuntos de hechos”</w:t>
      </w:r>
      <w:r w:rsidRPr="006469CD">
        <w:rPr>
          <w:rFonts w:ascii="Palatino Linotype" w:hAnsi="Palatino Linotype" w:cs="Times New Roman"/>
        </w:rPr>
        <w:t xml:space="preserve"> del grafo mixto general – incluyendo elementos repetidos – para extraer de esta forma la frecuencia:</w:t>
      </w:r>
    </w:p>
    <w:p w14:paraId="6AD49617" w14:textId="77777777" w:rsidR="00674E90" w:rsidRPr="006469CD" w:rsidRDefault="00674E90" w:rsidP="00674E90">
      <w:pPr>
        <w:spacing w:line="240" w:lineRule="auto"/>
        <w:ind w:firstLine="708"/>
        <w:jc w:val="center"/>
        <w:rPr>
          <w:rFonts w:ascii="Palatino Linotype" w:hAnsi="Palatino Linotype" w:cs="Times New Roman"/>
          <w:b/>
        </w:rPr>
      </w:pPr>
      <w:r w:rsidRPr="006469CD">
        <w:rPr>
          <w:rFonts w:ascii="Palatino Linotype" w:hAnsi="Palatino Linotype" w:cs="Times New Roman"/>
          <w:b/>
        </w:rPr>
        <w:t>2, 5, 6, 7, 2, 5, 6, 7, 2, 5, 6, 7, 2, 5, 2, 3, 8, 1, 4, 1, 4, 9</w:t>
      </w:r>
    </w:p>
    <w:p w14:paraId="788EF161"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El resultado que obtendríamos del conteo sería el siguiente: </w:t>
      </w:r>
    </w:p>
    <w:p w14:paraId="1ECF0E5A" w14:textId="77777777" w:rsidR="00674E90" w:rsidRPr="006469CD" w:rsidRDefault="00674E90" w:rsidP="00D141D3">
      <w:pPr>
        <w:spacing w:after="0" w:line="240" w:lineRule="auto"/>
        <w:jc w:val="center"/>
        <w:rPr>
          <w:rFonts w:ascii="Palatino Linotype" w:hAnsi="Palatino Linotype" w:cs="Times New Roman"/>
          <w:b/>
        </w:rPr>
      </w:pPr>
      <w:r w:rsidRPr="006469CD">
        <w:rPr>
          <w:rFonts w:ascii="Palatino Linotype" w:hAnsi="Palatino Linotype" w:cs="Times New Roman"/>
          <w:b/>
        </w:rPr>
        <w:t>2</w:t>
      </w:r>
      <w:r w:rsidRPr="006469CD">
        <w:rPr>
          <w:rFonts w:ascii="Palatino Linotype" w:hAnsi="Palatino Linotype" w:cs="Times New Roman"/>
          <w:b/>
          <w:vertAlign w:val="superscript"/>
        </w:rPr>
        <w:t xml:space="preserve"> </w:t>
      </w:r>
      <w:r w:rsidRPr="006469CD">
        <w:rPr>
          <w:rFonts w:ascii="Palatino Linotype" w:hAnsi="Palatino Linotype" w:cs="Times New Roman"/>
          <w:b/>
        </w:rPr>
        <w:t xml:space="preserve">= 5 repeticiones; </w:t>
      </w:r>
    </w:p>
    <w:p w14:paraId="08664CC5" w14:textId="77777777" w:rsidR="00674E90" w:rsidRPr="006469CD" w:rsidRDefault="00674E90" w:rsidP="00D141D3">
      <w:pPr>
        <w:spacing w:after="0" w:line="240" w:lineRule="auto"/>
        <w:jc w:val="center"/>
        <w:rPr>
          <w:rFonts w:ascii="Palatino Linotype" w:hAnsi="Palatino Linotype" w:cs="Times New Roman"/>
          <w:b/>
        </w:rPr>
      </w:pPr>
      <w:r w:rsidRPr="006469CD">
        <w:rPr>
          <w:rFonts w:ascii="Palatino Linotype" w:hAnsi="Palatino Linotype" w:cs="Times New Roman"/>
          <w:b/>
        </w:rPr>
        <w:t>5</w:t>
      </w:r>
      <w:r w:rsidRPr="006469CD">
        <w:rPr>
          <w:rFonts w:ascii="Palatino Linotype" w:hAnsi="Palatino Linotype" w:cs="Times New Roman"/>
          <w:b/>
          <w:vertAlign w:val="superscript"/>
        </w:rPr>
        <w:t xml:space="preserve"> </w:t>
      </w:r>
      <w:r w:rsidRPr="006469CD">
        <w:rPr>
          <w:rFonts w:ascii="Palatino Linotype" w:hAnsi="Palatino Linotype" w:cs="Times New Roman"/>
          <w:b/>
        </w:rPr>
        <w:t xml:space="preserve">= 4 repeticiones; </w:t>
      </w:r>
    </w:p>
    <w:p w14:paraId="579BCC46" w14:textId="77777777" w:rsidR="00674E90" w:rsidRPr="006469CD" w:rsidRDefault="00674E90" w:rsidP="00D141D3">
      <w:pPr>
        <w:spacing w:after="0" w:line="240" w:lineRule="auto"/>
        <w:jc w:val="center"/>
        <w:rPr>
          <w:rFonts w:ascii="Palatino Linotype" w:hAnsi="Palatino Linotype" w:cs="Times New Roman"/>
          <w:b/>
        </w:rPr>
      </w:pPr>
      <w:r w:rsidRPr="006469CD">
        <w:rPr>
          <w:rFonts w:ascii="Palatino Linotype" w:hAnsi="Palatino Linotype" w:cs="Times New Roman"/>
          <w:b/>
        </w:rPr>
        <w:t>6</w:t>
      </w:r>
      <w:r w:rsidRPr="006469CD">
        <w:rPr>
          <w:rFonts w:ascii="Palatino Linotype" w:hAnsi="Palatino Linotype" w:cs="Times New Roman"/>
          <w:b/>
          <w:vertAlign w:val="superscript"/>
        </w:rPr>
        <w:t xml:space="preserve"> </w:t>
      </w:r>
      <w:r w:rsidRPr="006469CD">
        <w:rPr>
          <w:rFonts w:ascii="Palatino Linotype" w:hAnsi="Palatino Linotype" w:cs="Times New Roman"/>
          <w:b/>
        </w:rPr>
        <w:t xml:space="preserve">= 3 repeticiones; </w:t>
      </w:r>
    </w:p>
    <w:p w14:paraId="0EF887CD" w14:textId="77777777" w:rsidR="00674E90" w:rsidRPr="006469CD" w:rsidRDefault="00674E90" w:rsidP="00D141D3">
      <w:pPr>
        <w:spacing w:after="0" w:line="240" w:lineRule="auto"/>
        <w:jc w:val="center"/>
        <w:rPr>
          <w:rFonts w:ascii="Palatino Linotype" w:hAnsi="Palatino Linotype" w:cs="Times New Roman"/>
          <w:b/>
        </w:rPr>
      </w:pPr>
      <w:r w:rsidRPr="006469CD">
        <w:rPr>
          <w:rFonts w:ascii="Palatino Linotype" w:hAnsi="Palatino Linotype" w:cs="Times New Roman"/>
          <w:b/>
        </w:rPr>
        <w:t xml:space="preserve">7 = 3 repeticiones; </w:t>
      </w:r>
    </w:p>
    <w:p w14:paraId="6F7E8C4D" w14:textId="77777777" w:rsidR="00674E90" w:rsidRPr="006469CD" w:rsidRDefault="00674E90" w:rsidP="00D141D3">
      <w:pPr>
        <w:spacing w:after="0" w:line="240" w:lineRule="auto"/>
        <w:jc w:val="center"/>
        <w:rPr>
          <w:rFonts w:ascii="Palatino Linotype" w:hAnsi="Palatino Linotype" w:cs="Times New Roman"/>
          <w:b/>
        </w:rPr>
      </w:pPr>
      <w:r w:rsidRPr="006469CD">
        <w:rPr>
          <w:rFonts w:ascii="Palatino Linotype" w:hAnsi="Palatino Linotype" w:cs="Times New Roman"/>
          <w:b/>
        </w:rPr>
        <w:t>1 = 2 repeticiones;</w:t>
      </w:r>
    </w:p>
    <w:p w14:paraId="64D95517" w14:textId="77777777" w:rsidR="00674E90" w:rsidRPr="006469CD" w:rsidRDefault="00674E90" w:rsidP="00D141D3">
      <w:pPr>
        <w:spacing w:after="0" w:line="240" w:lineRule="auto"/>
        <w:jc w:val="center"/>
        <w:rPr>
          <w:rFonts w:ascii="Palatino Linotype" w:hAnsi="Palatino Linotype" w:cs="Times New Roman"/>
          <w:b/>
        </w:rPr>
      </w:pPr>
      <w:r w:rsidRPr="006469CD">
        <w:rPr>
          <w:rFonts w:ascii="Palatino Linotype" w:hAnsi="Palatino Linotype" w:cs="Times New Roman"/>
          <w:b/>
        </w:rPr>
        <w:t xml:space="preserve">4 = 2 repeticiones; </w:t>
      </w:r>
    </w:p>
    <w:p w14:paraId="00A23B96" w14:textId="77777777" w:rsidR="00674E90" w:rsidRPr="006469CD" w:rsidRDefault="00674E90" w:rsidP="00D141D3">
      <w:pPr>
        <w:spacing w:after="0" w:line="240" w:lineRule="auto"/>
        <w:jc w:val="center"/>
        <w:rPr>
          <w:rFonts w:ascii="Palatino Linotype" w:hAnsi="Palatino Linotype" w:cs="Times New Roman"/>
          <w:b/>
        </w:rPr>
      </w:pPr>
      <w:r w:rsidRPr="006469CD">
        <w:rPr>
          <w:rFonts w:ascii="Palatino Linotype" w:hAnsi="Palatino Linotype" w:cs="Times New Roman"/>
          <w:b/>
        </w:rPr>
        <w:t xml:space="preserve">3 = 1 repetición; </w:t>
      </w:r>
    </w:p>
    <w:p w14:paraId="6AD49001" w14:textId="77777777" w:rsidR="00674E90" w:rsidRPr="006469CD" w:rsidRDefault="00674E90" w:rsidP="00D141D3">
      <w:pPr>
        <w:spacing w:after="0" w:line="240" w:lineRule="auto"/>
        <w:jc w:val="center"/>
        <w:rPr>
          <w:rFonts w:ascii="Palatino Linotype" w:hAnsi="Palatino Linotype" w:cs="Times New Roman"/>
          <w:b/>
        </w:rPr>
      </w:pPr>
      <w:r w:rsidRPr="006469CD">
        <w:rPr>
          <w:rFonts w:ascii="Palatino Linotype" w:hAnsi="Palatino Linotype" w:cs="Times New Roman"/>
          <w:b/>
        </w:rPr>
        <w:t xml:space="preserve">8 = 1 repetición; </w:t>
      </w:r>
    </w:p>
    <w:p w14:paraId="77A55E23" w14:textId="77777777" w:rsidR="00674E90" w:rsidRPr="006469CD" w:rsidRDefault="00674E90" w:rsidP="00D141D3">
      <w:pPr>
        <w:spacing w:after="0" w:line="240" w:lineRule="auto"/>
        <w:jc w:val="center"/>
        <w:rPr>
          <w:rFonts w:ascii="Palatino Linotype" w:hAnsi="Palatino Linotype" w:cs="Times New Roman"/>
          <w:b/>
        </w:rPr>
      </w:pPr>
      <w:r w:rsidRPr="006469CD">
        <w:rPr>
          <w:rFonts w:ascii="Palatino Linotype" w:hAnsi="Palatino Linotype" w:cs="Times New Roman"/>
          <w:b/>
        </w:rPr>
        <w:t>9 = 1 repetición;</w:t>
      </w:r>
    </w:p>
    <w:p w14:paraId="1E196020"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Dando así con los hechos de mayor (aquellos con el exponencial de 3 o más) y menor (aquellos con exponencial de 3 o menos) presencia dentro del grafo mixto general, funcionando como punto de arranque de donde se puede comenzar a clasificar los hechos en principales o accesorios. </w:t>
      </w:r>
    </w:p>
    <w:p w14:paraId="4E896565"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Por ejemplo, sabemos que el thema probandum versa sobre los hechos controvertidos del conflicto. El motivo de la demanda gira alrededor de la invasión de CG sobre el inmueble propiedad de JP (hecho 2), mas no sería posible entender la escala de las acciones lesivas de CG sin la adjudicación de la finca a MP vía remate judicial (hecho 5) y las sucesivas advertencias a CG para salir de la propiedad (hecho 6). Por otra parte, el hecho 7, nos brinda la calidad de los actos de CG que son de mala fe. </w:t>
      </w:r>
    </w:p>
    <w:p w14:paraId="0803AF42"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Ahora bien, a pesar que la demanda fue interpuesta por JP precisamente porque no pudo ejercer posesión sobre el inmueble inscrito a su nombre (hecho 1 y 9), agréguese a esto la construcción hecha por CG (hecho 8), tales hechos son secundarios o accesorios, ya que son consecuencia de actuaciones anteriores de mala fe procedentes de CG y que más bien a JP le fueron donados (hecho 4). Es subthema probandum en razón de que los hechos realmente controversiales de probar son aquellos que datan desde cuando </w:t>
      </w:r>
      <w:r w:rsidRPr="006469CD">
        <w:rPr>
          <w:rFonts w:ascii="Palatino Linotype" w:hAnsi="Palatino Linotype" w:cs="Times New Roman"/>
        </w:rPr>
        <w:lastRenderedPageBreak/>
        <w:t>JP no era el propietario de la finca, sino su padre, ya que de esta forma se logra probar la posesión de mala fe de CG.</w:t>
      </w:r>
    </w:p>
    <w:p w14:paraId="1067291B"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En síntesis, el thema probandum del caso sería: </w:t>
      </w:r>
      <w:r w:rsidRPr="006469CD">
        <w:rPr>
          <w:rFonts w:ascii="Palatino Linotype" w:hAnsi="Palatino Linotype" w:cs="Times New Roman"/>
          <w:i/>
        </w:rPr>
        <w:t xml:space="preserve">“CG invadió un inmueble, que en un inicio le fue adjudicado vía remate judicial a MP y que a pesar de múltiples advertencias, continuó poseyendo de mala fe.” </w:t>
      </w:r>
      <w:r w:rsidRPr="006469CD">
        <w:rPr>
          <w:rFonts w:ascii="Palatino Linotype" w:hAnsi="Palatino Linotype" w:cs="Times New Roman"/>
        </w:rPr>
        <w:t xml:space="preserve">Los hechos de referencia serían el 2, 5, 6 y 7. Mientras que el subthema probandum: </w:t>
      </w:r>
      <w:r w:rsidRPr="006469CD">
        <w:rPr>
          <w:rFonts w:ascii="Palatino Linotype" w:hAnsi="Palatino Linotype" w:cs="Times New Roman"/>
          <w:i/>
        </w:rPr>
        <w:t>“JP recibió por donación el inmueble por parte de su padre MP y ahora demanda por daños y perjuicio a CG por posesión ilegítima”</w:t>
      </w:r>
      <w:r w:rsidRPr="006469CD">
        <w:rPr>
          <w:rFonts w:ascii="Palatino Linotype" w:hAnsi="Palatino Linotype" w:cs="Times New Roman"/>
        </w:rPr>
        <w:t xml:space="preserve">, referenciando los hechos 1, 3, 4, 8 y 9. </w:t>
      </w:r>
    </w:p>
    <w:p w14:paraId="60A0B823" w14:textId="77777777" w:rsidR="00674E90" w:rsidRPr="006469CD" w:rsidRDefault="00674E90" w:rsidP="00674E90">
      <w:pPr>
        <w:pStyle w:val="Ttulo1"/>
        <w:rPr>
          <w:rFonts w:ascii="Palatino Linotype" w:hAnsi="Palatino Linotype" w:cs="Times New Roman"/>
          <w:b w:val="0"/>
          <w:sz w:val="22"/>
          <w:szCs w:val="22"/>
        </w:rPr>
      </w:pPr>
      <w:r w:rsidRPr="006469CD">
        <w:rPr>
          <w:rFonts w:ascii="Palatino Linotype" w:hAnsi="Palatino Linotype" w:cs="Times New Roman"/>
          <w:sz w:val="22"/>
          <w:szCs w:val="22"/>
        </w:rPr>
        <w:t>7) CONSTRUCCIÓN DE UN HEURIGRAMA</w:t>
      </w:r>
    </w:p>
    <w:p w14:paraId="10C513EC"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La inclusión del heurigrama (Figura 7) dentro del PP, parte de la necesidad de sintetizar los resultados de las labores iniciales de organización y de cubrir información que de otro modo sobrecargaría el grafo mixto general. El heurigrama contempla como elementos primarios de la plantilla, el genothema probandi (supuesto de hecho normativo), el thema probandi (proposición factual específica), el subthema probandi (indicios), fijación (medios y actividades de prueba), verificación instrumental (prueba de la prueba), información (contra-argumento) y los argumentos (máximas de la experiencia).</w:t>
      </w:r>
    </w:p>
    <w:p w14:paraId="739A0C37" w14:textId="77777777" w:rsidR="00674E90" w:rsidRPr="006469CD" w:rsidRDefault="00674E90" w:rsidP="00674E90">
      <w:pPr>
        <w:spacing w:line="240" w:lineRule="auto"/>
        <w:jc w:val="both"/>
        <w:rPr>
          <w:rFonts w:ascii="Palatino Linotype" w:hAnsi="Palatino Linotype" w:cs="Times New Roman"/>
          <w:i/>
        </w:rPr>
      </w:pPr>
      <w:r w:rsidRPr="006469CD">
        <w:rPr>
          <w:rFonts w:ascii="Palatino Linotype" w:hAnsi="Palatino Linotype" w:cs="Times New Roman"/>
        </w:rPr>
        <w:t xml:space="preserve">El genothema probandi para el caso que nos concierne, sería la de una acción reivindicatoria producto de una posesión de mala fe. Son tres los requisitos para ejercer una acción reivindicatoria: 1) Identidad de la cosa, 2) título de propiedad, 3) posesión ilegítima. A continuación el supuesto de hecho normativo, se especifica en un thema probandi, determinado en la sección anterior como los hechos 2, 5, 6 y 7, que son los más controversiales y se resumen en la proposición: </w:t>
      </w:r>
      <w:r w:rsidRPr="006469CD">
        <w:rPr>
          <w:rFonts w:ascii="Palatino Linotype" w:hAnsi="Palatino Linotype" w:cs="Times New Roman"/>
          <w:i/>
        </w:rPr>
        <w:t>“CG invadió un inmueble, que en un inicio le fue adjudicado vía remate judicial a MP y que a pesar de múltiples advertencias, continuó poseyendo de mala fe.”</w:t>
      </w:r>
    </w:p>
    <w:p w14:paraId="77D37EC2"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En lo que respecta al subthema probandi, este son los indicios que se usarán para probar el thema probandi; no obstante, ampliaremos dicha concepción para incluir los hechos consecuencia de o secundarios a los del thema probandi y que serán los hechos 1, 3, 4, 8 y 9, los cuales plasman los efectos adversos producidos por la invasión del CG, compilados en la proposición: </w:t>
      </w:r>
      <w:r w:rsidRPr="006469CD">
        <w:rPr>
          <w:rFonts w:ascii="Palatino Linotype" w:hAnsi="Palatino Linotype" w:cs="Times New Roman"/>
          <w:i/>
        </w:rPr>
        <w:t>“JP recibió por donación el inmueble por parte de su padre MP y ahora demanda por daños y perjuicio a CG por posesión ilegítima.”</w:t>
      </w:r>
    </w:p>
    <w:p w14:paraId="07B2BE28"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lastRenderedPageBreak/>
        <w:t xml:space="preserve">Agregando dos celdas más a la estructura por defecto del “heurigrama”, con el objetivo de no perder el hilo conductor y la perspectiva macro del caso, se debe de escribir las referencias al grafo mixto general en formato de </w:t>
      </w:r>
      <w:r w:rsidRPr="006469CD">
        <w:rPr>
          <w:rFonts w:ascii="Palatino Linotype" w:hAnsi="Palatino Linotype" w:cs="Times New Roman"/>
          <w:i/>
        </w:rPr>
        <w:t>“relaciones”</w:t>
      </w:r>
      <w:r w:rsidRPr="006469CD">
        <w:rPr>
          <w:rFonts w:ascii="Palatino Linotype" w:hAnsi="Palatino Linotype" w:cs="Times New Roman"/>
        </w:rPr>
        <w:t>, tanto del thema probandi como del subthema probandi.</w:t>
      </w:r>
    </w:p>
    <w:p w14:paraId="6F35CABD"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La fijación contiene los medios y actividades de prueba acordes al derecho probatorio. El artículo 41.2 del NCPC, escribe una lista taxativa de los medios de prueba admisibles: 1) Declaración de parte, 2) declaración de testigo, 3) dictamen de peritos, 4) documentos e informes, 5) reconocimiento judicial, 6) medios científicos y tecnológicos, 7) cualquier otro no prohibido. Para el proceso de reivindicación, los medios de prueba válidos han de estar conectados directamente con los tres supuestos básicos mencionados líneas atrás, como por ejemplo, la certificación que acredite el derecho de propiedad, plano catastrado que demuestre la existencia del inmueble en cuestión o el testimonio que discuta sobre la posesión injusta. Tratándose el nuestro de un caso hipotético añadiremos al heurigrama, los siguientes datos probatorios conforme teoría, a modo de ilustración: </w:t>
      </w:r>
    </w:p>
    <w:p w14:paraId="7DAF9610" w14:textId="77777777" w:rsidR="00674E90" w:rsidRPr="006469CD" w:rsidRDefault="00674E90" w:rsidP="00674E90">
      <w:pPr>
        <w:pStyle w:val="Prrafodelista"/>
        <w:numPr>
          <w:ilvl w:val="0"/>
          <w:numId w:val="102"/>
        </w:numPr>
        <w:spacing w:line="240" w:lineRule="auto"/>
        <w:jc w:val="both"/>
        <w:rPr>
          <w:rFonts w:ascii="Palatino Linotype" w:hAnsi="Palatino Linotype" w:cs="Times New Roman"/>
        </w:rPr>
      </w:pPr>
      <w:r w:rsidRPr="006469CD">
        <w:rPr>
          <w:rFonts w:ascii="Palatino Linotype" w:hAnsi="Palatino Linotype" w:cs="Times New Roman"/>
        </w:rPr>
        <w:t xml:space="preserve">D1: Título de propiedad inscrito a nombre de JP. </w:t>
      </w:r>
    </w:p>
    <w:p w14:paraId="541CE91C" w14:textId="77777777" w:rsidR="00674E90" w:rsidRPr="006469CD" w:rsidRDefault="00674E90" w:rsidP="00674E90">
      <w:pPr>
        <w:pStyle w:val="Prrafodelista"/>
        <w:numPr>
          <w:ilvl w:val="0"/>
          <w:numId w:val="102"/>
        </w:numPr>
        <w:spacing w:line="240" w:lineRule="auto"/>
        <w:jc w:val="both"/>
        <w:rPr>
          <w:rFonts w:ascii="Palatino Linotype" w:hAnsi="Palatino Linotype" w:cs="Times New Roman"/>
        </w:rPr>
      </w:pPr>
      <w:r w:rsidRPr="006469CD">
        <w:rPr>
          <w:rFonts w:ascii="Palatino Linotype" w:hAnsi="Palatino Linotype" w:cs="Times New Roman"/>
        </w:rPr>
        <w:t>D2: Plano catastrado inscrito números SJ 123456-90.</w:t>
      </w:r>
    </w:p>
    <w:p w14:paraId="7427B667" w14:textId="77777777" w:rsidR="00674E90" w:rsidRPr="006469CD" w:rsidRDefault="00674E90" w:rsidP="00674E90">
      <w:pPr>
        <w:pStyle w:val="Prrafodelista"/>
        <w:numPr>
          <w:ilvl w:val="0"/>
          <w:numId w:val="102"/>
        </w:numPr>
        <w:spacing w:line="240" w:lineRule="auto"/>
        <w:jc w:val="both"/>
        <w:rPr>
          <w:rFonts w:ascii="Palatino Linotype" w:hAnsi="Palatino Linotype" w:cs="Times New Roman"/>
        </w:rPr>
      </w:pPr>
      <w:r w:rsidRPr="006469CD">
        <w:rPr>
          <w:rFonts w:ascii="Palatino Linotype" w:hAnsi="Palatino Linotype" w:cs="Times New Roman"/>
        </w:rPr>
        <w:t xml:space="preserve">D3: Legajo fotográfico del inmueble M: 123456. </w:t>
      </w:r>
    </w:p>
    <w:p w14:paraId="328D8874" w14:textId="77777777" w:rsidR="00674E90" w:rsidRPr="006469CD" w:rsidRDefault="00674E90" w:rsidP="00674E90">
      <w:pPr>
        <w:pStyle w:val="Prrafodelista"/>
        <w:numPr>
          <w:ilvl w:val="0"/>
          <w:numId w:val="102"/>
        </w:numPr>
        <w:spacing w:line="240" w:lineRule="auto"/>
        <w:jc w:val="both"/>
        <w:rPr>
          <w:rFonts w:ascii="Palatino Linotype" w:hAnsi="Palatino Linotype" w:cs="Times New Roman"/>
        </w:rPr>
      </w:pPr>
      <w:r w:rsidRPr="006469CD">
        <w:rPr>
          <w:rFonts w:ascii="Palatino Linotype" w:hAnsi="Palatino Linotype" w:cs="Times New Roman"/>
        </w:rPr>
        <w:t xml:space="preserve">T1: Testimonio de MP. </w:t>
      </w:r>
    </w:p>
    <w:p w14:paraId="7AB88781" w14:textId="77777777" w:rsidR="00674E90" w:rsidRPr="006469CD" w:rsidRDefault="00674E90" w:rsidP="00674E90">
      <w:pPr>
        <w:pStyle w:val="Prrafodelista"/>
        <w:numPr>
          <w:ilvl w:val="0"/>
          <w:numId w:val="102"/>
        </w:numPr>
        <w:spacing w:line="240" w:lineRule="auto"/>
        <w:jc w:val="both"/>
        <w:rPr>
          <w:rFonts w:ascii="Palatino Linotype" w:hAnsi="Palatino Linotype" w:cs="Times New Roman"/>
        </w:rPr>
      </w:pPr>
      <w:r w:rsidRPr="006469CD">
        <w:rPr>
          <w:rFonts w:ascii="Palatino Linotype" w:hAnsi="Palatino Linotype" w:cs="Times New Roman"/>
        </w:rPr>
        <w:t xml:space="preserve">T2: Testimonio de PJ. </w:t>
      </w:r>
    </w:p>
    <w:p w14:paraId="14335701" w14:textId="77777777"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La verificación instrumental – como lo indica su nombre – refiere a la examinación del medio o la actividad probatoria, es decir, la prueba que versa sobre la prueba, siendo el informe pericial realizado por el ingeniero JM (P1 en la plantilla), el que más se adecua al concepto.</w:t>
      </w:r>
    </w:p>
    <w:p w14:paraId="3CF286CE" w14:textId="547B6332"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Por último, la infirmación y el argumento son los puntos donde el operador razona sobre el contenido del “heurigrama”, sea de forma positiva o negativa. En la infirmación, argüirá buscando reducir la credibilidad el thema y el subthema probandi, imaginando cómo el adversario replicaría a sus presunciones; mientras que en el argumento contraría la infirmación basándose en sus experiencias previas o tácticas probáticas. </w:t>
      </w:r>
    </w:p>
    <w:p w14:paraId="3F2A6554" w14:textId="77777777" w:rsidR="00674E90" w:rsidRPr="006469CD" w:rsidRDefault="00674E90" w:rsidP="00674E90">
      <w:pPr>
        <w:spacing w:line="240" w:lineRule="auto"/>
        <w:jc w:val="both"/>
        <w:rPr>
          <w:rFonts w:ascii="Palatino Linotype" w:hAnsi="Palatino Linotype" w:cs="Times New Roman"/>
        </w:rPr>
      </w:pPr>
    </w:p>
    <w:p w14:paraId="587E0ED9" w14:textId="485E6653" w:rsidR="00674E90" w:rsidRPr="006469CD" w:rsidRDefault="00CE2C29" w:rsidP="00674E90">
      <w:pPr>
        <w:spacing w:line="240" w:lineRule="auto"/>
        <w:jc w:val="both"/>
        <w:rPr>
          <w:rFonts w:ascii="Palatino Linotype" w:hAnsi="Palatino Linotype" w:cs="Times New Roman"/>
        </w:rPr>
      </w:pPr>
      <w:r w:rsidRPr="006469CD">
        <w:rPr>
          <w:rFonts w:ascii="Palatino Linotype" w:hAnsi="Palatino Linotype"/>
          <w:noProof/>
          <w:lang w:val="es-CR" w:eastAsia="es-CR"/>
        </w:rPr>
        <w:lastRenderedPageBreak/>
        <w:drawing>
          <wp:anchor distT="0" distB="0" distL="114300" distR="114300" simplePos="0" relativeHeight="251673600" behindDoc="1" locked="0" layoutInCell="1" allowOverlap="1" wp14:anchorId="319C9BFB" wp14:editId="39B5F6A3">
            <wp:simplePos x="0" y="0"/>
            <wp:positionH relativeFrom="margin">
              <wp:align>left</wp:align>
            </wp:positionH>
            <wp:positionV relativeFrom="paragraph">
              <wp:posOffset>914400</wp:posOffset>
            </wp:positionV>
            <wp:extent cx="6497955" cy="4674235"/>
            <wp:effectExtent l="0" t="254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6497955" cy="4674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C71AC" w14:textId="66BBA965" w:rsidR="00674E90" w:rsidRPr="006469CD" w:rsidRDefault="00674E90" w:rsidP="00674E90">
      <w:pPr>
        <w:spacing w:line="240" w:lineRule="auto"/>
        <w:jc w:val="center"/>
        <w:rPr>
          <w:rFonts w:ascii="Palatino Linotype" w:hAnsi="Palatino Linotype" w:cs="Times New Roman"/>
        </w:rPr>
      </w:pPr>
      <w:r w:rsidRPr="006469CD">
        <w:rPr>
          <w:rFonts w:ascii="Palatino Linotype" w:hAnsi="Palatino Linotype" w:cs="Times New Roman"/>
        </w:rPr>
        <w:t>Figura 7. Heurigrama del caso</w:t>
      </w:r>
    </w:p>
    <w:p w14:paraId="3371C155" w14:textId="77777777" w:rsidR="00674E90" w:rsidRPr="006469CD" w:rsidRDefault="00674E90" w:rsidP="00674E90">
      <w:pPr>
        <w:pStyle w:val="Ttulo1"/>
        <w:rPr>
          <w:rFonts w:ascii="Palatino Linotype" w:hAnsi="Palatino Linotype" w:cs="Times New Roman"/>
          <w:b w:val="0"/>
          <w:sz w:val="22"/>
          <w:szCs w:val="22"/>
        </w:rPr>
      </w:pPr>
      <w:r w:rsidRPr="006469CD">
        <w:rPr>
          <w:rFonts w:ascii="Palatino Linotype" w:hAnsi="Palatino Linotype" w:cs="Times New Roman"/>
          <w:sz w:val="22"/>
          <w:szCs w:val="22"/>
        </w:rPr>
        <w:lastRenderedPageBreak/>
        <w:t>8) CONSIDERACIONES FINALES</w:t>
      </w:r>
    </w:p>
    <w:p w14:paraId="2E129872" w14:textId="3164C2DD"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De esta propuesta surge la cuestión de si es factible concebir una teoría jurídica sustantiva sobre los hechos. Este estudio busca dejar planteada esa posibilidad, brindando algunas luces de lo que podría ser la identificación y análisis científicos de los hechos, utilizando las herramientas, métodos lógicos y técnologías modernas disponibles. No debe ignorarse que la digitalización amplifica las fuentes de datos y en consecuencia los volúmenes de la información, que en palabras de Sánchez (2017) </w:t>
      </w:r>
      <w:r w:rsidRPr="006469CD">
        <w:rPr>
          <w:rFonts w:ascii="Palatino Linotype" w:hAnsi="Palatino Linotype" w:cs="Times New Roman"/>
          <w:i/>
        </w:rPr>
        <w:t>“(…) demanda la utilización de técnicas y herramientas de análisis que permitan descubrir tendencias, patrones, anomalías, relaciones en grandes volúmenes de datos y en un tiempo acotado.”</w:t>
      </w:r>
      <w:r w:rsidRPr="006469CD">
        <w:rPr>
          <w:rFonts w:ascii="Palatino Linotype" w:hAnsi="Palatino Linotype" w:cs="Times New Roman"/>
        </w:rPr>
        <w:t xml:space="preserve"> </w:t>
      </w:r>
      <w:r w:rsidRPr="006469CD">
        <w:rPr>
          <w:rFonts w:ascii="Palatino Linotype" w:hAnsi="Palatino Linotype" w:cs="Times New Roman"/>
          <w:noProof/>
          <w:lang w:val="es-CR"/>
        </w:rPr>
        <w:t>(pág. 32)</w:t>
      </w:r>
      <w:r w:rsidRPr="006469CD">
        <w:rPr>
          <w:rFonts w:ascii="Palatino Linotype" w:hAnsi="Palatino Linotype" w:cs="Times New Roman"/>
        </w:rPr>
        <w:t xml:space="preserve"> Las nuevas tecnologías  presionan cada vez más al ser humano para que mejore sus destrezas y conocimientos y su capacidad de acción y de allí la importancia de acceder a nuevas vías y métodos que lo faciliten.  Para ello planteamos un abordaje particular a los hechos base del conflicto, utilizando modelos conceptuales y técnicas diferentes, que faciliten una reconstrucción objetiva del historial fáctico, siguiendo un razonamiento no solo jurídico, sino además lógico-técnico, basado en un sistema relacional organizado, a partir de datos y hechos identificados. De allí se extraen los hechos fundamentales y los indicios que permitan elaborar un sistema gráfico de asociación lógica de datos. La planificación del sistema debe incluir un componente cronológico en relación con cada hecho, así como los sujetos y los objetos asociadas con cada uno de ellos, fruto de una primera etapa de investigación de la historia fáctica y una valoración estadística. El PP, incluye, en síntesis, esa primera etapa, con un inventario inicial de hechos e indicios; el grafo y una plantilla o heurigrama, que comprenda además las pruebas idóneas para cada hecho. Sobre todo este planeamiento sugerido, se construye la teoría del caso, sea para la parte actora o la parte demandada. </w:t>
      </w:r>
    </w:p>
    <w:p w14:paraId="1A6F1A98" w14:textId="01946072" w:rsidR="00674E90" w:rsidRPr="006469CD" w:rsidRDefault="00674E90" w:rsidP="00674E90">
      <w:pPr>
        <w:spacing w:line="240" w:lineRule="auto"/>
        <w:jc w:val="both"/>
        <w:rPr>
          <w:rFonts w:ascii="Palatino Linotype" w:hAnsi="Palatino Linotype" w:cs="Times New Roman"/>
        </w:rPr>
      </w:pPr>
      <w:r w:rsidRPr="006469CD">
        <w:rPr>
          <w:rFonts w:ascii="Palatino Linotype" w:hAnsi="Palatino Linotype" w:cs="Times New Roman"/>
        </w:rPr>
        <w:t xml:space="preserve">Por último, se incluyen algunas observaciones realizadas por el matemático e informático, Arturo Garnier Calderón, quien pone en perspectiva la computabilidad del PP. Indica que el uso del PP debe mantenerse dentro de los parámetros previamente determinados con el fin de reducir el impacto de apreciaciones subjetivas, haciendo especial énfasis (de quererse programar o transformar en una herramienta informática) en el factor cuantificable de sus elementos. Así, para que tenga argumento sustantivo y pueda ser aplicable en tramitaciones y valoraciones legales, debe poder </w:t>
      </w:r>
      <w:r w:rsidRPr="006469CD">
        <w:rPr>
          <w:rFonts w:ascii="Palatino Linotype" w:hAnsi="Palatino Linotype" w:cs="Times New Roman"/>
        </w:rPr>
        <w:lastRenderedPageBreak/>
        <w:t>brindarle a las partes usuarias, una vía consistente para llegar a conclusiones puntuales. Añade, que sin lugar a duda, las ayudas gráficas son muy valiosas por cuanto su misma estructura facilita la comprensión instantánea e intuitiva de un evento, idea o procedimiento. Sin embargo advierte, que no obstante, no sería de aplicación fácil y consistente en todos los campos de la compleja dinámica social contemporánea.-</w:t>
      </w:r>
    </w:p>
    <w:sdt>
      <w:sdtPr>
        <w:rPr>
          <w:rFonts w:ascii="Palatino Linotype" w:eastAsiaTheme="minorEastAsia" w:hAnsi="Palatino Linotype" w:cstheme="minorBidi"/>
          <w:b w:val="0"/>
          <w:bCs w:val="0"/>
          <w:caps w:val="0"/>
          <w:spacing w:val="0"/>
          <w:sz w:val="22"/>
          <w:szCs w:val="22"/>
          <w:lang w:val="es-ES"/>
        </w:rPr>
        <w:id w:val="2063670883"/>
        <w:docPartObj>
          <w:docPartGallery w:val="Bibliographies"/>
          <w:docPartUnique/>
        </w:docPartObj>
      </w:sdtPr>
      <w:sdtEndPr/>
      <w:sdtContent>
        <w:p w14:paraId="69187462" w14:textId="77777777" w:rsidR="00674E90" w:rsidRPr="006469CD" w:rsidRDefault="00674E90" w:rsidP="00674E90">
          <w:pPr>
            <w:pStyle w:val="Ttulo1"/>
            <w:tabs>
              <w:tab w:val="left" w:pos="6663"/>
            </w:tabs>
            <w:rPr>
              <w:rFonts w:ascii="Palatino Linotype" w:hAnsi="Palatino Linotype" w:cs="Times New Roman"/>
              <w:sz w:val="22"/>
              <w:szCs w:val="22"/>
            </w:rPr>
          </w:pPr>
          <w:r w:rsidRPr="006469CD">
            <w:rPr>
              <w:rFonts w:ascii="Palatino Linotype" w:hAnsi="Palatino Linotype" w:cs="Times New Roman"/>
              <w:sz w:val="22"/>
              <w:szCs w:val="22"/>
              <w:lang w:val="es-ES"/>
            </w:rPr>
            <w:t>BIBLIOGRAFÍA</w:t>
          </w:r>
        </w:p>
        <w:p w14:paraId="6A35D59A" w14:textId="77777777" w:rsidR="00674E90" w:rsidRPr="006469CD" w:rsidRDefault="00674E90" w:rsidP="00D141D3">
          <w:pPr>
            <w:pStyle w:val="Bibliografa"/>
            <w:spacing w:after="0" w:line="240" w:lineRule="auto"/>
            <w:ind w:left="720" w:hanging="720"/>
            <w:rPr>
              <w:rFonts w:ascii="Palatino Linotype" w:hAnsi="Palatino Linotype" w:cs="Times New Roman"/>
              <w:noProof/>
            </w:rPr>
          </w:pPr>
          <w:r w:rsidRPr="006469CD">
            <w:rPr>
              <w:rFonts w:ascii="Palatino Linotype" w:hAnsi="Palatino Linotype" w:cs="Times New Roman"/>
              <w:noProof/>
            </w:rPr>
            <w:t xml:space="preserve">Alvarez Nuñez, M. F., &amp; Parra Muñoz, J. A. (2013). Seminario Final de Graduación. </w:t>
          </w:r>
          <w:r w:rsidRPr="006469CD">
            <w:rPr>
              <w:rFonts w:ascii="Palatino Linotype" w:hAnsi="Palatino Linotype" w:cs="Times New Roman"/>
              <w:i/>
              <w:iCs/>
              <w:noProof/>
            </w:rPr>
            <w:t>Teoría de Grafos</w:t>
          </w:r>
          <w:r w:rsidRPr="006469CD">
            <w:rPr>
              <w:rFonts w:ascii="Palatino Linotype" w:hAnsi="Palatino Linotype" w:cs="Times New Roman"/>
              <w:noProof/>
            </w:rPr>
            <w:t xml:space="preserve">. Chile: Universidad del Bío-Bío. Obtenido de http://repobib.ubiobio.cl/jspui/bitstream/123456789/1953/3/Alvarez_Nunez_Marcelino.pdf </w:t>
          </w:r>
        </w:p>
        <w:p w14:paraId="2E505468" w14:textId="77777777" w:rsidR="00674E90" w:rsidRPr="006469CD" w:rsidRDefault="00674E90" w:rsidP="00D141D3">
          <w:pPr>
            <w:pStyle w:val="Bibliografa"/>
            <w:spacing w:after="0" w:line="240" w:lineRule="auto"/>
            <w:ind w:left="720" w:hanging="720"/>
            <w:rPr>
              <w:rFonts w:ascii="Palatino Linotype" w:hAnsi="Palatino Linotype" w:cs="Times New Roman"/>
              <w:noProof/>
            </w:rPr>
          </w:pPr>
          <w:r w:rsidRPr="006469CD">
            <w:rPr>
              <w:rFonts w:ascii="Palatino Linotype" w:hAnsi="Palatino Linotype" w:cs="Times New Roman"/>
              <w:noProof/>
            </w:rPr>
            <w:t xml:space="preserve">Carnelutti, F. (1982). </w:t>
          </w:r>
          <w:r w:rsidRPr="006469CD">
            <w:rPr>
              <w:rFonts w:ascii="Palatino Linotype" w:hAnsi="Palatino Linotype" w:cs="Times New Roman"/>
              <w:i/>
              <w:iCs/>
              <w:noProof/>
            </w:rPr>
            <w:t>La Prueba Civil.</w:t>
          </w:r>
          <w:r w:rsidRPr="006469CD">
            <w:rPr>
              <w:rFonts w:ascii="Palatino Linotype" w:hAnsi="Palatino Linotype" w:cs="Times New Roman"/>
              <w:noProof/>
            </w:rPr>
            <w:t xml:space="preserve"> Buenos Aires: Depalma.</w:t>
          </w:r>
        </w:p>
        <w:p w14:paraId="5AC2DCFE" w14:textId="77777777" w:rsidR="00674E90" w:rsidRPr="006469CD" w:rsidRDefault="00674E90" w:rsidP="00D141D3">
          <w:pPr>
            <w:pStyle w:val="Bibliografa"/>
            <w:spacing w:after="0" w:line="240" w:lineRule="auto"/>
            <w:ind w:left="720" w:hanging="720"/>
            <w:rPr>
              <w:rFonts w:ascii="Palatino Linotype" w:hAnsi="Palatino Linotype" w:cs="Times New Roman"/>
              <w:noProof/>
            </w:rPr>
          </w:pPr>
          <w:r w:rsidRPr="006469CD">
            <w:rPr>
              <w:rFonts w:ascii="Palatino Linotype" w:hAnsi="Palatino Linotype" w:cs="Times New Roman"/>
              <w:noProof/>
            </w:rPr>
            <w:t xml:space="preserve">Gama Leyva, R. (2010). El Ideograma de Wigmore y su aplicación en nuestra práctica jurídica. En X. Lluch, J. i Junoy, &amp; M. González, </w:t>
          </w:r>
          <w:r w:rsidRPr="006469CD">
            <w:rPr>
              <w:rFonts w:ascii="Palatino Linotype" w:hAnsi="Palatino Linotype" w:cs="Times New Roman"/>
              <w:i/>
              <w:iCs/>
              <w:noProof/>
            </w:rPr>
            <w:t>La Prueba Judicial: Desafíos en las jurisdicciones civil, penal, laboral y contencioso-administrativa</w:t>
          </w:r>
          <w:r w:rsidRPr="006469CD">
            <w:rPr>
              <w:rFonts w:ascii="Palatino Linotype" w:hAnsi="Palatino Linotype" w:cs="Times New Roman"/>
              <w:noProof/>
            </w:rPr>
            <w:t xml:space="preserve"> (págs. 165-179). España: Wolters Kluwer S.A. Obtenido de http://www.filosoficas.unam.mx/~cruzparc/metodo.Wigmore.pdf </w:t>
          </w:r>
        </w:p>
        <w:p w14:paraId="00A4D37F" w14:textId="77777777" w:rsidR="00674E90" w:rsidRPr="006469CD" w:rsidRDefault="00674E90" w:rsidP="00D141D3">
          <w:pPr>
            <w:pStyle w:val="Bibliografa"/>
            <w:spacing w:after="0" w:line="240" w:lineRule="auto"/>
            <w:ind w:left="720" w:hanging="720"/>
            <w:rPr>
              <w:rFonts w:ascii="Palatino Linotype" w:hAnsi="Palatino Linotype" w:cs="Times New Roman"/>
              <w:noProof/>
            </w:rPr>
          </w:pPr>
          <w:r w:rsidRPr="006469CD">
            <w:rPr>
              <w:rFonts w:ascii="Palatino Linotype" w:hAnsi="Palatino Linotype" w:cs="Times New Roman"/>
              <w:noProof/>
            </w:rPr>
            <w:t xml:space="preserve">García Ramírez, J., Romero Santos, L., &amp; García González, F. (2013). </w:t>
          </w:r>
          <w:r w:rsidRPr="006469CD">
            <w:rPr>
              <w:rFonts w:ascii="Palatino Linotype" w:hAnsi="Palatino Linotype" w:cs="Times New Roman"/>
              <w:i/>
              <w:iCs/>
              <w:noProof/>
            </w:rPr>
            <w:t>La Técnica del Interrogatorio.</w:t>
          </w:r>
          <w:r w:rsidRPr="006469CD">
            <w:rPr>
              <w:rFonts w:ascii="Palatino Linotype" w:hAnsi="Palatino Linotype" w:cs="Times New Roman"/>
              <w:noProof/>
            </w:rPr>
            <w:t xml:space="preserve"> Bogotá: Rasche.</w:t>
          </w:r>
        </w:p>
        <w:p w14:paraId="4E524CBC" w14:textId="77777777" w:rsidR="00674E90" w:rsidRPr="006469CD" w:rsidRDefault="00674E90" w:rsidP="00D141D3">
          <w:pPr>
            <w:pStyle w:val="Bibliografa"/>
            <w:spacing w:after="0" w:line="240" w:lineRule="auto"/>
            <w:ind w:left="720" w:hanging="720"/>
            <w:rPr>
              <w:rFonts w:ascii="Palatino Linotype" w:hAnsi="Palatino Linotype" w:cs="Times New Roman"/>
              <w:noProof/>
              <w:lang w:val="en-US"/>
            </w:rPr>
          </w:pPr>
          <w:r w:rsidRPr="006469CD">
            <w:rPr>
              <w:rFonts w:ascii="Palatino Linotype" w:hAnsi="Palatino Linotype" w:cs="Times New Roman"/>
              <w:noProof/>
            </w:rPr>
            <w:t xml:space="preserve">Goarke, L. (2 de Enero de 2017). </w:t>
          </w:r>
          <w:r w:rsidRPr="006469CD">
            <w:rPr>
              <w:rFonts w:ascii="Palatino Linotype" w:hAnsi="Palatino Linotype" w:cs="Times New Roman"/>
              <w:i/>
              <w:iCs/>
              <w:noProof/>
              <w:lang w:val="en-US"/>
            </w:rPr>
            <w:t>Informal Logic</w:t>
          </w:r>
          <w:r w:rsidRPr="006469CD">
            <w:rPr>
              <w:rFonts w:ascii="Palatino Linotype" w:hAnsi="Palatino Linotype" w:cs="Times New Roman"/>
              <w:noProof/>
              <w:lang w:val="en-US"/>
            </w:rPr>
            <w:t>. Obtenido de Standford Encyclopedia of Philosophy: https://plato.stanford.edu/entries/logic-informal/</w:t>
          </w:r>
        </w:p>
        <w:p w14:paraId="46569879" w14:textId="77777777" w:rsidR="00674E90" w:rsidRPr="006469CD" w:rsidRDefault="00674E90" w:rsidP="00D141D3">
          <w:pPr>
            <w:pStyle w:val="Bibliografa"/>
            <w:spacing w:after="0" w:line="240" w:lineRule="auto"/>
            <w:ind w:left="720" w:hanging="720"/>
            <w:rPr>
              <w:rFonts w:ascii="Palatino Linotype" w:hAnsi="Palatino Linotype" w:cs="Times New Roman"/>
              <w:noProof/>
            </w:rPr>
          </w:pPr>
          <w:r w:rsidRPr="006469CD">
            <w:rPr>
              <w:rFonts w:ascii="Palatino Linotype" w:hAnsi="Palatino Linotype" w:cs="Times New Roman"/>
              <w:noProof/>
              <w:lang w:val="en-US"/>
            </w:rPr>
            <w:t xml:space="preserve">Goodwin, J. (2000). Wigmore's Chart Method. </w:t>
          </w:r>
          <w:r w:rsidRPr="006469CD">
            <w:rPr>
              <w:rFonts w:ascii="Palatino Linotype" w:hAnsi="Palatino Linotype" w:cs="Times New Roman"/>
              <w:i/>
              <w:iCs/>
              <w:noProof/>
              <w:lang w:val="en-US"/>
            </w:rPr>
            <w:t>Informal Logic: Reasoning and Argumentation in Theory and Practice</w:t>
          </w:r>
          <w:r w:rsidRPr="006469CD">
            <w:rPr>
              <w:rFonts w:ascii="Palatino Linotype" w:hAnsi="Palatino Linotype" w:cs="Times New Roman"/>
              <w:noProof/>
              <w:lang w:val="en-US"/>
            </w:rPr>
            <w:t xml:space="preserve">, 223-243. </w:t>
          </w:r>
          <w:r w:rsidRPr="006469CD">
            <w:rPr>
              <w:rFonts w:ascii="Palatino Linotype" w:hAnsi="Palatino Linotype" w:cs="Times New Roman"/>
              <w:noProof/>
            </w:rPr>
            <w:t>Obtenido de https://ojs.uwindsor.ca/index.php/informal_logic/article/view/2278</w:t>
          </w:r>
        </w:p>
        <w:p w14:paraId="0324268A" w14:textId="77777777" w:rsidR="00674E90" w:rsidRPr="006469CD" w:rsidRDefault="00674E90" w:rsidP="00D141D3">
          <w:pPr>
            <w:pStyle w:val="Bibliografa"/>
            <w:spacing w:after="0" w:line="240" w:lineRule="auto"/>
            <w:ind w:left="720" w:hanging="720"/>
            <w:rPr>
              <w:rFonts w:ascii="Palatino Linotype" w:hAnsi="Palatino Linotype" w:cs="Times New Roman"/>
              <w:noProof/>
            </w:rPr>
          </w:pPr>
          <w:r w:rsidRPr="006469CD">
            <w:rPr>
              <w:rFonts w:ascii="Palatino Linotype" w:hAnsi="Palatino Linotype" w:cs="Times New Roman"/>
              <w:noProof/>
            </w:rPr>
            <w:t xml:space="preserve">Wolters Kluwer (2013). </w:t>
          </w:r>
          <w:r w:rsidRPr="006469CD">
            <w:rPr>
              <w:rFonts w:ascii="Palatino Linotype" w:hAnsi="Palatino Linotype" w:cs="Times New Roman"/>
              <w:i/>
              <w:iCs/>
              <w:noProof/>
            </w:rPr>
            <w:t>Representación Gráfica de la Prueba</w:t>
          </w:r>
          <w:r w:rsidRPr="006469CD">
            <w:rPr>
              <w:rFonts w:ascii="Palatino Linotype" w:hAnsi="Palatino Linotype" w:cs="Times New Roman"/>
              <w:noProof/>
            </w:rPr>
            <w:t>. Obtenido de Wolters Kluwer: https://tinyurl.com/y62t3tnl</w:t>
          </w:r>
        </w:p>
        <w:p w14:paraId="1CE721AD" w14:textId="77777777" w:rsidR="00674E90" w:rsidRPr="006469CD" w:rsidRDefault="00674E90" w:rsidP="00D141D3">
          <w:pPr>
            <w:pStyle w:val="Bibliografa"/>
            <w:spacing w:after="0" w:line="240" w:lineRule="auto"/>
            <w:ind w:left="720" w:hanging="720"/>
            <w:rPr>
              <w:rFonts w:ascii="Palatino Linotype" w:hAnsi="Palatino Linotype" w:cs="Times New Roman"/>
              <w:noProof/>
            </w:rPr>
          </w:pPr>
          <w:r w:rsidRPr="006469CD">
            <w:rPr>
              <w:rFonts w:ascii="Palatino Linotype" w:hAnsi="Palatino Linotype" w:cs="Times New Roman"/>
              <w:noProof/>
            </w:rPr>
            <w:t xml:space="preserve">Muñoz Sabaté, L. (2012). </w:t>
          </w:r>
          <w:r w:rsidRPr="006469CD">
            <w:rPr>
              <w:rFonts w:ascii="Palatino Linotype" w:hAnsi="Palatino Linotype" w:cs="Times New Roman"/>
              <w:i/>
              <w:iCs/>
              <w:noProof/>
            </w:rPr>
            <w:t>Técnica Procesal.</w:t>
          </w:r>
          <w:r w:rsidRPr="006469CD">
            <w:rPr>
              <w:rFonts w:ascii="Palatino Linotype" w:hAnsi="Palatino Linotype" w:cs="Times New Roman"/>
              <w:noProof/>
            </w:rPr>
            <w:t xml:space="preserve"> Barcelona: Bosch.</w:t>
          </w:r>
        </w:p>
        <w:p w14:paraId="6A039D66" w14:textId="77777777" w:rsidR="00674E90" w:rsidRPr="006469CD" w:rsidRDefault="00674E90" w:rsidP="00D141D3">
          <w:pPr>
            <w:pStyle w:val="Bibliografa"/>
            <w:spacing w:after="0" w:line="240" w:lineRule="auto"/>
            <w:ind w:left="720" w:hanging="720"/>
            <w:rPr>
              <w:rFonts w:ascii="Palatino Linotype" w:hAnsi="Palatino Linotype" w:cs="Times New Roman"/>
              <w:noProof/>
            </w:rPr>
          </w:pPr>
          <w:r w:rsidRPr="006469CD">
            <w:rPr>
              <w:rFonts w:ascii="Palatino Linotype" w:hAnsi="Palatino Linotype" w:cs="Times New Roman"/>
              <w:noProof/>
            </w:rPr>
            <w:t xml:space="preserve">Muñoz Sabaté, L. (2014). </w:t>
          </w:r>
          <w:r w:rsidRPr="006469CD">
            <w:rPr>
              <w:rFonts w:ascii="Palatino Linotype" w:hAnsi="Palatino Linotype" w:cs="Times New Roman"/>
              <w:i/>
              <w:iCs/>
              <w:noProof/>
            </w:rPr>
            <w:t>Diccionario Enciclopédico de Probática y Derecho Probatorio.</w:t>
          </w:r>
          <w:r w:rsidRPr="006469CD">
            <w:rPr>
              <w:rFonts w:ascii="Palatino Linotype" w:hAnsi="Palatino Linotype" w:cs="Times New Roman"/>
              <w:noProof/>
            </w:rPr>
            <w:t xml:space="preserve"> Madrid: La Ley.</w:t>
          </w:r>
        </w:p>
        <w:p w14:paraId="27BA41B3" w14:textId="77777777" w:rsidR="00674E90" w:rsidRPr="006469CD" w:rsidRDefault="00674E90" w:rsidP="00D141D3">
          <w:pPr>
            <w:pStyle w:val="Bibliografa"/>
            <w:spacing w:after="0" w:line="240" w:lineRule="auto"/>
            <w:ind w:left="720" w:hanging="720"/>
            <w:rPr>
              <w:rFonts w:ascii="Palatino Linotype" w:hAnsi="Palatino Linotype" w:cs="Times New Roman"/>
              <w:noProof/>
            </w:rPr>
          </w:pPr>
          <w:r w:rsidRPr="006469CD">
            <w:rPr>
              <w:rFonts w:ascii="Palatino Linotype" w:hAnsi="Palatino Linotype" w:cs="Times New Roman"/>
              <w:noProof/>
            </w:rPr>
            <w:t xml:space="preserve">Sánchez, M. A. (2017). Visualización de Datos Utilizando Grafos: Ejemplos de Aplicación. </w:t>
          </w:r>
          <w:r w:rsidRPr="006469CD">
            <w:rPr>
              <w:rFonts w:ascii="Palatino Linotype" w:hAnsi="Palatino Linotype" w:cs="Times New Roman"/>
              <w:i/>
              <w:iCs/>
              <w:noProof/>
            </w:rPr>
            <w:t>CEA - Centros de Estudios de Administración</w:t>
          </w:r>
          <w:r w:rsidRPr="006469CD">
            <w:rPr>
              <w:rFonts w:ascii="Palatino Linotype" w:hAnsi="Palatino Linotype" w:cs="Times New Roman"/>
              <w:noProof/>
            </w:rPr>
            <w:t>, 33-45.</w:t>
          </w:r>
        </w:p>
        <w:p w14:paraId="2F773C3B" w14:textId="77777777" w:rsidR="00674E90" w:rsidRPr="006469CD" w:rsidRDefault="00674E90" w:rsidP="00D141D3">
          <w:pPr>
            <w:pStyle w:val="Bibliografa"/>
            <w:spacing w:after="0" w:line="240" w:lineRule="auto"/>
            <w:ind w:left="720" w:hanging="720"/>
            <w:rPr>
              <w:rFonts w:ascii="Palatino Linotype" w:hAnsi="Palatino Linotype" w:cs="Times New Roman"/>
              <w:noProof/>
              <w:lang w:val="en-US"/>
            </w:rPr>
          </w:pPr>
          <w:r w:rsidRPr="006469CD">
            <w:rPr>
              <w:rFonts w:ascii="Palatino Linotype" w:hAnsi="Palatino Linotype" w:cs="Times New Roman"/>
              <w:noProof/>
            </w:rPr>
            <w:t xml:space="preserve">Terence , A., Schum, D., &amp; Twining, W. (2005). </w:t>
          </w:r>
          <w:r w:rsidRPr="006469CD">
            <w:rPr>
              <w:rFonts w:ascii="Palatino Linotype" w:hAnsi="Palatino Linotype" w:cs="Times New Roman"/>
              <w:i/>
              <w:iCs/>
              <w:noProof/>
              <w:lang w:val="en-US"/>
            </w:rPr>
            <w:t>Analysis of Evidence: Second Edition.</w:t>
          </w:r>
          <w:r w:rsidRPr="006469CD">
            <w:rPr>
              <w:rFonts w:ascii="Palatino Linotype" w:hAnsi="Palatino Linotype" w:cs="Times New Roman"/>
              <w:noProof/>
              <w:lang w:val="en-US"/>
            </w:rPr>
            <w:t xml:space="preserve"> New York: Cambridge University Press.</w:t>
          </w:r>
        </w:p>
        <w:p w14:paraId="0C4E72DC" w14:textId="77777777" w:rsidR="00674E90" w:rsidRPr="006469CD" w:rsidRDefault="00674E90" w:rsidP="00D141D3">
          <w:pPr>
            <w:pStyle w:val="Bibliografa"/>
            <w:spacing w:after="0" w:line="240" w:lineRule="auto"/>
            <w:ind w:left="720" w:hanging="720"/>
            <w:rPr>
              <w:rFonts w:ascii="Palatino Linotype" w:hAnsi="Palatino Linotype" w:cs="Times New Roman"/>
              <w:noProof/>
            </w:rPr>
          </w:pPr>
          <w:r w:rsidRPr="006469CD">
            <w:rPr>
              <w:rFonts w:ascii="Palatino Linotype" w:hAnsi="Palatino Linotype" w:cs="Times New Roman"/>
              <w:noProof/>
              <w:lang w:val="en-US"/>
            </w:rPr>
            <w:lastRenderedPageBreak/>
            <w:t xml:space="preserve">Wigmore, J. (1913). </w:t>
          </w:r>
          <w:r w:rsidRPr="006469CD">
            <w:rPr>
              <w:rFonts w:ascii="Palatino Linotype" w:hAnsi="Palatino Linotype" w:cs="Times New Roman"/>
              <w:i/>
              <w:iCs/>
              <w:noProof/>
              <w:lang w:val="en-US"/>
            </w:rPr>
            <w:t>The principles of judicial proof as given by logic, psychology, and general experience and illustrated in judicial trials.</w:t>
          </w:r>
          <w:r w:rsidRPr="006469CD">
            <w:rPr>
              <w:rFonts w:ascii="Palatino Linotype" w:hAnsi="Palatino Linotype" w:cs="Times New Roman"/>
              <w:noProof/>
              <w:lang w:val="en-US"/>
            </w:rPr>
            <w:t xml:space="preserve"> </w:t>
          </w:r>
          <w:r w:rsidRPr="006469CD">
            <w:rPr>
              <w:rFonts w:ascii="Palatino Linotype" w:hAnsi="Palatino Linotype" w:cs="Times New Roman"/>
              <w:noProof/>
            </w:rPr>
            <w:t>Boston: Little, Brown and Company.</w:t>
          </w:r>
        </w:p>
        <w:p w14:paraId="38992A14" w14:textId="77777777" w:rsidR="00674E90" w:rsidRPr="006469CD" w:rsidRDefault="003213F1" w:rsidP="00674E90">
          <w:pPr>
            <w:rPr>
              <w:rFonts w:ascii="Palatino Linotype" w:hAnsi="Palatino Linotype"/>
            </w:rPr>
          </w:pPr>
        </w:p>
      </w:sdtContent>
    </w:sdt>
    <w:p w14:paraId="1CE0D326" w14:textId="77777777" w:rsidR="00E87246" w:rsidRDefault="00E87246" w:rsidP="00BE6A34">
      <w:pPr>
        <w:spacing w:before="120" w:after="200"/>
        <w:jc w:val="center"/>
        <w:rPr>
          <w:rFonts w:ascii="Palatino Linotype" w:eastAsia="Calibri" w:hAnsi="Palatino Linotype" w:cs="Times New Roman"/>
          <w:b/>
          <w:bCs/>
        </w:rPr>
        <w:sectPr w:rsidR="00E87246" w:rsidSect="00BA1B42">
          <w:headerReference w:type="even" r:id="rId52"/>
          <w:headerReference w:type="default" r:id="rId53"/>
          <w:type w:val="nextColumn"/>
          <w:pgSz w:w="12242" w:h="15842" w:code="1"/>
          <w:pgMar w:top="1474" w:right="2098" w:bottom="1021" w:left="2778" w:header="851" w:footer="2835" w:gutter="0"/>
          <w:cols w:space="708"/>
          <w:titlePg/>
          <w:docGrid w:linePitch="360"/>
        </w:sectPr>
      </w:pPr>
      <w:bookmarkStart w:id="57" w:name="_Hlk8652117"/>
    </w:p>
    <w:p w14:paraId="6EE5FBDF" w14:textId="2F66FC11" w:rsidR="00CE2C29" w:rsidRDefault="00CE2C29" w:rsidP="00BE6A34">
      <w:pPr>
        <w:spacing w:before="120" w:after="200"/>
        <w:jc w:val="center"/>
        <w:rPr>
          <w:rFonts w:ascii="Palatino Linotype" w:eastAsia="Calibri" w:hAnsi="Palatino Linotype" w:cs="Times New Roman"/>
          <w:b/>
          <w:bCs/>
        </w:rPr>
      </w:pPr>
    </w:p>
    <w:p w14:paraId="1860B579" w14:textId="7D22EAD9" w:rsidR="00BE6A34" w:rsidRPr="00D66245" w:rsidRDefault="00CE2C29" w:rsidP="00BE6A34">
      <w:pPr>
        <w:spacing w:before="120" w:after="200"/>
        <w:jc w:val="center"/>
        <w:rPr>
          <w:rFonts w:ascii="Palatino Linotype" w:eastAsia="Calibri" w:hAnsi="Palatino Linotype" w:cs="Times New Roman"/>
          <w:b/>
          <w:bCs/>
        </w:rPr>
      </w:pPr>
      <w:r w:rsidRPr="00D66245">
        <w:rPr>
          <w:rFonts w:ascii="Palatino Linotype" w:eastAsia="Calibri" w:hAnsi="Palatino Linotype" w:cs="Times New Roman"/>
          <w:b/>
          <w:bCs/>
        </w:rPr>
        <w:t>LA CASACIÓN CONTENCIOSA: ¿UN VÉRTICE AMBIGUO?</w:t>
      </w:r>
    </w:p>
    <w:p w14:paraId="511EA245" w14:textId="77777777" w:rsidR="00BE6A34" w:rsidRPr="00D66245" w:rsidRDefault="00BE6A34" w:rsidP="00A163DA">
      <w:pPr>
        <w:pStyle w:val="NormalWeb"/>
        <w:spacing w:before="120" w:beforeAutospacing="0" w:after="200" w:afterAutospacing="0"/>
        <w:ind w:left="4248"/>
        <w:rPr>
          <w:rFonts w:ascii="Palatino Linotype" w:eastAsiaTheme="minorEastAsia" w:hAnsi="Palatino Linotype"/>
          <w:snapToGrid w:val="0"/>
          <w:sz w:val="22"/>
          <w:szCs w:val="22"/>
          <w:lang w:eastAsia="en-US"/>
        </w:rPr>
      </w:pPr>
      <w:r w:rsidRPr="00D66245">
        <w:rPr>
          <w:rFonts w:ascii="Palatino Linotype" w:hAnsi="Palatino Linotype"/>
          <w:b/>
          <w:sz w:val="22"/>
          <w:szCs w:val="22"/>
        </w:rPr>
        <w:t>Luis A. Ortiz Zamora</w:t>
      </w:r>
      <w:bookmarkEnd w:id="57"/>
      <w:r w:rsidRPr="00D66245">
        <w:rPr>
          <w:rFonts w:ascii="Palatino Linotype" w:eastAsiaTheme="minorEastAsia" w:hAnsi="Palatino Linotype"/>
          <w:b/>
          <w:bCs/>
          <w:snapToGrid w:val="0"/>
          <w:sz w:val="22"/>
          <w:szCs w:val="22"/>
          <w:lang w:eastAsia="en-US"/>
        </w:rPr>
        <w:footnoteReference w:customMarkFollows="1" w:id="107"/>
        <w:t>*</w:t>
      </w:r>
    </w:p>
    <w:p w14:paraId="1F441D91" w14:textId="77777777" w:rsidR="00BE6A34" w:rsidRPr="00D66245" w:rsidRDefault="00BE6A34" w:rsidP="00BE6A34">
      <w:pPr>
        <w:pStyle w:val="BodyText21"/>
        <w:overflowPunct/>
        <w:autoSpaceDE/>
        <w:autoSpaceDN/>
        <w:adjustRightInd/>
        <w:spacing w:before="120" w:after="200" w:line="276" w:lineRule="auto"/>
        <w:rPr>
          <w:rFonts w:ascii="Palatino Linotype" w:hAnsi="Palatino Linotype"/>
          <w:b/>
          <w:bCs/>
          <w:sz w:val="22"/>
          <w:szCs w:val="22"/>
          <w:lang w:val="es-ES"/>
        </w:rPr>
      </w:pPr>
      <w:r w:rsidRPr="00D66245">
        <w:rPr>
          <w:rFonts w:ascii="Palatino Linotype" w:hAnsi="Palatino Linotype"/>
          <w:b/>
          <w:bCs/>
          <w:sz w:val="22"/>
          <w:szCs w:val="22"/>
          <w:lang w:val="es-ES"/>
        </w:rPr>
        <w:t>Sumario:</w:t>
      </w:r>
    </w:p>
    <w:p w14:paraId="132EF7C1" w14:textId="77777777" w:rsidR="00BE6A34" w:rsidRPr="00D66245" w:rsidRDefault="00BE6A34" w:rsidP="00BE6A34">
      <w:pPr>
        <w:pStyle w:val="BodyText21"/>
        <w:numPr>
          <w:ilvl w:val="0"/>
          <w:numId w:val="5"/>
        </w:numPr>
        <w:overflowPunct/>
        <w:autoSpaceDE/>
        <w:autoSpaceDN/>
        <w:adjustRightInd/>
        <w:spacing w:line="276" w:lineRule="auto"/>
        <w:ind w:left="0"/>
        <w:rPr>
          <w:rFonts w:ascii="Palatino Linotype" w:hAnsi="Palatino Linotype"/>
          <w:bCs/>
          <w:sz w:val="22"/>
          <w:szCs w:val="22"/>
          <w:lang w:val="es-ES"/>
        </w:rPr>
      </w:pPr>
      <w:r w:rsidRPr="00D66245">
        <w:rPr>
          <w:rFonts w:ascii="Palatino Linotype" w:hAnsi="Palatino Linotype"/>
          <w:bCs/>
          <w:sz w:val="22"/>
          <w:szCs w:val="22"/>
          <w:lang w:val="es-ES"/>
        </w:rPr>
        <w:t xml:space="preserve">Introducción </w:t>
      </w:r>
    </w:p>
    <w:p w14:paraId="0BE363CF" w14:textId="77777777" w:rsidR="00BE6A34" w:rsidRPr="00D66245" w:rsidRDefault="00BE6A34" w:rsidP="00BE6A34">
      <w:pPr>
        <w:pStyle w:val="BodyText21"/>
        <w:numPr>
          <w:ilvl w:val="0"/>
          <w:numId w:val="5"/>
        </w:numPr>
        <w:overflowPunct/>
        <w:autoSpaceDE/>
        <w:autoSpaceDN/>
        <w:adjustRightInd/>
        <w:spacing w:line="276" w:lineRule="auto"/>
        <w:ind w:left="0"/>
        <w:rPr>
          <w:rFonts w:ascii="Palatino Linotype" w:hAnsi="Palatino Linotype"/>
          <w:bCs/>
          <w:sz w:val="22"/>
          <w:szCs w:val="22"/>
          <w:lang w:val="es-ES"/>
        </w:rPr>
      </w:pPr>
      <w:r w:rsidRPr="00D66245">
        <w:rPr>
          <w:rFonts w:ascii="Palatino Linotype" w:hAnsi="Palatino Linotype"/>
          <w:bCs/>
          <w:sz w:val="22"/>
          <w:szCs w:val="22"/>
          <w:lang w:val="es-ES"/>
        </w:rPr>
        <w:t>La casación en general</w:t>
      </w:r>
    </w:p>
    <w:p w14:paraId="2D78B49F" w14:textId="77777777" w:rsidR="00BE6A34" w:rsidRPr="00D66245" w:rsidRDefault="00BE6A34" w:rsidP="00BE6A34">
      <w:pPr>
        <w:pStyle w:val="BodyText21"/>
        <w:overflowPunct/>
        <w:autoSpaceDE/>
        <w:autoSpaceDN/>
        <w:adjustRightInd/>
        <w:spacing w:line="276" w:lineRule="auto"/>
        <w:ind w:firstLine="708"/>
        <w:rPr>
          <w:rFonts w:ascii="Palatino Linotype" w:hAnsi="Palatino Linotype"/>
          <w:bCs/>
          <w:sz w:val="22"/>
          <w:szCs w:val="22"/>
          <w:lang w:val="es-ES"/>
        </w:rPr>
      </w:pPr>
      <w:r w:rsidRPr="00D66245">
        <w:rPr>
          <w:rFonts w:ascii="Palatino Linotype" w:hAnsi="Palatino Linotype"/>
          <w:bCs/>
          <w:sz w:val="22"/>
          <w:szCs w:val="22"/>
          <w:lang w:val="es-ES"/>
        </w:rPr>
        <w:t>a) Origen y evolución</w:t>
      </w:r>
    </w:p>
    <w:p w14:paraId="0AB608FD" w14:textId="77777777" w:rsidR="00BE6A34" w:rsidRPr="00D66245" w:rsidRDefault="00BE6A34" w:rsidP="00BE6A34">
      <w:pPr>
        <w:pStyle w:val="BodyText21"/>
        <w:overflowPunct/>
        <w:autoSpaceDE/>
        <w:autoSpaceDN/>
        <w:adjustRightInd/>
        <w:spacing w:line="276" w:lineRule="auto"/>
        <w:ind w:firstLine="708"/>
        <w:rPr>
          <w:rFonts w:ascii="Palatino Linotype" w:hAnsi="Palatino Linotype"/>
          <w:bCs/>
          <w:sz w:val="22"/>
          <w:szCs w:val="22"/>
          <w:lang w:val="es-ES"/>
        </w:rPr>
      </w:pPr>
      <w:r w:rsidRPr="00D66245">
        <w:rPr>
          <w:rFonts w:ascii="Palatino Linotype" w:hAnsi="Palatino Linotype"/>
          <w:bCs/>
          <w:sz w:val="22"/>
          <w:szCs w:val="22"/>
          <w:lang w:val="es-ES"/>
        </w:rPr>
        <w:t xml:space="preserve">b) Modelos de cortes de casación </w:t>
      </w:r>
    </w:p>
    <w:p w14:paraId="0483817E" w14:textId="77777777" w:rsidR="00BE6A34" w:rsidRPr="00D66245" w:rsidRDefault="00BE6A34" w:rsidP="00BE6A34">
      <w:pPr>
        <w:pStyle w:val="BodyText21"/>
        <w:overflowPunct/>
        <w:autoSpaceDE/>
        <w:autoSpaceDN/>
        <w:adjustRightInd/>
        <w:spacing w:line="276" w:lineRule="auto"/>
        <w:ind w:firstLine="708"/>
        <w:rPr>
          <w:rFonts w:ascii="Palatino Linotype" w:hAnsi="Palatino Linotype"/>
          <w:bCs/>
          <w:sz w:val="22"/>
          <w:szCs w:val="22"/>
          <w:lang w:val="es-ES"/>
        </w:rPr>
      </w:pPr>
      <w:r w:rsidRPr="00D66245">
        <w:rPr>
          <w:rFonts w:ascii="Palatino Linotype" w:hAnsi="Palatino Linotype"/>
          <w:bCs/>
          <w:sz w:val="22"/>
          <w:szCs w:val="22"/>
          <w:lang w:val="es-ES"/>
        </w:rPr>
        <w:t xml:space="preserve">i. Norteamericano </w:t>
      </w:r>
    </w:p>
    <w:p w14:paraId="440B7F5D" w14:textId="77777777" w:rsidR="00BE6A34" w:rsidRPr="00D66245" w:rsidRDefault="00BE6A34" w:rsidP="00BE6A34">
      <w:pPr>
        <w:pStyle w:val="BodyText21"/>
        <w:overflowPunct/>
        <w:autoSpaceDE/>
        <w:autoSpaceDN/>
        <w:adjustRightInd/>
        <w:spacing w:line="276" w:lineRule="auto"/>
        <w:ind w:firstLine="708"/>
        <w:rPr>
          <w:rFonts w:ascii="Palatino Linotype" w:hAnsi="Palatino Linotype"/>
          <w:bCs/>
          <w:sz w:val="22"/>
          <w:szCs w:val="22"/>
          <w:lang w:val="es-ES"/>
        </w:rPr>
      </w:pPr>
      <w:r w:rsidRPr="00D66245">
        <w:rPr>
          <w:rFonts w:ascii="Palatino Linotype" w:hAnsi="Palatino Linotype"/>
          <w:bCs/>
          <w:sz w:val="22"/>
          <w:szCs w:val="22"/>
          <w:lang w:val="es-ES"/>
        </w:rPr>
        <w:t xml:space="preserve">ii. Alemán </w:t>
      </w:r>
    </w:p>
    <w:p w14:paraId="0821DC4B" w14:textId="77777777" w:rsidR="00BE6A34" w:rsidRPr="00D66245" w:rsidRDefault="00BE6A34" w:rsidP="00BE6A34">
      <w:pPr>
        <w:pStyle w:val="BodyText21"/>
        <w:overflowPunct/>
        <w:autoSpaceDE/>
        <w:autoSpaceDN/>
        <w:adjustRightInd/>
        <w:spacing w:line="276" w:lineRule="auto"/>
        <w:ind w:firstLine="708"/>
        <w:rPr>
          <w:rFonts w:ascii="Palatino Linotype" w:hAnsi="Palatino Linotype"/>
          <w:bCs/>
          <w:sz w:val="22"/>
          <w:szCs w:val="22"/>
          <w:lang w:val="es-ES"/>
        </w:rPr>
      </w:pPr>
      <w:r w:rsidRPr="00D66245">
        <w:rPr>
          <w:rFonts w:ascii="Palatino Linotype" w:hAnsi="Palatino Linotype"/>
          <w:bCs/>
          <w:sz w:val="22"/>
          <w:szCs w:val="22"/>
          <w:lang w:val="es-ES"/>
        </w:rPr>
        <w:t xml:space="preserve">iii. Franco-Italiano </w:t>
      </w:r>
    </w:p>
    <w:p w14:paraId="160CE3FE" w14:textId="77777777" w:rsidR="00BE6A34" w:rsidRPr="00D66245" w:rsidRDefault="00BE6A34" w:rsidP="00BE6A34">
      <w:pPr>
        <w:pStyle w:val="BodyText21"/>
        <w:numPr>
          <w:ilvl w:val="0"/>
          <w:numId w:val="5"/>
        </w:numPr>
        <w:overflowPunct/>
        <w:autoSpaceDE/>
        <w:autoSpaceDN/>
        <w:adjustRightInd/>
        <w:spacing w:line="276" w:lineRule="auto"/>
        <w:ind w:left="0"/>
        <w:rPr>
          <w:rFonts w:ascii="Palatino Linotype" w:hAnsi="Palatino Linotype"/>
          <w:bCs/>
          <w:sz w:val="22"/>
          <w:szCs w:val="22"/>
          <w:lang w:val="es-ES"/>
        </w:rPr>
      </w:pPr>
      <w:r w:rsidRPr="00D66245">
        <w:rPr>
          <w:rFonts w:ascii="Palatino Linotype" w:hAnsi="Palatino Linotype"/>
          <w:bCs/>
          <w:sz w:val="22"/>
          <w:szCs w:val="22"/>
          <w:lang w:val="es-ES"/>
        </w:rPr>
        <w:t xml:space="preserve">La casación contenciosa </w:t>
      </w:r>
    </w:p>
    <w:p w14:paraId="07934A57" w14:textId="77777777" w:rsidR="00BE6A34" w:rsidRPr="00D66245" w:rsidRDefault="00BE6A34" w:rsidP="00BE6A34">
      <w:pPr>
        <w:pStyle w:val="BodyText21"/>
        <w:overflowPunct/>
        <w:autoSpaceDE/>
        <w:autoSpaceDN/>
        <w:adjustRightInd/>
        <w:spacing w:line="276" w:lineRule="auto"/>
        <w:ind w:firstLine="708"/>
        <w:rPr>
          <w:rFonts w:ascii="Palatino Linotype" w:hAnsi="Palatino Linotype"/>
          <w:bCs/>
          <w:sz w:val="22"/>
          <w:szCs w:val="22"/>
          <w:lang w:val="es-ES"/>
        </w:rPr>
      </w:pPr>
      <w:r w:rsidRPr="00D66245">
        <w:rPr>
          <w:rFonts w:ascii="Palatino Linotype" w:hAnsi="Palatino Linotype"/>
          <w:bCs/>
          <w:sz w:val="22"/>
          <w:szCs w:val="22"/>
          <w:lang w:val="es-ES"/>
        </w:rPr>
        <w:t xml:space="preserve">a) Su tradicional falta de regulación </w:t>
      </w:r>
    </w:p>
    <w:p w14:paraId="38978E86" w14:textId="77777777" w:rsidR="00BE6A34" w:rsidRPr="00D66245" w:rsidRDefault="00BE6A34" w:rsidP="00BE6A34">
      <w:pPr>
        <w:pStyle w:val="BodyText21"/>
        <w:overflowPunct/>
        <w:autoSpaceDE/>
        <w:autoSpaceDN/>
        <w:adjustRightInd/>
        <w:spacing w:line="276" w:lineRule="auto"/>
        <w:rPr>
          <w:rFonts w:ascii="Palatino Linotype" w:hAnsi="Palatino Linotype"/>
          <w:bCs/>
          <w:sz w:val="22"/>
          <w:szCs w:val="22"/>
          <w:lang w:val="es-ES"/>
        </w:rPr>
      </w:pPr>
      <w:r w:rsidRPr="00D66245">
        <w:rPr>
          <w:rFonts w:ascii="Palatino Linotype" w:hAnsi="Palatino Linotype"/>
          <w:bCs/>
          <w:sz w:val="22"/>
          <w:szCs w:val="22"/>
          <w:lang w:val="es-ES"/>
        </w:rPr>
        <w:t xml:space="preserve">b) Incidencia de la transformación del contencioso objetivo o meramente revisor al contencioso subjetivo, plenario y universal </w:t>
      </w:r>
    </w:p>
    <w:p w14:paraId="294376E2" w14:textId="77777777" w:rsidR="00BE6A34" w:rsidRPr="00D66245" w:rsidRDefault="00BE6A34" w:rsidP="00BE6A34">
      <w:pPr>
        <w:pStyle w:val="BodyText21"/>
        <w:overflowPunct/>
        <w:autoSpaceDE/>
        <w:autoSpaceDN/>
        <w:adjustRightInd/>
        <w:spacing w:line="276" w:lineRule="auto"/>
        <w:ind w:firstLine="348"/>
        <w:rPr>
          <w:rFonts w:ascii="Palatino Linotype" w:hAnsi="Palatino Linotype"/>
          <w:bCs/>
          <w:sz w:val="22"/>
          <w:szCs w:val="22"/>
          <w:lang w:val="es-ES"/>
        </w:rPr>
      </w:pPr>
      <w:r w:rsidRPr="00D66245">
        <w:rPr>
          <w:rFonts w:ascii="Palatino Linotype" w:hAnsi="Palatino Linotype"/>
          <w:bCs/>
          <w:sz w:val="22"/>
          <w:szCs w:val="22"/>
          <w:lang w:val="es-ES"/>
        </w:rPr>
        <w:t xml:space="preserve">c) Particularidades de la casación contenciosa costarricense </w:t>
      </w:r>
    </w:p>
    <w:p w14:paraId="1C348B87" w14:textId="77777777" w:rsidR="00BE6A34" w:rsidRPr="00D66245" w:rsidRDefault="00BE6A34" w:rsidP="00BE6A34">
      <w:pPr>
        <w:pStyle w:val="BodyText21"/>
        <w:overflowPunct/>
        <w:autoSpaceDE/>
        <w:autoSpaceDN/>
        <w:adjustRightInd/>
        <w:spacing w:line="276" w:lineRule="auto"/>
        <w:ind w:firstLine="348"/>
        <w:rPr>
          <w:rFonts w:ascii="Palatino Linotype" w:hAnsi="Palatino Linotype"/>
          <w:bCs/>
          <w:sz w:val="22"/>
          <w:szCs w:val="22"/>
          <w:lang w:val="es-ES"/>
        </w:rPr>
      </w:pPr>
      <w:r w:rsidRPr="00D66245">
        <w:rPr>
          <w:rFonts w:ascii="Palatino Linotype" w:hAnsi="Palatino Linotype"/>
          <w:bCs/>
          <w:sz w:val="22"/>
          <w:szCs w:val="22"/>
          <w:lang w:val="es-ES"/>
        </w:rPr>
        <w:t xml:space="preserve">d) El caso costarricense en la práctica: los números puros y duros </w:t>
      </w:r>
    </w:p>
    <w:p w14:paraId="26D98233" w14:textId="77777777" w:rsidR="00BE6A34" w:rsidRPr="00D66245" w:rsidRDefault="00BE6A34" w:rsidP="00BE6A34">
      <w:pPr>
        <w:pStyle w:val="BodyText21"/>
        <w:overflowPunct/>
        <w:autoSpaceDE/>
        <w:autoSpaceDN/>
        <w:adjustRightInd/>
        <w:spacing w:line="276" w:lineRule="auto"/>
        <w:ind w:firstLine="360"/>
        <w:rPr>
          <w:rFonts w:ascii="Palatino Linotype" w:hAnsi="Palatino Linotype"/>
          <w:bCs/>
          <w:sz w:val="22"/>
          <w:szCs w:val="22"/>
          <w:lang w:val="es-ES"/>
        </w:rPr>
      </w:pPr>
      <w:r w:rsidRPr="00D66245">
        <w:rPr>
          <w:rFonts w:ascii="Palatino Linotype" w:hAnsi="Palatino Linotype"/>
          <w:bCs/>
          <w:sz w:val="22"/>
          <w:szCs w:val="22"/>
          <w:lang w:val="es-ES"/>
        </w:rPr>
        <w:t>4. Conclusión</w:t>
      </w:r>
    </w:p>
    <w:p w14:paraId="0F8BE520" w14:textId="77777777" w:rsidR="00BE6A34" w:rsidRPr="00D66245" w:rsidRDefault="00BE6A34" w:rsidP="00BE6A34">
      <w:pPr>
        <w:pStyle w:val="Prrafodelista"/>
        <w:numPr>
          <w:ilvl w:val="0"/>
          <w:numId w:val="1"/>
        </w:numPr>
        <w:spacing w:before="120" w:after="200" w:line="240" w:lineRule="auto"/>
        <w:ind w:left="0" w:firstLine="0"/>
        <w:contextualSpacing w:val="0"/>
        <w:jc w:val="both"/>
        <w:rPr>
          <w:rFonts w:ascii="Palatino Linotype" w:eastAsia="Calibri" w:hAnsi="Palatino Linotype" w:cs="Times New Roman"/>
          <w:b/>
          <w:bCs/>
        </w:rPr>
      </w:pPr>
      <w:r w:rsidRPr="00D66245">
        <w:rPr>
          <w:rFonts w:ascii="Palatino Linotype" w:eastAsia="Calibri" w:hAnsi="Palatino Linotype" w:cs="Times New Roman"/>
          <w:b/>
          <w:bCs/>
        </w:rPr>
        <w:t xml:space="preserve">Introducción </w:t>
      </w:r>
    </w:p>
    <w:p w14:paraId="04E1BF2B" w14:textId="77777777" w:rsidR="00BE6A34" w:rsidRPr="00D66245" w:rsidRDefault="00BE6A34" w:rsidP="00BE6A34">
      <w:pPr>
        <w:pStyle w:val="NormalWeb"/>
        <w:shd w:val="clear" w:color="auto" w:fill="FFFFFF"/>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Sin duda, la casación contenciosa costarricense es un instrumento jurídico único, de vanguardia e innovador. Pretende cumplir con tres fines a </w:t>
      </w:r>
      <w:r w:rsidRPr="00D66245">
        <w:rPr>
          <w:rFonts w:ascii="Palatino Linotype" w:eastAsiaTheme="minorEastAsia" w:hAnsi="Palatino Linotype"/>
          <w:snapToGrid w:val="0"/>
          <w:sz w:val="22"/>
          <w:szCs w:val="22"/>
          <w:lang w:eastAsia="en-US"/>
        </w:rPr>
        <w:lastRenderedPageBreak/>
        <w:t>la vez: la nomofilaxis, la uniformidad de la jurisprudencia y la justicia del caso</w:t>
      </w:r>
      <w:r w:rsidRPr="00D66245">
        <w:rPr>
          <w:rStyle w:val="Refdenotaalpie"/>
          <w:rFonts w:ascii="Palatino Linotype" w:eastAsiaTheme="minorEastAsia" w:hAnsi="Palatino Linotype"/>
          <w:snapToGrid w:val="0"/>
          <w:sz w:val="22"/>
          <w:szCs w:val="22"/>
          <w:lang w:eastAsia="en-US"/>
        </w:rPr>
        <w:footnoteReference w:id="108"/>
      </w:r>
      <w:r w:rsidRPr="00D66245">
        <w:rPr>
          <w:rFonts w:ascii="Palatino Linotype" w:eastAsiaTheme="minorEastAsia" w:hAnsi="Palatino Linotype"/>
          <w:snapToGrid w:val="0"/>
          <w:sz w:val="22"/>
          <w:szCs w:val="22"/>
          <w:lang w:eastAsia="en-US"/>
        </w:rPr>
        <w:t xml:space="preserve">; algo así como resolver el dilema de la Trinidad imposible. </w:t>
      </w:r>
    </w:p>
    <w:p w14:paraId="636F789F" w14:textId="77777777" w:rsidR="00BE6A34" w:rsidRPr="00D66245" w:rsidRDefault="00BE6A34" w:rsidP="00BE6A34">
      <w:pPr>
        <w:pStyle w:val="NormalWeb"/>
        <w:shd w:val="clear" w:color="auto" w:fill="FFFFFF"/>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Y es que, mientras que en la teología, uno de los problemas a resolver siempre ha sido el misterio de la Santísima Trinidad: Padre, Hijo y Espíritu Santo, tres personas y un sólo Dios; en la economía, por su parte, el dilema a resolver es que,</w:t>
      </w:r>
      <w:r w:rsidRPr="00D66245">
        <w:rPr>
          <w:rFonts w:ascii="Palatino Linotype" w:hAnsi="Palatino Linotype" w:cs="Arial"/>
          <w:sz w:val="22"/>
          <w:szCs w:val="22"/>
        </w:rPr>
        <w:t xml:space="preserve"> </w:t>
      </w:r>
      <w:r w:rsidRPr="00D66245">
        <w:rPr>
          <w:rFonts w:ascii="Palatino Linotype" w:hAnsi="Palatino Linotype"/>
          <w:sz w:val="22"/>
          <w:szCs w:val="22"/>
        </w:rPr>
        <w:t>como explica Paul Krugman: "no se puede tener todo: un país debe elegir dos de cada tres. Puede fijar su tipo de cambio sin debilitar a su banco central, pero sólo mediante el mantenimiento de controles sobre los flujos de capital (como el de hoy en China), puede permitir la libre movilidad de capitales manteniendo la autonomía monetaria, pero sólo a expensas de dejar que el tipo de cambio fluctúe (como Gran Bretaña - o Canadá), o puede optar por permitir el libre movimiento de capitales y estabilizar la moneda, pero sólo optando por el abandono de cualquier posibilidad de ajustar las tasas de interés para combatir la inflación o la recesión (como la Argentina de 1999,​ o la mayoría de Europa)."</w:t>
      </w:r>
      <w:r w:rsidRPr="00D66245">
        <w:rPr>
          <w:rStyle w:val="Refdenotaalpie"/>
          <w:rFonts w:ascii="Palatino Linotype" w:eastAsiaTheme="majorEastAsia" w:hAnsi="Palatino Linotype"/>
          <w:sz w:val="22"/>
          <w:szCs w:val="22"/>
        </w:rPr>
        <w:footnoteReference w:id="109"/>
      </w:r>
      <w:r w:rsidRPr="00D66245">
        <w:rPr>
          <w:rFonts w:ascii="Palatino Linotype" w:eastAsiaTheme="minorEastAsia" w:hAnsi="Palatino Linotype"/>
          <w:snapToGrid w:val="0"/>
          <w:sz w:val="22"/>
          <w:szCs w:val="22"/>
          <w:lang w:eastAsia="en-US"/>
        </w:rPr>
        <w:t xml:space="preserve"> </w:t>
      </w:r>
    </w:p>
    <w:p w14:paraId="46736376" w14:textId="77777777" w:rsidR="00BE6A34" w:rsidRPr="00D66245" w:rsidRDefault="00BE6A34" w:rsidP="00BE6A34">
      <w:pPr>
        <w:pStyle w:val="NormalWeb"/>
        <w:shd w:val="clear" w:color="auto" w:fill="FFFFFF"/>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Pues bien, en la casación contenciosa sucede algo similar, pues a veces la Sala Primera de la Corte Suprema de Justicia (en su doble faz de Sala de Casación y Tribunal de Casación) debe comportarse </w:t>
      </w:r>
      <w:r w:rsidRPr="00D66245">
        <w:rPr>
          <w:rFonts w:ascii="Palatino Linotype" w:hAnsi="Palatino Linotype"/>
          <w:sz w:val="22"/>
          <w:szCs w:val="22"/>
        </w:rPr>
        <w:t>como custodio de la legalidad, en otras ocasiones como unificador de la jurisprudencia y más a menudo como juez del caso concreto; funciones que también parecen incompatibles entre sí</w:t>
      </w:r>
      <w:r w:rsidRPr="00D66245">
        <w:rPr>
          <w:rStyle w:val="Refdenotaalpie"/>
          <w:rFonts w:ascii="Palatino Linotype" w:eastAsiaTheme="majorEastAsia" w:hAnsi="Palatino Linotype"/>
          <w:sz w:val="22"/>
          <w:szCs w:val="22"/>
        </w:rPr>
        <w:footnoteReference w:id="110"/>
      </w:r>
      <w:r w:rsidRPr="00D66245">
        <w:rPr>
          <w:rFonts w:ascii="Palatino Linotype" w:hAnsi="Palatino Linotype"/>
          <w:sz w:val="22"/>
          <w:szCs w:val="22"/>
        </w:rPr>
        <w:t xml:space="preserve">, o cuando menos, difíciles de lograr todas a la vez. </w:t>
      </w:r>
    </w:p>
    <w:p w14:paraId="53BB730B"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Es por ello que, en el marco de este IX Congreso Internacional de Derecho Procesal, resulta enriquecedor - aunque de suyo arduo - escudriñar las raíces de la casación contenciosa costarricense, adivinar sus motivos, descubrir su naturaleza y comprobar el cumplimiento de sus fines, para </w:t>
      </w:r>
      <w:r w:rsidRPr="00D66245">
        <w:rPr>
          <w:rFonts w:ascii="Palatino Linotype" w:eastAsiaTheme="minorEastAsia" w:hAnsi="Palatino Linotype"/>
          <w:snapToGrid w:val="0"/>
          <w:sz w:val="22"/>
          <w:szCs w:val="22"/>
          <w:lang w:eastAsia="en-US"/>
        </w:rPr>
        <w:lastRenderedPageBreak/>
        <w:t>finalmente determinar si – como advierte Taruffo – “seguimos viviendo en un sistema creyendo estar en otro.”</w:t>
      </w:r>
      <w:r w:rsidRPr="00D66245">
        <w:rPr>
          <w:rStyle w:val="Refdenotaalpie"/>
          <w:rFonts w:ascii="Palatino Linotype" w:eastAsiaTheme="minorEastAsia" w:hAnsi="Palatino Linotype"/>
          <w:snapToGrid w:val="0"/>
          <w:sz w:val="22"/>
          <w:szCs w:val="22"/>
          <w:lang w:eastAsia="en-US"/>
        </w:rPr>
        <w:footnoteReference w:id="111"/>
      </w:r>
      <w:r w:rsidRPr="00D66245">
        <w:rPr>
          <w:rFonts w:ascii="Palatino Linotype" w:eastAsiaTheme="minorEastAsia" w:hAnsi="Palatino Linotype"/>
          <w:snapToGrid w:val="0"/>
          <w:sz w:val="22"/>
          <w:szCs w:val="22"/>
          <w:lang w:eastAsia="en-US"/>
        </w:rPr>
        <w:t xml:space="preserve">  </w:t>
      </w:r>
    </w:p>
    <w:p w14:paraId="59394A48" w14:textId="77777777" w:rsidR="00BE6A34" w:rsidRPr="00D66245" w:rsidRDefault="00BE6A34" w:rsidP="00BE6A34">
      <w:pPr>
        <w:pStyle w:val="Prrafodelista"/>
        <w:numPr>
          <w:ilvl w:val="0"/>
          <w:numId w:val="1"/>
        </w:numPr>
        <w:spacing w:before="120" w:after="200" w:line="240" w:lineRule="auto"/>
        <w:ind w:left="0" w:firstLine="0"/>
        <w:contextualSpacing w:val="0"/>
        <w:jc w:val="both"/>
        <w:rPr>
          <w:rFonts w:ascii="Palatino Linotype" w:eastAsia="Calibri" w:hAnsi="Palatino Linotype" w:cs="Times New Roman"/>
          <w:b/>
          <w:bCs/>
        </w:rPr>
      </w:pPr>
      <w:r w:rsidRPr="00D66245">
        <w:rPr>
          <w:rFonts w:ascii="Palatino Linotype" w:eastAsia="Calibri" w:hAnsi="Palatino Linotype" w:cs="Times New Roman"/>
          <w:b/>
          <w:bCs/>
        </w:rPr>
        <w:t>La Casación En General</w:t>
      </w:r>
    </w:p>
    <w:p w14:paraId="05E38B78" w14:textId="77777777" w:rsidR="00BE6A34" w:rsidRPr="00D66245" w:rsidRDefault="00BE6A34" w:rsidP="00BE6A34">
      <w:pPr>
        <w:pStyle w:val="Prrafodelista"/>
        <w:numPr>
          <w:ilvl w:val="1"/>
          <w:numId w:val="1"/>
        </w:numPr>
        <w:spacing w:before="120" w:after="200" w:line="240" w:lineRule="auto"/>
        <w:ind w:left="0" w:firstLine="0"/>
        <w:contextualSpacing w:val="0"/>
        <w:jc w:val="both"/>
        <w:rPr>
          <w:rFonts w:ascii="Palatino Linotype" w:eastAsia="Calibri" w:hAnsi="Palatino Linotype" w:cs="Times New Roman"/>
          <w:b/>
          <w:bCs/>
        </w:rPr>
      </w:pPr>
      <w:r w:rsidRPr="00D66245">
        <w:rPr>
          <w:rFonts w:ascii="Palatino Linotype" w:eastAsia="Calibri" w:hAnsi="Palatino Linotype" w:cs="Times New Roman"/>
          <w:b/>
          <w:bCs/>
        </w:rPr>
        <w:t xml:space="preserve">Origen y Evolución </w:t>
      </w:r>
    </w:p>
    <w:p w14:paraId="056A2FDF" w14:textId="77777777" w:rsidR="00BE6A34" w:rsidRPr="00D66245" w:rsidRDefault="00BE6A34" w:rsidP="00BE6A34">
      <w:pPr>
        <w:pStyle w:val="NormalWeb"/>
        <w:shd w:val="clear" w:color="auto" w:fill="FFFFFF"/>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Si el nacimiento del recurso de apelación puede situarse desde épocas tan lejanas como el Imperio romano</w:t>
      </w:r>
      <w:r w:rsidRPr="00D66245">
        <w:rPr>
          <w:rFonts w:ascii="Palatino Linotype" w:eastAsiaTheme="minorEastAsia" w:hAnsi="Palatino Linotype"/>
          <w:sz w:val="22"/>
          <w:szCs w:val="22"/>
          <w:vertAlign w:val="superscript"/>
        </w:rPr>
        <w:footnoteReference w:id="112"/>
      </w:r>
      <w:r w:rsidRPr="00D66245">
        <w:rPr>
          <w:rFonts w:ascii="Palatino Linotype" w:eastAsiaTheme="minorEastAsia" w:hAnsi="Palatino Linotype"/>
          <w:snapToGrid w:val="0"/>
          <w:sz w:val="22"/>
          <w:szCs w:val="22"/>
          <w:lang w:eastAsia="en-US"/>
        </w:rPr>
        <w:t>, la casación, por su parte, nace exclusivamente en Francia</w:t>
      </w:r>
      <w:r w:rsidRPr="00D66245">
        <w:rPr>
          <w:rFonts w:ascii="Palatino Linotype" w:eastAsiaTheme="minorEastAsia" w:hAnsi="Palatino Linotype"/>
          <w:snapToGrid w:val="0"/>
          <w:sz w:val="22"/>
          <w:szCs w:val="22"/>
          <w:vertAlign w:val="superscript"/>
          <w:lang w:eastAsia="en-US"/>
        </w:rPr>
        <w:footnoteReference w:id="113"/>
      </w:r>
      <w:r w:rsidRPr="00D66245">
        <w:rPr>
          <w:rFonts w:ascii="Palatino Linotype" w:eastAsiaTheme="minorEastAsia" w:hAnsi="Palatino Linotype"/>
          <w:snapToGrid w:val="0"/>
          <w:sz w:val="22"/>
          <w:szCs w:val="22"/>
          <w:lang w:eastAsia="en-US"/>
        </w:rPr>
        <w:t xml:space="preserve"> y cristaliza en el Decreto de la Asamblea Constituyente de la Revolución Francesa de 1 de diciembre de 1870.</w:t>
      </w:r>
      <w:r w:rsidRPr="00D66245">
        <w:rPr>
          <w:rFonts w:ascii="Palatino Linotype" w:eastAsiaTheme="minorEastAsia" w:hAnsi="Palatino Linotype"/>
          <w:snapToGrid w:val="0"/>
          <w:sz w:val="22"/>
          <w:szCs w:val="22"/>
          <w:vertAlign w:val="superscript"/>
          <w:lang w:eastAsia="en-US"/>
        </w:rPr>
        <w:footnoteReference w:id="114"/>
      </w:r>
      <w:r w:rsidRPr="00D66245">
        <w:rPr>
          <w:rFonts w:ascii="Palatino Linotype" w:eastAsiaTheme="minorEastAsia" w:hAnsi="Palatino Linotype"/>
          <w:snapToGrid w:val="0"/>
          <w:sz w:val="22"/>
          <w:szCs w:val="22"/>
          <w:lang w:eastAsia="en-US"/>
        </w:rPr>
        <w:t xml:space="preserve">  </w:t>
      </w:r>
    </w:p>
    <w:p w14:paraId="55BB371B" w14:textId="77777777" w:rsidR="00BE6A34" w:rsidRPr="00D66245" w:rsidRDefault="00BE6A34" w:rsidP="00BE6A34">
      <w:pPr>
        <w:pStyle w:val="NormalWeb"/>
        <w:shd w:val="clear" w:color="auto" w:fill="FFFFFF"/>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Ahora, la aparición de la </w:t>
      </w:r>
      <w:r w:rsidRPr="00D66245">
        <w:rPr>
          <w:rFonts w:ascii="Palatino Linotype" w:hAnsi="Palatino Linotype"/>
          <w:sz w:val="22"/>
          <w:szCs w:val="22"/>
        </w:rPr>
        <w:t>casación no puede entenderse de forma aislada. Antes bien, surgió</w:t>
      </w:r>
      <w:r w:rsidRPr="00D66245">
        <w:rPr>
          <w:rFonts w:ascii="Palatino Linotype" w:eastAsiaTheme="minorEastAsia" w:hAnsi="Palatino Linotype"/>
          <w:snapToGrid w:val="0"/>
          <w:sz w:val="22"/>
          <w:szCs w:val="22"/>
          <w:lang w:eastAsia="en-US"/>
        </w:rPr>
        <w:t xml:space="preserve"> como una técnica de control negativo para reprimir las tentaciones de los jueces de invadir las competencias legislativas.</w:t>
      </w:r>
      <w:r w:rsidRPr="00D66245">
        <w:rPr>
          <w:rStyle w:val="Refdenotaalpie"/>
          <w:rFonts w:ascii="Palatino Linotype" w:eastAsiaTheme="minorEastAsia" w:hAnsi="Palatino Linotype"/>
          <w:snapToGrid w:val="0"/>
          <w:sz w:val="22"/>
          <w:szCs w:val="22"/>
          <w:lang w:eastAsia="en-US"/>
        </w:rPr>
        <w:footnoteReference w:id="115"/>
      </w:r>
      <w:r w:rsidRPr="00D66245">
        <w:rPr>
          <w:rFonts w:ascii="Palatino Linotype" w:eastAsiaTheme="minorEastAsia" w:hAnsi="Palatino Linotype"/>
          <w:snapToGrid w:val="0"/>
          <w:sz w:val="22"/>
          <w:szCs w:val="22"/>
          <w:lang w:eastAsia="en-US"/>
        </w:rPr>
        <w:t xml:space="preserve"> En efecto, e</w:t>
      </w:r>
      <w:r w:rsidRPr="00D66245">
        <w:rPr>
          <w:rFonts w:ascii="Palatino Linotype" w:hAnsi="Palatino Linotype"/>
          <w:sz w:val="22"/>
          <w:szCs w:val="22"/>
        </w:rPr>
        <w:t xml:space="preserve">l </w:t>
      </w:r>
      <w:r w:rsidRPr="00D66245">
        <w:rPr>
          <w:rFonts w:ascii="Palatino Linotype" w:hAnsi="Palatino Linotype"/>
          <w:i/>
          <w:sz w:val="22"/>
          <w:szCs w:val="22"/>
        </w:rPr>
        <w:t>Tribunal de Cassation</w:t>
      </w:r>
      <w:r w:rsidRPr="00D66245">
        <w:rPr>
          <w:rFonts w:ascii="Palatino Linotype" w:hAnsi="Palatino Linotype"/>
          <w:sz w:val="22"/>
          <w:szCs w:val="22"/>
        </w:rPr>
        <w:t xml:space="preserve">, a pesar de su denominación, no formaba parte del Poder Judicial, sino que era un órgano complementario y subsidiario del Poder Legislativo, cuya función no era garantizar la sujeción del juez a la ley, sino evitar la </w:t>
      </w:r>
      <w:r w:rsidRPr="00D66245">
        <w:rPr>
          <w:rFonts w:ascii="Palatino Linotype" w:eastAsiaTheme="minorEastAsia" w:hAnsi="Palatino Linotype"/>
          <w:snapToGrid w:val="0"/>
          <w:sz w:val="22"/>
          <w:szCs w:val="22"/>
          <w:lang w:eastAsia="en-US"/>
        </w:rPr>
        <w:t>existencia misma de la jurisprudencia; esto es, de cualquier interpretación de la ley.</w:t>
      </w:r>
      <w:r w:rsidRPr="00D66245">
        <w:rPr>
          <w:rStyle w:val="Refdenotaalpie"/>
          <w:rFonts w:ascii="Palatino Linotype" w:eastAsiaTheme="minorEastAsia" w:hAnsi="Palatino Linotype"/>
          <w:snapToGrid w:val="0"/>
          <w:sz w:val="22"/>
          <w:szCs w:val="22"/>
          <w:lang w:eastAsia="en-US"/>
        </w:rPr>
        <w:footnoteReference w:id="116"/>
      </w:r>
      <w:r w:rsidRPr="00D66245">
        <w:rPr>
          <w:rFonts w:ascii="Palatino Linotype" w:eastAsiaTheme="minorEastAsia" w:hAnsi="Palatino Linotype"/>
          <w:snapToGrid w:val="0"/>
          <w:sz w:val="22"/>
          <w:szCs w:val="22"/>
          <w:lang w:eastAsia="en-US"/>
        </w:rPr>
        <w:t xml:space="preserve"> </w:t>
      </w:r>
    </w:p>
    <w:p w14:paraId="0A3DF063"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Fueron especialmente dos factores los que impulsaron la creación del </w:t>
      </w:r>
      <w:r w:rsidRPr="00D66245">
        <w:rPr>
          <w:rFonts w:ascii="Palatino Linotype" w:eastAsiaTheme="minorEastAsia" w:hAnsi="Palatino Linotype"/>
          <w:i/>
          <w:snapToGrid w:val="0"/>
          <w:sz w:val="22"/>
          <w:szCs w:val="22"/>
          <w:lang w:eastAsia="en-US"/>
        </w:rPr>
        <w:t>Tribunal de Cassation.</w:t>
      </w:r>
      <w:r w:rsidRPr="00D66245">
        <w:rPr>
          <w:rFonts w:ascii="Palatino Linotype" w:eastAsiaTheme="minorEastAsia" w:hAnsi="Palatino Linotype"/>
          <w:snapToGrid w:val="0"/>
          <w:sz w:val="22"/>
          <w:szCs w:val="22"/>
          <w:lang w:eastAsia="en-US"/>
        </w:rPr>
        <w:t xml:space="preserve"> Por un lado, las prácticas invasoras de los </w:t>
      </w:r>
      <w:r w:rsidRPr="00D66245">
        <w:rPr>
          <w:rFonts w:ascii="Palatino Linotype" w:eastAsiaTheme="minorEastAsia" w:hAnsi="Palatino Linotype"/>
          <w:i/>
          <w:snapToGrid w:val="0"/>
          <w:sz w:val="22"/>
          <w:szCs w:val="22"/>
          <w:lang w:eastAsia="en-US"/>
        </w:rPr>
        <w:t xml:space="preserve">Parliaments </w:t>
      </w:r>
      <w:r w:rsidRPr="00D66245">
        <w:rPr>
          <w:rFonts w:ascii="Palatino Linotype" w:eastAsiaTheme="minorEastAsia" w:hAnsi="Palatino Linotype"/>
          <w:snapToGrid w:val="0"/>
          <w:sz w:val="22"/>
          <w:szCs w:val="22"/>
          <w:lang w:eastAsia="en-US"/>
        </w:rPr>
        <w:t xml:space="preserve">durante el </w:t>
      </w:r>
      <w:r w:rsidRPr="00D66245">
        <w:rPr>
          <w:rFonts w:ascii="Palatino Linotype" w:eastAsiaTheme="minorEastAsia" w:hAnsi="Palatino Linotype"/>
          <w:i/>
          <w:snapToGrid w:val="0"/>
          <w:sz w:val="22"/>
          <w:szCs w:val="22"/>
          <w:lang w:eastAsia="en-US"/>
        </w:rPr>
        <w:t xml:space="preserve">Ancien Régime </w:t>
      </w:r>
      <w:r w:rsidRPr="00D66245">
        <w:rPr>
          <w:rFonts w:ascii="Palatino Linotype" w:eastAsiaTheme="minorEastAsia" w:hAnsi="Palatino Linotype"/>
          <w:snapToGrid w:val="0"/>
          <w:sz w:val="22"/>
          <w:szCs w:val="22"/>
          <w:lang w:eastAsia="en-US"/>
        </w:rPr>
        <w:t xml:space="preserve">en el terreno reservado al Monarca y, por otro, las bases teóricas del nuevo sistema surgido de la Revolución, a saber: la primacía del Parlamento y la exaltación de la ley. Aunado a ello, las tesis de Rousseau y Montesquieu sobre la separación de poderes, la igualdad de todos los ciudadanos ante la ley y la comprensión de está última como expresión de la voluntad popular, imponían la necesidad de crear </w:t>
      </w:r>
      <w:r w:rsidRPr="00D66245">
        <w:rPr>
          <w:rFonts w:ascii="Palatino Linotype" w:eastAsiaTheme="minorEastAsia" w:hAnsi="Palatino Linotype"/>
          <w:snapToGrid w:val="0"/>
          <w:sz w:val="22"/>
          <w:szCs w:val="22"/>
          <w:lang w:eastAsia="en-US"/>
        </w:rPr>
        <w:lastRenderedPageBreak/>
        <w:t xml:space="preserve">instrumentos capaces de someter a los jueces a la ley para evitar las prácticas que otrora habían sido tan habituales y que obligaron a establecer un órgano de control sobre aquellos: el </w:t>
      </w:r>
      <w:r w:rsidRPr="00D66245">
        <w:rPr>
          <w:rFonts w:ascii="Palatino Linotype" w:eastAsiaTheme="minorEastAsia" w:hAnsi="Palatino Linotype"/>
          <w:i/>
          <w:snapToGrid w:val="0"/>
          <w:sz w:val="22"/>
          <w:szCs w:val="22"/>
          <w:lang w:eastAsia="en-US"/>
        </w:rPr>
        <w:t xml:space="preserve">Conseil des Parties. </w:t>
      </w:r>
      <w:r w:rsidRPr="00D66245">
        <w:rPr>
          <w:rFonts w:ascii="Palatino Linotype" w:eastAsiaTheme="minorEastAsia" w:hAnsi="Palatino Linotype"/>
          <w:snapToGrid w:val="0"/>
          <w:sz w:val="22"/>
          <w:szCs w:val="22"/>
          <w:lang w:eastAsia="en-US"/>
        </w:rPr>
        <w:t xml:space="preserve">De suerte tal que, fueron precisamente esas extralimitaciones de los jueces en el terreno reservado al Monarca, lugar ocupado a partir de la Revolución por la ley, y en consecuencia, la desconfianza hacia su actuación, las que hicieron pensar a los revolucionarios franceses que una mera declaración de primacía de la ley no sería garantía suficiente para salvaguardar el principio sobre el que pretendía fundarse el nuevo Estado; en realidad, se hacía necesario crear un órgano </w:t>
      </w:r>
      <w:r w:rsidRPr="00D66245">
        <w:rPr>
          <w:rFonts w:ascii="Palatino Linotype" w:eastAsiaTheme="minorEastAsia" w:hAnsi="Palatino Linotype"/>
          <w:i/>
          <w:snapToGrid w:val="0"/>
          <w:sz w:val="22"/>
          <w:szCs w:val="22"/>
          <w:lang w:eastAsia="en-US"/>
        </w:rPr>
        <w:t>ad hoc</w:t>
      </w:r>
      <w:r w:rsidRPr="00D66245">
        <w:rPr>
          <w:rFonts w:ascii="Palatino Linotype" w:eastAsiaTheme="minorEastAsia" w:hAnsi="Palatino Linotype"/>
          <w:snapToGrid w:val="0"/>
          <w:sz w:val="22"/>
          <w:szCs w:val="22"/>
          <w:lang w:eastAsia="en-US"/>
        </w:rPr>
        <w:t xml:space="preserve"> que garantizara tal principio de primacía de la ley frente a las posibles injerencias de los titulares del Poder Judicial.</w:t>
      </w:r>
    </w:p>
    <w:p w14:paraId="053BB6D2"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La Revolución destruyó por completo el sistema del Antiguo Régimen y sustituyó la posición superior del Rey en cuanto vicario de Dios sobre la tierra, por la idea de que el poder político es una autodisposición de la sociedad sobre sí misma, a través de la voluntad general surgida del pacto social, la cual se expresa por medio de la ley. El resultado de esta rectificación se expresará en una idea sumamente simple: en lugar de los hombres, en adelante van a mandar las leyes.</w:t>
      </w:r>
      <w:r w:rsidRPr="00D66245">
        <w:rPr>
          <w:rStyle w:val="Refdenotaalpie"/>
          <w:rFonts w:ascii="Palatino Linotype" w:eastAsiaTheme="minorEastAsia" w:hAnsi="Palatino Linotype"/>
          <w:snapToGrid w:val="0"/>
          <w:sz w:val="22"/>
          <w:szCs w:val="22"/>
          <w:lang w:eastAsia="en-US"/>
        </w:rPr>
        <w:footnoteReference w:id="117"/>
      </w:r>
    </w:p>
    <w:p w14:paraId="5EE15A3F"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Esa exaltación de la ley hizo que se concibiera a los jueces como meros aplicadores de la ley. La ley lo podía todo y la labor del juez debía limitarse a “declarar” qué ley era aplicable al caso, en </w:t>
      </w:r>
      <w:r w:rsidRPr="00D66245">
        <w:rPr>
          <w:rFonts w:ascii="Palatino Linotype" w:hAnsi="Palatino Linotype"/>
          <w:sz w:val="22"/>
          <w:szCs w:val="22"/>
        </w:rPr>
        <w:t xml:space="preserve">la conocida expresión de Montesquieu: </w:t>
      </w:r>
      <w:r w:rsidRPr="00D66245">
        <w:rPr>
          <w:rFonts w:ascii="Palatino Linotype" w:hAnsi="Palatino Linotype"/>
          <w:i/>
          <w:sz w:val="22"/>
          <w:szCs w:val="22"/>
        </w:rPr>
        <w:t>“Le juge est la bouche qui prononce les paroles de la loi”.</w:t>
      </w:r>
      <w:r w:rsidRPr="00D66245">
        <w:rPr>
          <w:rFonts w:ascii="Palatino Linotype" w:eastAsiaTheme="minorEastAsia" w:hAnsi="Palatino Linotype"/>
          <w:snapToGrid w:val="0"/>
          <w:sz w:val="22"/>
          <w:szCs w:val="22"/>
          <w:lang w:eastAsia="en-US"/>
        </w:rPr>
        <w:t xml:space="preserve"> Desde esta perspectiva, la idea de la jurisprudencia - como interpretación judicial de la ley - era considerada como una invasión del ámbito legislativo por los jueces. Por ello, diría en su momento Robespierre: “El término jurisprudencia debe borrarse de nuestra lengua. En un Estado que tiene una Constitución, una legislación, la jurisprudencia de los tribunales no es otra cosa que la ley.”</w:t>
      </w:r>
      <w:r w:rsidRPr="00D66245">
        <w:rPr>
          <w:rStyle w:val="Refdenotaalpie"/>
          <w:rFonts w:ascii="Palatino Linotype" w:eastAsiaTheme="minorEastAsia" w:hAnsi="Palatino Linotype"/>
          <w:snapToGrid w:val="0"/>
          <w:sz w:val="22"/>
          <w:szCs w:val="22"/>
          <w:lang w:eastAsia="en-US"/>
        </w:rPr>
        <w:footnoteReference w:id="118"/>
      </w:r>
      <w:r w:rsidRPr="00D66245">
        <w:rPr>
          <w:rFonts w:ascii="Palatino Linotype" w:eastAsiaTheme="minorEastAsia" w:hAnsi="Palatino Linotype"/>
          <w:snapToGrid w:val="0"/>
          <w:sz w:val="22"/>
          <w:szCs w:val="22"/>
          <w:lang w:eastAsia="en-US"/>
        </w:rPr>
        <w:t xml:space="preserve"> </w:t>
      </w:r>
    </w:p>
    <w:p w14:paraId="0650196D"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Pues bien, esa preocupación por mantener alejado al Poder Judicial del campo reservado al legislador cristalizó en dos institutos: i) el llamado </w:t>
      </w:r>
      <w:r w:rsidRPr="00D66245">
        <w:rPr>
          <w:rFonts w:ascii="Palatino Linotype" w:eastAsiaTheme="minorEastAsia" w:hAnsi="Palatino Linotype"/>
          <w:i/>
          <w:snapToGrid w:val="0"/>
          <w:sz w:val="22"/>
          <w:szCs w:val="22"/>
          <w:lang w:eastAsia="en-US"/>
        </w:rPr>
        <w:t xml:space="preserve">référé legislatif facultatif; </w:t>
      </w:r>
      <w:r w:rsidRPr="00D66245">
        <w:rPr>
          <w:rFonts w:ascii="Palatino Linotype" w:eastAsiaTheme="minorEastAsia" w:hAnsi="Palatino Linotype"/>
          <w:snapToGrid w:val="0"/>
          <w:sz w:val="22"/>
          <w:szCs w:val="22"/>
          <w:lang w:eastAsia="en-US"/>
        </w:rPr>
        <w:t xml:space="preserve">y ii) el </w:t>
      </w:r>
      <w:r w:rsidRPr="00D66245">
        <w:rPr>
          <w:rFonts w:ascii="Palatino Linotype" w:eastAsiaTheme="minorEastAsia" w:hAnsi="Palatino Linotype"/>
          <w:i/>
          <w:snapToGrid w:val="0"/>
          <w:sz w:val="22"/>
          <w:szCs w:val="22"/>
          <w:lang w:eastAsia="en-US"/>
        </w:rPr>
        <w:t xml:space="preserve">référé obligatoire au législateur. </w:t>
      </w:r>
      <w:r w:rsidRPr="00D66245">
        <w:rPr>
          <w:rFonts w:ascii="Palatino Linotype" w:eastAsiaTheme="minorEastAsia" w:hAnsi="Palatino Linotype"/>
          <w:snapToGrid w:val="0"/>
          <w:sz w:val="22"/>
          <w:szCs w:val="22"/>
          <w:lang w:eastAsia="en-US"/>
        </w:rPr>
        <w:t xml:space="preserve">Por medio del primero se permitía al juez que tuviera dudas en cuanto a qué ley era aplicable a un supuesto concreto dirigirse al Poder Legislativo con el objeto </w:t>
      </w:r>
      <w:r w:rsidRPr="00D66245">
        <w:rPr>
          <w:rFonts w:ascii="Palatino Linotype" w:eastAsiaTheme="minorEastAsia" w:hAnsi="Palatino Linotype"/>
          <w:snapToGrid w:val="0"/>
          <w:sz w:val="22"/>
          <w:szCs w:val="22"/>
          <w:lang w:eastAsia="en-US"/>
        </w:rPr>
        <w:lastRenderedPageBreak/>
        <w:t xml:space="preserve">de que éste se pronunciara acerca de la norma que debía aplicar; mientras que el segundo consistió en un control </w:t>
      </w:r>
      <w:r w:rsidRPr="00D66245">
        <w:rPr>
          <w:rFonts w:ascii="Palatino Linotype" w:eastAsiaTheme="minorEastAsia" w:hAnsi="Palatino Linotype"/>
          <w:i/>
          <w:snapToGrid w:val="0"/>
          <w:sz w:val="22"/>
          <w:szCs w:val="22"/>
          <w:lang w:eastAsia="en-US"/>
        </w:rPr>
        <w:t xml:space="preserve">a posteriori </w:t>
      </w:r>
      <w:r w:rsidRPr="00D66245">
        <w:rPr>
          <w:rFonts w:ascii="Palatino Linotype" w:eastAsiaTheme="minorEastAsia" w:hAnsi="Palatino Linotype"/>
          <w:snapToGrid w:val="0"/>
          <w:sz w:val="22"/>
          <w:szCs w:val="22"/>
          <w:lang w:eastAsia="en-US"/>
        </w:rPr>
        <w:t xml:space="preserve">de los actos judiciales. Estaban legitimados para interponer estos </w:t>
      </w:r>
      <w:r w:rsidRPr="00D66245">
        <w:rPr>
          <w:rFonts w:ascii="Palatino Linotype" w:eastAsiaTheme="minorEastAsia" w:hAnsi="Palatino Linotype"/>
          <w:i/>
          <w:snapToGrid w:val="0"/>
          <w:sz w:val="22"/>
          <w:szCs w:val="22"/>
          <w:lang w:eastAsia="en-US"/>
        </w:rPr>
        <w:t>référé obligatoire au législateur</w:t>
      </w:r>
      <w:r w:rsidRPr="00D66245">
        <w:rPr>
          <w:rFonts w:ascii="Palatino Linotype" w:eastAsiaTheme="minorEastAsia" w:hAnsi="Palatino Linotype"/>
          <w:snapToGrid w:val="0"/>
          <w:sz w:val="22"/>
          <w:szCs w:val="22"/>
          <w:lang w:eastAsia="en-US"/>
        </w:rPr>
        <w:t xml:space="preserve"> (equivalentes a la casación) los particulares que, tras agotar todas las instancias judiciales, obtuvieran una sentencia que contradijera el tenor literal de la ley, así como también el </w:t>
      </w:r>
      <w:r w:rsidRPr="00D66245">
        <w:rPr>
          <w:rFonts w:ascii="Palatino Linotype" w:eastAsiaTheme="minorEastAsia" w:hAnsi="Palatino Linotype"/>
          <w:i/>
          <w:snapToGrid w:val="0"/>
          <w:sz w:val="22"/>
          <w:szCs w:val="22"/>
          <w:lang w:eastAsia="en-US"/>
        </w:rPr>
        <w:t xml:space="preserve">Comissaire du roi, </w:t>
      </w:r>
      <w:r w:rsidRPr="00D66245">
        <w:rPr>
          <w:rFonts w:ascii="Palatino Linotype" w:eastAsiaTheme="minorEastAsia" w:hAnsi="Palatino Linotype"/>
          <w:snapToGrid w:val="0"/>
          <w:sz w:val="22"/>
          <w:szCs w:val="22"/>
          <w:lang w:eastAsia="en-US"/>
        </w:rPr>
        <w:t xml:space="preserve">que podía interponer la casación </w:t>
      </w:r>
      <w:r w:rsidRPr="00D66245">
        <w:rPr>
          <w:rFonts w:ascii="Palatino Linotype" w:eastAsiaTheme="minorEastAsia" w:hAnsi="Palatino Linotype"/>
          <w:i/>
          <w:snapToGrid w:val="0"/>
          <w:sz w:val="22"/>
          <w:szCs w:val="22"/>
          <w:lang w:eastAsia="en-US"/>
        </w:rPr>
        <w:t>dans l´intér</w:t>
      </w:r>
      <w:r w:rsidRPr="00D66245">
        <w:rPr>
          <w:rFonts w:ascii="Cambria" w:eastAsiaTheme="minorEastAsia" w:hAnsi="Cambria" w:cs="Cambria"/>
          <w:i/>
          <w:snapToGrid w:val="0"/>
          <w:sz w:val="22"/>
          <w:szCs w:val="22"/>
          <w:lang w:eastAsia="en-US"/>
        </w:rPr>
        <w:t>ȇ</w:t>
      </w:r>
      <w:r w:rsidRPr="00D66245">
        <w:rPr>
          <w:rFonts w:ascii="Palatino Linotype" w:eastAsiaTheme="minorEastAsia" w:hAnsi="Palatino Linotype"/>
          <w:i/>
          <w:snapToGrid w:val="0"/>
          <w:sz w:val="22"/>
          <w:szCs w:val="22"/>
          <w:lang w:eastAsia="en-US"/>
        </w:rPr>
        <w:t>t du loi.</w:t>
      </w:r>
      <w:r w:rsidRPr="00D66245">
        <w:rPr>
          <w:rStyle w:val="Refdenotaalpie"/>
          <w:rFonts w:ascii="Palatino Linotype" w:eastAsiaTheme="minorEastAsia" w:hAnsi="Palatino Linotype"/>
          <w:i/>
          <w:snapToGrid w:val="0"/>
          <w:sz w:val="22"/>
          <w:szCs w:val="22"/>
          <w:lang w:eastAsia="en-US"/>
        </w:rPr>
        <w:footnoteReference w:id="119"/>
      </w:r>
    </w:p>
    <w:p w14:paraId="49EC2BB6"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En consonancia con lo anterior, sólo se admitía la demanda de casación en los casos en los que la sentencia que se pretendía casar hubiera contravenido expresamente el tenor literal de la ley. Y es que, si se concebía que la ley era unívoca y por ello susceptible de una sola interpretación, solo podía contravenirla la sentencia que lo hiciera en forma explícita. El </w:t>
      </w:r>
      <w:r w:rsidRPr="00D66245">
        <w:rPr>
          <w:rFonts w:ascii="Palatino Linotype" w:eastAsiaTheme="minorEastAsia" w:hAnsi="Palatino Linotype"/>
          <w:i/>
          <w:snapToGrid w:val="0"/>
          <w:sz w:val="22"/>
          <w:szCs w:val="22"/>
          <w:lang w:eastAsia="en-US"/>
        </w:rPr>
        <w:t xml:space="preserve">Tribunal de Cassation </w:t>
      </w:r>
      <w:r w:rsidRPr="00D66245">
        <w:rPr>
          <w:rFonts w:ascii="Palatino Linotype" w:eastAsiaTheme="minorEastAsia" w:hAnsi="Palatino Linotype"/>
          <w:snapToGrid w:val="0"/>
          <w:sz w:val="22"/>
          <w:szCs w:val="22"/>
          <w:lang w:eastAsia="en-US"/>
        </w:rPr>
        <w:t xml:space="preserve">realizaba, pues, una labor exclusivamente represiva y no creativa; esto es, se limitaba a casar las sentencias que hubieran sido dictadas en contra de la ley, mas no declaraba su interpretación auténtica, ni garantizaba la uniformidad en la aplicación del derecho. </w:t>
      </w:r>
    </w:p>
    <w:p w14:paraId="0455B90A"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Cuando se trataba de casos en que era una norma procesal la que resultaba inobservada, sólo determinados vicios de forma predeterminados legalmente daban lugar a una demanda de casación. Curiosamente, algunos vicios alegables en casación eran los mismos que se habían considerado esenciales para la validez del proceso en el Derecho romano</w:t>
      </w:r>
      <w:r w:rsidRPr="00D66245">
        <w:rPr>
          <w:rStyle w:val="Refdenotaalpie"/>
          <w:rFonts w:ascii="Palatino Linotype" w:eastAsiaTheme="minorEastAsia" w:hAnsi="Palatino Linotype"/>
          <w:snapToGrid w:val="0"/>
          <w:sz w:val="22"/>
          <w:szCs w:val="22"/>
          <w:lang w:eastAsia="en-US"/>
        </w:rPr>
        <w:footnoteReference w:id="120"/>
      </w:r>
      <w:r w:rsidRPr="00D66245">
        <w:rPr>
          <w:rFonts w:ascii="Palatino Linotype" w:eastAsiaTheme="minorEastAsia" w:hAnsi="Palatino Linotype"/>
          <w:snapToGrid w:val="0"/>
          <w:sz w:val="22"/>
          <w:szCs w:val="22"/>
          <w:lang w:eastAsia="en-US"/>
        </w:rPr>
        <w:t xml:space="preserve"> y que durante siglos se habían hecho valer a través de la </w:t>
      </w:r>
      <w:r w:rsidRPr="00D66245">
        <w:rPr>
          <w:rFonts w:ascii="Palatino Linotype" w:eastAsiaTheme="minorEastAsia" w:hAnsi="Palatino Linotype"/>
          <w:i/>
          <w:snapToGrid w:val="0"/>
          <w:sz w:val="22"/>
          <w:szCs w:val="22"/>
          <w:lang w:eastAsia="en-US"/>
        </w:rPr>
        <w:t xml:space="preserve">querella o actio nulitatis. </w:t>
      </w:r>
      <w:r w:rsidRPr="00D66245">
        <w:rPr>
          <w:rFonts w:ascii="Palatino Linotype" w:eastAsiaTheme="minorEastAsia" w:hAnsi="Palatino Linotype"/>
          <w:snapToGrid w:val="0"/>
          <w:sz w:val="22"/>
          <w:szCs w:val="22"/>
          <w:lang w:eastAsia="en-US"/>
        </w:rPr>
        <w:t>Algunos de estos vicios se referían a la válida constitución del proceso, tanto desde el punto de vista del juez como de las partes, así como al orden y a la solemnidad del proceso. Otros, como la falta u omisión de motivación de la resolución judicial, tienen un origen muy posterior.</w:t>
      </w:r>
      <w:r w:rsidRPr="00D66245">
        <w:rPr>
          <w:rStyle w:val="Refdenotaalpie"/>
          <w:rFonts w:ascii="Palatino Linotype" w:eastAsiaTheme="minorEastAsia" w:hAnsi="Palatino Linotype"/>
          <w:snapToGrid w:val="0"/>
          <w:sz w:val="22"/>
          <w:szCs w:val="22"/>
          <w:lang w:eastAsia="en-US"/>
        </w:rPr>
        <w:footnoteReference w:id="121"/>
      </w:r>
      <w:r w:rsidRPr="00D66245">
        <w:rPr>
          <w:rFonts w:ascii="Palatino Linotype" w:eastAsiaTheme="minorEastAsia" w:hAnsi="Palatino Linotype"/>
          <w:snapToGrid w:val="0"/>
          <w:sz w:val="22"/>
          <w:szCs w:val="22"/>
          <w:lang w:eastAsia="en-US"/>
        </w:rPr>
        <w:t xml:space="preserve"> </w:t>
      </w:r>
    </w:p>
    <w:p w14:paraId="67A878E4"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Desde esta perspectiva, la casación por defecto de forma no aportaba ninguna novedad, toda vez que, cuando ésta surgió, la acción de nulidad por vicios de forma ya llevaba cientos de años implantada en Europa. Es más, si </w:t>
      </w:r>
      <w:r w:rsidRPr="00D66245">
        <w:rPr>
          <w:rFonts w:ascii="Palatino Linotype" w:eastAsiaTheme="minorEastAsia" w:hAnsi="Palatino Linotype"/>
          <w:snapToGrid w:val="0"/>
          <w:sz w:val="22"/>
          <w:szCs w:val="22"/>
          <w:lang w:eastAsia="en-US"/>
        </w:rPr>
        <w:lastRenderedPageBreak/>
        <w:t xml:space="preserve">se hubiera previsto la casación como único cauce para hacer valer la nulidad de las sentencias que incurrieran en estos vicios de forma, se hubiera producido un retroceso en la protección de las garantías procesales conferidas a los litigantes, puesto que el acceso a la casación era una mera facultad del Tribunal, mientras que la </w:t>
      </w:r>
      <w:r w:rsidRPr="00D66245">
        <w:rPr>
          <w:rFonts w:ascii="Palatino Linotype" w:eastAsiaTheme="minorEastAsia" w:hAnsi="Palatino Linotype"/>
          <w:i/>
          <w:snapToGrid w:val="0"/>
          <w:sz w:val="22"/>
          <w:szCs w:val="22"/>
          <w:lang w:eastAsia="en-US"/>
        </w:rPr>
        <w:t xml:space="preserve">querella nullitatis </w:t>
      </w:r>
      <w:r w:rsidRPr="00D66245">
        <w:rPr>
          <w:rFonts w:ascii="Palatino Linotype" w:eastAsiaTheme="minorEastAsia" w:hAnsi="Palatino Linotype"/>
          <w:snapToGrid w:val="0"/>
          <w:sz w:val="22"/>
          <w:szCs w:val="22"/>
          <w:lang w:eastAsia="en-US"/>
        </w:rPr>
        <w:t xml:space="preserve">constituía un verdadero derecho de las partes para solicitar la nulidad de las sentencias aquejadas por vicios de forma.  </w:t>
      </w:r>
    </w:p>
    <w:p w14:paraId="4532AEE0"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Según Calamandrei</w:t>
      </w:r>
      <w:r w:rsidRPr="00D66245">
        <w:rPr>
          <w:rStyle w:val="Refdenotaalpie"/>
          <w:rFonts w:ascii="Palatino Linotype" w:eastAsiaTheme="minorEastAsia" w:hAnsi="Palatino Linotype"/>
          <w:snapToGrid w:val="0"/>
          <w:sz w:val="22"/>
          <w:szCs w:val="22"/>
          <w:lang w:eastAsia="en-US"/>
        </w:rPr>
        <w:footnoteReference w:id="122"/>
      </w:r>
      <w:r w:rsidRPr="00D66245">
        <w:rPr>
          <w:rFonts w:ascii="Palatino Linotype" w:eastAsiaTheme="minorEastAsia" w:hAnsi="Palatino Linotype"/>
          <w:snapToGrid w:val="0"/>
          <w:sz w:val="22"/>
          <w:szCs w:val="22"/>
          <w:lang w:eastAsia="en-US"/>
        </w:rPr>
        <w:t xml:space="preserve">, la admisión de la casación en estos casos la alejaba totalmente de los fines para los que había sido creada, pues como se ha dicho, el sentido último de la casación era el de garantizar la primacía del Parlamento y el producto de éste: la ley. En razón de ello, la demanda de casación por violación del texto de la ley tenía por objeto garantizar la separación de poderes y, en consecuencia, la sujeción del juez a la ley sustantiva; mientras que la demanda de casación por vicios de procedimiento tenía como único fin asegurar el recto funcionamiento de la Administración de Justicia y el sometimiento del juez a algunos de los mandatos previstos en la ley procesal. </w:t>
      </w:r>
    </w:p>
    <w:p w14:paraId="446B9E5E"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Avanzando los años y debido a causas variopintas, el </w:t>
      </w:r>
      <w:r w:rsidRPr="00D66245">
        <w:rPr>
          <w:rFonts w:ascii="Palatino Linotype" w:eastAsiaTheme="minorEastAsia" w:hAnsi="Palatino Linotype"/>
          <w:i/>
          <w:snapToGrid w:val="0"/>
          <w:sz w:val="22"/>
          <w:szCs w:val="22"/>
          <w:lang w:eastAsia="en-US"/>
        </w:rPr>
        <w:t>Tribunal de Cassation</w:t>
      </w:r>
      <w:r w:rsidRPr="00D66245">
        <w:rPr>
          <w:rFonts w:ascii="Palatino Linotype" w:eastAsiaTheme="minorEastAsia" w:hAnsi="Palatino Linotype"/>
          <w:snapToGrid w:val="0"/>
          <w:sz w:val="22"/>
          <w:szCs w:val="22"/>
          <w:lang w:eastAsia="en-US"/>
        </w:rPr>
        <w:t xml:space="preserve"> pasó a denominarse </w:t>
      </w:r>
      <w:r w:rsidRPr="00D66245">
        <w:rPr>
          <w:rFonts w:ascii="Palatino Linotype" w:eastAsiaTheme="minorEastAsia" w:hAnsi="Palatino Linotype"/>
          <w:i/>
          <w:snapToGrid w:val="0"/>
          <w:sz w:val="22"/>
          <w:szCs w:val="22"/>
          <w:lang w:eastAsia="en-US"/>
        </w:rPr>
        <w:t>Cour de Cassation,</w:t>
      </w:r>
      <w:r w:rsidRPr="00D66245">
        <w:rPr>
          <w:rFonts w:ascii="Palatino Linotype" w:eastAsiaTheme="minorEastAsia" w:hAnsi="Palatino Linotype"/>
          <w:snapToGrid w:val="0"/>
          <w:sz w:val="22"/>
          <w:szCs w:val="22"/>
          <w:lang w:eastAsia="en-US"/>
        </w:rPr>
        <w:t xml:space="preserve"> dejando de estar integrado en el cuerpo legislativo para enquistarse en el Poder Judicial, ocupando su cúspide y convirtiéndose en su centro. Por lo que respecta a su función, ya no se limitaría a ser un órgano represivo, sino uno tremendamente creativo. Así, la verdadera innovación sería que la </w:t>
      </w:r>
      <w:r w:rsidRPr="00D66245">
        <w:rPr>
          <w:rFonts w:ascii="Palatino Linotype" w:eastAsiaTheme="minorEastAsia" w:hAnsi="Palatino Linotype"/>
          <w:i/>
          <w:snapToGrid w:val="0"/>
          <w:sz w:val="22"/>
          <w:szCs w:val="22"/>
          <w:lang w:eastAsia="en-US"/>
        </w:rPr>
        <w:t xml:space="preserve">Cour de Cassation </w:t>
      </w:r>
      <w:r w:rsidRPr="00D66245">
        <w:rPr>
          <w:rFonts w:ascii="Palatino Linotype" w:eastAsiaTheme="minorEastAsia" w:hAnsi="Palatino Linotype"/>
          <w:snapToGrid w:val="0"/>
          <w:sz w:val="22"/>
          <w:szCs w:val="22"/>
          <w:lang w:eastAsia="en-US"/>
        </w:rPr>
        <w:t xml:space="preserve">ya no se limitaría a conocer mediante el recurso de casación de los errores </w:t>
      </w:r>
      <w:r w:rsidRPr="00D66245">
        <w:rPr>
          <w:rFonts w:ascii="Palatino Linotype" w:eastAsiaTheme="minorEastAsia" w:hAnsi="Palatino Linotype"/>
          <w:i/>
          <w:snapToGrid w:val="0"/>
          <w:sz w:val="22"/>
          <w:szCs w:val="22"/>
          <w:lang w:eastAsia="en-US"/>
        </w:rPr>
        <w:t>in iudicando</w:t>
      </w:r>
      <w:r w:rsidRPr="00D66245">
        <w:rPr>
          <w:rFonts w:ascii="Palatino Linotype" w:eastAsiaTheme="minorEastAsia" w:hAnsi="Palatino Linotype"/>
          <w:snapToGrid w:val="0"/>
          <w:sz w:val="22"/>
          <w:szCs w:val="22"/>
          <w:lang w:eastAsia="en-US"/>
        </w:rPr>
        <w:t xml:space="preserve"> que pudiera contener la sentencia del juez </w:t>
      </w:r>
      <w:r w:rsidRPr="00D66245">
        <w:rPr>
          <w:rFonts w:ascii="Palatino Linotype" w:eastAsiaTheme="minorEastAsia" w:hAnsi="Palatino Linotype"/>
          <w:i/>
          <w:snapToGrid w:val="0"/>
          <w:sz w:val="22"/>
          <w:szCs w:val="22"/>
          <w:lang w:eastAsia="en-US"/>
        </w:rPr>
        <w:t>a quo</w:t>
      </w:r>
      <w:r w:rsidRPr="00D66245">
        <w:rPr>
          <w:rFonts w:ascii="Palatino Linotype" w:eastAsiaTheme="minorEastAsia" w:hAnsi="Palatino Linotype"/>
          <w:snapToGrid w:val="0"/>
          <w:sz w:val="22"/>
          <w:szCs w:val="22"/>
          <w:lang w:eastAsia="en-US"/>
        </w:rPr>
        <w:t xml:space="preserve"> en la premisa mayor del silogismo realizado por éste, sino que extendería su juicio al control de la premisa menor.</w:t>
      </w:r>
      <w:r w:rsidRPr="00D66245">
        <w:rPr>
          <w:rStyle w:val="Refdenotaalpie"/>
          <w:rFonts w:ascii="Palatino Linotype" w:eastAsiaTheme="minorEastAsia" w:hAnsi="Palatino Linotype"/>
          <w:snapToGrid w:val="0"/>
          <w:sz w:val="22"/>
          <w:szCs w:val="22"/>
          <w:lang w:eastAsia="en-US"/>
        </w:rPr>
        <w:footnoteReference w:id="123"/>
      </w:r>
      <w:r w:rsidRPr="00D66245">
        <w:rPr>
          <w:rFonts w:ascii="Palatino Linotype" w:eastAsiaTheme="minorEastAsia" w:hAnsi="Palatino Linotype"/>
          <w:snapToGrid w:val="0"/>
          <w:sz w:val="22"/>
          <w:szCs w:val="22"/>
          <w:lang w:eastAsia="en-US"/>
        </w:rPr>
        <w:t xml:space="preserve"> Se lograría así la yuxtaposición de dos figuras: la casación y la </w:t>
      </w:r>
      <w:r w:rsidRPr="00D66245">
        <w:rPr>
          <w:rFonts w:ascii="Palatino Linotype" w:eastAsiaTheme="minorEastAsia" w:hAnsi="Palatino Linotype"/>
          <w:i/>
          <w:snapToGrid w:val="0"/>
          <w:sz w:val="22"/>
          <w:szCs w:val="22"/>
          <w:lang w:eastAsia="en-US"/>
        </w:rPr>
        <w:t>querella nullitatis</w:t>
      </w:r>
      <w:r w:rsidRPr="00D66245">
        <w:rPr>
          <w:rFonts w:ascii="Palatino Linotype" w:eastAsiaTheme="minorEastAsia" w:hAnsi="Palatino Linotype"/>
          <w:snapToGrid w:val="0"/>
          <w:sz w:val="22"/>
          <w:szCs w:val="22"/>
          <w:lang w:eastAsia="en-US"/>
        </w:rPr>
        <w:t xml:space="preserve">, que poco tenían que ver entre sí originalmente, y que, con raras excepciones, han perdurado hasta nuestros días. </w:t>
      </w:r>
    </w:p>
    <w:p w14:paraId="6FA75190" w14:textId="77777777" w:rsidR="00BE6A34" w:rsidRPr="00D66245" w:rsidRDefault="00BE6A34" w:rsidP="00BE6A34">
      <w:pPr>
        <w:pStyle w:val="Prrafodelista"/>
        <w:numPr>
          <w:ilvl w:val="1"/>
          <w:numId w:val="1"/>
        </w:numPr>
        <w:spacing w:before="120" w:after="200" w:line="240" w:lineRule="auto"/>
        <w:ind w:left="0" w:firstLine="0"/>
        <w:contextualSpacing w:val="0"/>
        <w:jc w:val="both"/>
        <w:rPr>
          <w:rFonts w:ascii="Palatino Linotype" w:eastAsia="Calibri" w:hAnsi="Palatino Linotype" w:cs="Times New Roman"/>
          <w:b/>
          <w:bCs/>
        </w:rPr>
      </w:pPr>
      <w:r w:rsidRPr="00D66245">
        <w:rPr>
          <w:rFonts w:ascii="Palatino Linotype" w:eastAsia="Calibri" w:hAnsi="Palatino Linotype" w:cs="Times New Roman"/>
          <w:b/>
          <w:bCs/>
        </w:rPr>
        <w:t>Modelos De Cortes De Casación</w:t>
      </w:r>
    </w:p>
    <w:p w14:paraId="00F10437"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Si bien en todos los casos las cortes de casación controlan la legalidad de las decisiones emanadas de los jueces inferiores y uniforman la </w:t>
      </w:r>
      <w:r w:rsidRPr="00D66245">
        <w:rPr>
          <w:rFonts w:ascii="Palatino Linotype" w:eastAsiaTheme="minorEastAsia" w:hAnsi="Palatino Linotype"/>
          <w:snapToGrid w:val="0"/>
          <w:sz w:val="22"/>
          <w:szCs w:val="22"/>
          <w:lang w:eastAsia="en-US"/>
        </w:rPr>
        <w:lastRenderedPageBreak/>
        <w:t>jurisprudencia, lo cierto es que, dependiendo de la modalidad con que se desarrollen esas dos funciones, los efectos serán diferentes, dependiendo de la mayor o menor acentuación que se dé a cada una de ellas. A partir de ello Taruffo distingue dos modalidades de cortes de casación: la de “tercera instancia” y la de “Corte Suprema”.</w:t>
      </w:r>
      <w:r w:rsidRPr="00D66245">
        <w:rPr>
          <w:rStyle w:val="Refdenotaalpie"/>
          <w:rFonts w:ascii="Palatino Linotype" w:eastAsiaTheme="minorEastAsia" w:hAnsi="Palatino Linotype"/>
          <w:snapToGrid w:val="0"/>
          <w:sz w:val="22"/>
          <w:szCs w:val="22"/>
          <w:lang w:eastAsia="en-US"/>
        </w:rPr>
        <w:footnoteReference w:id="124"/>
      </w:r>
    </w:p>
    <w:p w14:paraId="393B720B"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En la primera modalidad se concibe a las cortes de casación como el tercer grado del sistema de las impugnaciones, mientras que, en la segunda, se les visualiza como vértices de la jurisdicción y último garante de la legalidad. La modalidad de tercera instancia comienza a dibujarse a partir de que las cortes de casación, según su concepción tradicional, pierden sus características originales y se sitúan en el vértice del sistema de impugnaciones, mientras que la modalidad de Corte Suprema tiene su origen en el primitivo </w:t>
      </w:r>
      <w:r w:rsidRPr="00D66245">
        <w:rPr>
          <w:rFonts w:ascii="Palatino Linotype" w:eastAsiaTheme="minorEastAsia" w:hAnsi="Palatino Linotype"/>
          <w:i/>
          <w:snapToGrid w:val="0"/>
          <w:sz w:val="22"/>
          <w:szCs w:val="22"/>
          <w:lang w:eastAsia="en-US"/>
        </w:rPr>
        <w:t xml:space="preserve">Tribunal de Cassation </w:t>
      </w:r>
      <w:r w:rsidRPr="00D66245">
        <w:rPr>
          <w:rFonts w:ascii="Palatino Linotype" w:eastAsiaTheme="minorEastAsia" w:hAnsi="Palatino Linotype"/>
          <w:snapToGrid w:val="0"/>
          <w:sz w:val="22"/>
          <w:szCs w:val="22"/>
          <w:lang w:eastAsia="en-US"/>
        </w:rPr>
        <w:t>y se describe claramente en la teorización de Calamandrei.</w:t>
      </w:r>
    </w:p>
    <w:p w14:paraId="3892F573"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Ahora bien, esas dos modalidades de cortes de casación se encuentran presentes, en mayor o menor medida, en los tres modelos tradicionales o principales de cortes supremas: norteamericano (énfasis en uniformar la jurisprudencia), alemán (énfasis en el control de legalidad, pero confiriéndole mucha importancia a la uniformidad de la jurisprudencia) y franco-italiano (énfasis en el control de legalidad o nomofilaxis pura), siendo el primero y el último los dos modelos extremos, mientras que el segundo se presenta como ecléctico. Veamos porqué:</w:t>
      </w:r>
    </w:p>
    <w:p w14:paraId="78DF1FD4" w14:textId="77777777" w:rsidR="00BE6A34" w:rsidRPr="00D66245" w:rsidRDefault="00BE6A34" w:rsidP="00BE6A34">
      <w:pPr>
        <w:pStyle w:val="Prrafodelista"/>
        <w:numPr>
          <w:ilvl w:val="2"/>
          <w:numId w:val="1"/>
        </w:numPr>
        <w:spacing w:before="120" w:after="200" w:line="240" w:lineRule="auto"/>
        <w:ind w:left="0" w:firstLine="142"/>
        <w:contextualSpacing w:val="0"/>
        <w:jc w:val="both"/>
        <w:rPr>
          <w:rFonts w:ascii="Palatino Linotype" w:eastAsia="Calibri" w:hAnsi="Palatino Linotype" w:cs="Times New Roman"/>
          <w:b/>
          <w:bCs/>
        </w:rPr>
      </w:pPr>
      <w:r w:rsidRPr="00D66245">
        <w:rPr>
          <w:rFonts w:ascii="Palatino Linotype" w:eastAsia="Calibri" w:hAnsi="Palatino Linotype" w:cs="Times New Roman"/>
          <w:b/>
          <w:bCs/>
        </w:rPr>
        <w:t>Modelo Norteamericano</w:t>
      </w:r>
    </w:p>
    <w:p w14:paraId="22D50D2A" w14:textId="77777777" w:rsidR="00BE6A34" w:rsidRPr="00D66245" w:rsidRDefault="00BE6A34" w:rsidP="00BE6A34">
      <w:pPr>
        <w:spacing w:before="120" w:after="200" w:line="240" w:lineRule="auto"/>
        <w:ind w:firstLine="708"/>
        <w:jc w:val="both"/>
        <w:rPr>
          <w:rFonts w:ascii="Palatino Linotype" w:eastAsiaTheme="minorEastAsia" w:hAnsi="Palatino Linotype" w:cs="Times New Roman"/>
          <w:snapToGrid w:val="0"/>
        </w:rPr>
      </w:pPr>
      <w:r w:rsidRPr="00D66245">
        <w:rPr>
          <w:rFonts w:ascii="Palatino Linotype" w:hAnsi="Palatino Linotype" w:cs="Arial"/>
        </w:rPr>
        <w:t xml:space="preserve"> </w:t>
      </w:r>
      <w:r w:rsidRPr="00D66245">
        <w:rPr>
          <w:rFonts w:ascii="Palatino Linotype" w:hAnsi="Palatino Linotype" w:cs="Times New Roman"/>
        </w:rPr>
        <w:t xml:space="preserve">El aspecto más relevante de este modelo tiene que ver con que, en la formulación de sus decisiones, la </w:t>
      </w:r>
      <w:r w:rsidRPr="00D66245">
        <w:rPr>
          <w:rFonts w:ascii="Palatino Linotype" w:eastAsiaTheme="minorEastAsia" w:hAnsi="Palatino Linotype" w:cs="Times New Roman"/>
          <w:snapToGrid w:val="0"/>
        </w:rPr>
        <w:t>Corte Suprema de los Estados Unidos</w:t>
      </w:r>
      <w:r w:rsidRPr="00D66245">
        <w:rPr>
          <w:rFonts w:ascii="Palatino Linotype" w:hAnsi="Palatino Linotype" w:cs="Times New Roman"/>
        </w:rPr>
        <w:t xml:space="preserve"> no se limita a controlar si la decisión impugnada contiene errores de derecho sustanciales o procesales, sino que - aunque sea decidiendo sobre el caso individual - se orienta hacia aquello que podría definirse como la legalidad futura, o sea, la definición de la correcta interpretación y aplicación de las normas que serán objeto de juicio en casos sucesivos en que las mismas normas podrían ser relevantes para la decisión. De esta forma, la doctrina del </w:t>
      </w:r>
      <w:r w:rsidRPr="00D66245">
        <w:rPr>
          <w:rFonts w:ascii="Palatino Linotype" w:hAnsi="Palatino Linotype" w:cs="Times New Roman"/>
          <w:i/>
        </w:rPr>
        <w:t>stare decisis et quieta non movere</w:t>
      </w:r>
      <w:r w:rsidRPr="00D66245">
        <w:rPr>
          <w:rFonts w:ascii="Palatino Linotype" w:hAnsi="Palatino Linotype" w:cs="Times New Roman"/>
        </w:rPr>
        <w:t xml:space="preserve"> - que significa "adherir a los precedentes </w:t>
      </w:r>
      <w:r w:rsidRPr="00D66245">
        <w:rPr>
          <w:rFonts w:ascii="Palatino Linotype" w:hAnsi="Palatino Linotype" w:cs="Times New Roman"/>
        </w:rPr>
        <w:lastRenderedPageBreak/>
        <w:t>y no perturbar las cosas que han sido establecidas"</w:t>
      </w:r>
      <w:r w:rsidRPr="00D66245">
        <w:rPr>
          <w:rFonts w:ascii="Palatino Linotype" w:hAnsi="Palatino Linotype" w:cs="Times New Roman"/>
          <w:vertAlign w:val="superscript"/>
        </w:rPr>
        <w:footnoteReference w:id="125"/>
      </w:r>
      <w:r w:rsidRPr="00D66245">
        <w:rPr>
          <w:rFonts w:ascii="Palatino Linotype" w:hAnsi="Palatino Linotype" w:cs="Times New Roman"/>
        </w:rPr>
        <w:t>- se constituye en la esencia misma del sistema jurídico imperante en aquel país.</w:t>
      </w:r>
    </w:p>
    <w:p w14:paraId="6266D58E" w14:textId="77777777" w:rsidR="00BE6A34" w:rsidRPr="00D66245" w:rsidRDefault="00BE6A34" w:rsidP="00BE6A34">
      <w:pPr>
        <w:spacing w:before="120" w:after="200" w:line="240" w:lineRule="auto"/>
        <w:ind w:firstLine="708"/>
        <w:jc w:val="both"/>
        <w:rPr>
          <w:rFonts w:ascii="Palatino Linotype" w:hAnsi="Palatino Linotype" w:cs="Times New Roman"/>
        </w:rPr>
      </w:pPr>
      <w:r w:rsidRPr="00D66245">
        <w:rPr>
          <w:rFonts w:ascii="Palatino Linotype" w:hAnsi="Palatino Linotype" w:cs="Times New Roman"/>
        </w:rPr>
        <w:t xml:space="preserve">Ahora bien, esta prevalencia por asegurar la uniformidad de la jurisprudencia por sobre el control de legalidad se puede comprobar en el poder que tiene la Corte para escoger los casos a decidir. Para estos efectos, utiliza el denominado </w:t>
      </w:r>
      <w:r w:rsidRPr="00D66245">
        <w:rPr>
          <w:rFonts w:ascii="Palatino Linotype" w:hAnsi="Palatino Linotype" w:cs="Times New Roman"/>
          <w:i/>
        </w:rPr>
        <w:t>certiorari</w:t>
      </w:r>
      <w:r w:rsidRPr="00D66245">
        <w:rPr>
          <w:rFonts w:ascii="Palatino Linotype" w:hAnsi="Palatino Linotype" w:cs="Times New Roman"/>
        </w:rPr>
        <w:t xml:space="preserve"> con plena e ilimitada discrecionalidad, estableciendo cuáles son los casos que se entienden merecedores de consideración y decisión, sin que sea necesaria motivación alguna de su parte. Con todo, si se repara en el estudio cuidadoso de los casos en que la Corte “decide decidir” se puede comprobar que se trata de asuntos en los que: a) la Corte considera necesario establecer cuál es la solución correcta de una cuestión de derecho novedosa, para evitar incertidumbres y opiniones divergentes; b) la Corte considera necesario resolver un conflicto de jurisprudencia surgido en las cortes inferiores; y c) la Corte pretende superar y dejar de lado un viejo precedente, que por razones varias aparece inadecuado y debe, por tanto, dejarse sin efecto, brindando una nueva solución a la misma cuestión de derecho (buenos ejemplos de ello son: Roe vs. Wade en materia de aborto, </w:t>
      </w:r>
      <w:hyperlink r:id="rId54" w:history="1">
        <w:r w:rsidRPr="00D66245">
          <w:rPr>
            <w:rFonts w:ascii="Palatino Linotype" w:hAnsi="Palatino Linotype" w:cs="Times New Roman"/>
          </w:rPr>
          <w:t>Obergefell v. Hodges</w:t>
        </w:r>
      </w:hyperlink>
      <w:r w:rsidRPr="00D66245">
        <w:rPr>
          <w:rFonts w:ascii="Palatino Linotype" w:hAnsi="Palatino Linotype" w:cs="Times New Roman"/>
        </w:rPr>
        <w:t xml:space="preserve"> sobre matrimonio igualitario, o Brown v. Board of Education que declaró inconstitucional la segregación racial en las escuelas públicas). </w:t>
      </w:r>
    </w:p>
    <w:p w14:paraId="1E1B8580" w14:textId="49BF589E" w:rsidR="00BE6A34" w:rsidRPr="00D66245" w:rsidRDefault="00BE6A34" w:rsidP="00BE6A34">
      <w:pPr>
        <w:spacing w:before="120" w:after="200" w:line="240" w:lineRule="auto"/>
        <w:ind w:firstLine="708"/>
        <w:jc w:val="both"/>
        <w:rPr>
          <w:rFonts w:ascii="Palatino Linotype" w:hAnsi="Palatino Linotype" w:cs="Times New Roman"/>
        </w:rPr>
      </w:pPr>
      <w:r w:rsidRPr="00D66245">
        <w:rPr>
          <w:rFonts w:ascii="Palatino Linotype" w:hAnsi="Palatino Linotype" w:cs="Times New Roman"/>
        </w:rPr>
        <w:t>Además, el número limitado de decisiones que esa Corte emite al año es una clara señal de que, su fin primordial es asegurar la uniformidad de la jurisprudencia y no tanto el control de legalidad de las decisiones de las cortes inferiores. En efecto, si paramos mientes en que la Corte Suprema de los Estados Unidos resuelve 60-70 casos con 9 jueces en un país de aproximadamente 325.719.178 habitantes, es claro que, comparado con las 1.399 resoluciones emitidas por la Sala Primera durante el año 2017, para un país de 4.906.000 habitantes, aquella cantidad es realmente insignificante.</w:t>
      </w:r>
      <w:r w:rsidRPr="00D66245">
        <w:rPr>
          <w:rFonts w:ascii="Palatino Linotype" w:hAnsi="Palatino Linotype" w:cs="Times New Roman"/>
          <w:vertAlign w:val="superscript"/>
        </w:rPr>
        <w:footnoteReference w:id="126"/>
      </w:r>
    </w:p>
    <w:p w14:paraId="4CB77978" w14:textId="77777777" w:rsidR="00BE6A34" w:rsidRPr="00D66245" w:rsidRDefault="00BE6A34" w:rsidP="00BE6A34">
      <w:pPr>
        <w:spacing w:before="120" w:after="200" w:line="240" w:lineRule="auto"/>
        <w:ind w:firstLine="708"/>
        <w:jc w:val="both"/>
        <w:rPr>
          <w:rFonts w:ascii="Palatino Linotype" w:hAnsi="Palatino Linotype" w:cs="Times New Roman"/>
        </w:rPr>
      </w:pPr>
    </w:p>
    <w:p w14:paraId="20DD3BF8" w14:textId="77777777" w:rsidR="00BE6A34" w:rsidRPr="00D66245" w:rsidRDefault="00BE6A34" w:rsidP="00BE6A34">
      <w:pPr>
        <w:pStyle w:val="Prrafodelista"/>
        <w:numPr>
          <w:ilvl w:val="2"/>
          <w:numId w:val="1"/>
        </w:numPr>
        <w:spacing w:before="120" w:after="200" w:line="240" w:lineRule="auto"/>
        <w:ind w:left="284" w:firstLine="0"/>
        <w:contextualSpacing w:val="0"/>
        <w:jc w:val="both"/>
        <w:rPr>
          <w:rFonts w:ascii="Palatino Linotype" w:eastAsia="Calibri" w:hAnsi="Palatino Linotype" w:cs="Times New Roman"/>
          <w:b/>
          <w:bCs/>
        </w:rPr>
      </w:pPr>
      <w:r w:rsidRPr="00D66245">
        <w:rPr>
          <w:rFonts w:ascii="Palatino Linotype" w:eastAsia="Calibri" w:hAnsi="Palatino Linotype" w:cs="Times New Roman"/>
          <w:b/>
          <w:bCs/>
        </w:rPr>
        <w:lastRenderedPageBreak/>
        <w:t>Modelo Alemán</w:t>
      </w:r>
    </w:p>
    <w:p w14:paraId="625262F9" w14:textId="77777777" w:rsidR="00BE6A34" w:rsidRPr="00D66245" w:rsidRDefault="00BE6A34" w:rsidP="00BE6A34">
      <w:pPr>
        <w:spacing w:before="120" w:after="200" w:line="240" w:lineRule="auto"/>
        <w:ind w:firstLine="708"/>
        <w:jc w:val="both"/>
        <w:rPr>
          <w:rFonts w:ascii="Palatino Linotype" w:eastAsiaTheme="minorEastAsia" w:hAnsi="Palatino Linotype" w:cs="Times New Roman"/>
          <w:snapToGrid w:val="0"/>
        </w:rPr>
      </w:pPr>
      <w:r w:rsidRPr="00D66245">
        <w:rPr>
          <w:rFonts w:ascii="Palatino Linotype" w:eastAsiaTheme="minorEastAsia" w:hAnsi="Palatino Linotype" w:cs="Times New Roman"/>
          <w:snapToGrid w:val="0"/>
        </w:rPr>
        <w:t xml:space="preserve">El modelo alemán muestra la evolución de una corte suprema de tipo continental, originariamente orientada a desarrollar en esencia un control de legalidad - respecto del cual podía configurarse como secundaria la función de unificación de la jurisprudencia -, hacia una concepción de una corte suprema orientada hacia el precedente, es decir, orientada a desarrollar principalmente una función de unificación de la jurisprudencia, pero sin dejar de resolver el mérito de la controversia. </w:t>
      </w:r>
    </w:p>
    <w:p w14:paraId="0DABC80C" w14:textId="77777777" w:rsidR="00BE6A34" w:rsidRPr="00D66245" w:rsidRDefault="00BE6A34" w:rsidP="00BE6A34">
      <w:pPr>
        <w:spacing w:before="120" w:after="200" w:line="240" w:lineRule="auto"/>
        <w:ind w:firstLine="708"/>
        <w:jc w:val="both"/>
        <w:rPr>
          <w:rFonts w:ascii="Palatino Linotype" w:eastAsiaTheme="minorEastAsia" w:hAnsi="Palatino Linotype" w:cs="Times New Roman"/>
          <w:snapToGrid w:val="0"/>
        </w:rPr>
      </w:pPr>
      <w:r w:rsidRPr="00D66245">
        <w:rPr>
          <w:rFonts w:ascii="Palatino Linotype" w:eastAsiaTheme="minorEastAsia" w:hAnsi="Palatino Linotype" w:cs="Times New Roman"/>
          <w:snapToGrid w:val="0"/>
        </w:rPr>
        <w:t xml:space="preserve">La característica principal del modelo alemán consiste en el hecho de que la Corte de Revisión </w:t>
      </w:r>
      <w:r w:rsidRPr="00D66245">
        <w:rPr>
          <w:rFonts w:ascii="Palatino Linotype" w:eastAsiaTheme="minorEastAsia" w:hAnsi="Palatino Linotype" w:cs="Times New Roman"/>
          <w:i/>
          <w:snapToGrid w:val="0"/>
        </w:rPr>
        <w:t>(Revisionsgericht)</w:t>
      </w:r>
      <w:r w:rsidRPr="00D66245">
        <w:rPr>
          <w:rFonts w:ascii="Palatino Linotype" w:eastAsiaTheme="minorEastAsia" w:hAnsi="Palatino Linotype" w:cs="Times New Roman"/>
          <w:snapToGrid w:val="0"/>
        </w:rPr>
        <w:t xml:space="preserve"> dispone de un amplio poder discrecional para seleccionar los recursos que considera que debe decidir. De esta forma, el acceso a la Corte es admitido sólo cuando el caso conlleva una cuestión de derecho de fundamental importancia, o cuando una decisión de su parte sea necesaria para la evolución del derecho, o bien, para generar una jurisprudencia uniforme. </w:t>
      </w:r>
    </w:p>
    <w:p w14:paraId="122622D1" w14:textId="35BBC2CB" w:rsidR="00BE6A34" w:rsidRPr="00D66245" w:rsidRDefault="00BE6A34" w:rsidP="00BE6A34">
      <w:pPr>
        <w:spacing w:before="120" w:after="200" w:line="240" w:lineRule="auto"/>
        <w:ind w:firstLine="708"/>
        <w:jc w:val="both"/>
        <w:rPr>
          <w:rFonts w:ascii="Palatino Linotype" w:eastAsiaTheme="minorEastAsia" w:hAnsi="Palatino Linotype" w:cs="Times New Roman"/>
          <w:snapToGrid w:val="0"/>
        </w:rPr>
      </w:pPr>
      <w:r w:rsidRPr="00D66245">
        <w:rPr>
          <w:rFonts w:ascii="Palatino Linotype" w:eastAsiaTheme="minorEastAsia" w:hAnsi="Palatino Linotype" w:cs="Times New Roman"/>
          <w:snapToGrid w:val="0"/>
        </w:rPr>
        <w:t>La existencia de estos requisitos es evaluada ante todo por la Corte de Apelación que pronunció la sentencia que se desea impugnar. Si el resultado de tal evaluación es positivo, ello es vinculante para la Corte de Revisión que, por tanto, debe dar curso a la impugnación y decidir sobre ésta. Si, en cambio, la Corte de Apelación deniega la autorización porque considera que no concurren las condiciones para una decisión de la Corte de Revisión, entonces las partes pueden solicitar a ésta última la autorización para presentar la impugnación.</w:t>
      </w:r>
      <w:r w:rsidRPr="00D66245">
        <w:rPr>
          <w:rFonts w:ascii="Palatino Linotype" w:eastAsiaTheme="minorEastAsia" w:hAnsi="Palatino Linotype" w:cs="Times New Roman"/>
          <w:snapToGrid w:val="0"/>
          <w:vertAlign w:val="superscript"/>
        </w:rPr>
        <w:footnoteReference w:id="127"/>
      </w:r>
      <w:r w:rsidRPr="00D66245">
        <w:rPr>
          <w:rFonts w:ascii="Palatino Linotype" w:eastAsiaTheme="minorEastAsia" w:hAnsi="Palatino Linotype" w:cs="Times New Roman"/>
          <w:snapToGrid w:val="0"/>
        </w:rPr>
        <w:t xml:space="preserve"> </w:t>
      </w:r>
    </w:p>
    <w:p w14:paraId="5C127714" w14:textId="77777777" w:rsidR="00BE6A34" w:rsidRPr="00D66245" w:rsidRDefault="00BE6A34" w:rsidP="00BE6A34">
      <w:pPr>
        <w:pStyle w:val="Prrafodelista"/>
        <w:numPr>
          <w:ilvl w:val="2"/>
          <w:numId w:val="1"/>
        </w:numPr>
        <w:spacing w:before="120" w:after="200" w:line="240" w:lineRule="auto"/>
        <w:ind w:left="426" w:firstLine="0"/>
        <w:contextualSpacing w:val="0"/>
        <w:jc w:val="both"/>
        <w:rPr>
          <w:rFonts w:ascii="Palatino Linotype" w:eastAsia="Calibri" w:hAnsi="Palatino Linotype" w:cs="Times New Roman"/>
          <w:b/>
          <w:bCs/>
        </w:rPr>
      </w:pPr>
      <w:r w:rsidRPr="00D66245">
        <w:rPr>
          <w:rFonts w:ascii="Palatino Linotype" w:eastAsia="Calibri" w:hAnsi="Palatino Linotype" w:cs="Times New Roman"/>
          <w:b/>
          <w:bCs/>
        </w:rPr>
        <w:t>Modelo Franco-Italiano</w:t>
      </w:r>
    </w:p>
    <w:p w14:paraId="4B6F1B39"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El modelo francés, seguido en otros ordenamientos y en particular en Italia, gira en torno de la Corte de Casación. Como es bien conocido, se trata de un modelo de corte suprema que ejercita típicamente una función de control de legalidad que, en principio, no se expide sobre el mérito de la causa y remite la decisión, cuando anula la sentencia impugnada, a otro juez inferior.</w:t>
      </w:r>
      <w:r w:rsidRPr="00D66245">
        <w:rPr>
          <w:rStyle w:val="Refdenotaalpie"/>
          <w:rFonts w:ascii="Palatino Linotype" w:eastAsiaTheme="minorEastAsia" w:hAnsi="Palatino Linotype"/>
          <w:snapToGrid w:val="0"/>
          <w:sz w:val="22"/>
          <w:szCs w:val="22"/>
          <w:lang w:eastAsia="en-US"/>
        </w:rPr>
        <w:footnoteReference w:id="128"/>
      </w:r>
      <w:r w:rsidRPr="00D66245">
        <w:rPr>
          <w:rFonts w:ascii="Palatino Linotype" w:eastAsiaTheme="minorEastAsia" w:hAnsi="Palatino Linotype"/>
          <w:snapToGrid w:val="0"/>
          <w:sz w:val="22"/>
          <w:szCs w:val="22"/>
          <w:lang w:eastAsia="en-US"/>
        </w:rPr>
        <w:t xml:space="preserve"> </w:t>
      </w:r>
    </w:p>
    <w:p w14:paraId="00743533"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lastRenderedPageBreak/>
        <w:t xml:space="preserve">Ahora, si comparamos este modelo con el norteamericano y alemán, se pueden realizar observaciones interesantes. La primera es que, tanto la </w:t>
      </w:r>
      <w:r w:rsidRPr="00D66245">
        <w:rPr>
          <w:rFonts w:ascii="Palatino Linotype" w:eastAsiaTheme="minorEastAsia" w:hAnsi="Palatino Linotype"/>
          <w:i/>
          <w:snapToGrid w:val="0"/>
          <w:sz w:val="22"/>
          <w:szCs w:val="22"/>
          <w:lang w:eastAsia="en-US"/>
        </w:rPr>
        <w:t>Cour de Cassation</w:t>
      </w:r>
      <w:r w:rsidRPr="00D66245">
        <w:rPr>
          <w:rFonts w:ascii="Palatino Linotype" w:eastAsiaTheme="minorEastAsia" w:hAnsi="Palatino Linotype"/>
          <w:snapToGrid w:val="0"/>
          <w:sz w:val="22"/>
          <w:szCs w:val="22"/>
          <w:lang w:eastAsia="en-US"/>
        </w:rPr>
        <w:t xml:space="preserve"> francesa como la </w:t>
      </w:r>
      <w:r w:rsidRPr="00D66245">
        <w:rPr>
          <w:rFonts w:ascii="Palatino Linotype" w:eastAsiaTheme="minorEastAsia" w:hAnsi="Palatino Linotype"/>
          <w:i/>
          <w:snapToGrid w:val="0"/>
          <w:sz w:val="22"/>
          <w:szCs w:val="22"/>
          <w:lang w:eastAsia="en-US"/>
        </w:rPr>
        <w:t>Corte di Cassazione</w:t>
      </w:r>
      <w:r w:rsidRPr="00D66245">
        <w:rPr>
          <w:rFonts w:ascii="Palatino Linotype" w:eastAsiaTheme="minorEastAsia" w:hAnsi="Palatino Linotype"/>
          <w:snapToGrid w:val="0"/>
          <w:sz w:val="22"/>
          <w:szCs w:val="22"/>
          <w:lang w:eastAsia="en-US"/>
        </w:rPr>
        <w:t xml:space="preserve"> italiana, se encuentran desde hace ya mucho tiempo frente a una cantidad excesiva de recursos, y, por lo tanto, con la necesidad de pronunciar un número muy elevado de sentencias al año; aproximadamente 20.000 la primera y 50.000 la segunda. Así, para poder sacar adelante tan titánica labor, los magistrados miembros de la </w:t>
      </w:r>
      <w:r w:rsidRPr="00D66245">
        <w:rPr>
          <w:rFonts w:ascii="Palatino Linotype" w:eastAsiaTheme="minorEastAsia" w:hAnsi="Palatino Linotype"/>
          <w:i/>
          <w:snapToGrid w:val="0"/>
          <w:sz w:val="22"/>
          <w:szCs w:val="22"/>
          <w:lang w:eastAsia="en-US"/>
        </w:rPr>
        <w:t>Cour de Cassation</w:t>
      </w:r>
      <w:r w:rsidRPr="00D66245">
        <w:rPr>
          <w:rFonts w:ascii="Palatino Linotype" w:eastAsiaTheme="minorEastAsia" w:hAnsi="Palatino Linotype"/>
          <w:snapToGrid w:val="0"/>
          <w:sz w:val="22"/>
          <w:szCs w:val="22"/>
          <w:lang w:eastAsia="en-US"/>
        </w:rPr>
        <w:t xml:space="preserve"> son casi 200, mientras que, en el caso de la </w:t>
      </w:r>
      <w:r w:rsidRPr="00D66245">
        <w:rPr>
          <w:rFonts w:ascii="Palatino Linotype" w:eastAsiaTheme="minorEastAsia" w:hAnsi="Palatino Linotype"/>
          <w:i/>
          <w:snapToGrid w:val="0"/>
          <w:sz w:val="22"/>
          <w:szCs w:val="22"/>
          <w:lang w:eastAsia="en-US"/>
        </w:rPr>
        <w:t xml:space="preserve">Corte di Cassazione, </w:t>
      </w:r>
      <w:r w:rsidRPr="00D66245">
        <w:rPr>
          <w:rFonts w:ascii="Palatino Linotype" w:eastAsiaTheme="minorEastAsia" w:hAnsi="Palatino Linotype"/>
          <w:snapToGrid w:val="0"/>
          <w:sz w:val="22"/>
          <w:szCs w:val="22"/>
          <w:lang w:eastAsia="en-US"/>
        </w:rPr>
        <w:t xml:space="preserve">son cerca de 500. Si comparamos a esas dos cortes con nuestra Sala Primera, que resolvió 1.399 casos en el año 2017 con tan solo 5 magistrados, tenemos que, en nuestro caso, cada magistrado resuelve 279,8 casos al año, mientras que cada magistrado, tanto de la </w:t>
      </w:r>
      <w:r w:rsidRPr="00D66245">
        <w:rPr>
          <w:rFonts w:ascii="Palatino Linotype" w:eastAsiaTheme="minorEastAsia" w:hAnsi="Palatino Linotype"/>
          <w:i/>
          <w:snapToGrid w:val="0"/>
          <w:sz w:val="22"/>
          <w:szCs w:val="22"/>
          <w:lang w:eastAsia="en-US"/>
        </w:rPr>
        <w:t>Cour de Cassation</w:t>
      </w:r>
      <w:r w:rsidRPr="00D66245">
        <w:rPr>
          <w:rFonts w:ascii="Palatino Linotype" w:eastAsiaTheme="minorEastAsia" w:hAnsi="Palatino Linotype"/>
          <w:snapToGrid w:val="0"/>
          <w:sz w:val="22"/>
          <w:szCs w:val="22"/>
          <w:lang w:eastAsia="en-US"/>
        </w:rPr>
        <w:t xml:space="preserve"> como de la </w:t>
      </w:r>
      <w:r w:rsidRPr="00D66245">
        <w:rPr>
          <w:rFonts w:ascii="Palatino Linotype" w:eastAsiaTheme="minorEastAsia" w:hAnsi="Palatino Linotype"/>
          <w:i/>
          <w:snapToGrid w:val="0"/>
          <w:sz w:val="22"/>
          <w:szCs w:val="22"/>
          <w:lang w:eastAsia="en-US"/>
        </w:rPr>
        <w:t>Corte di Cassazione,</w:t>
      </w:r>
      <w:r w:rsidRPr="00D66245">
        <w:rPr>
          <w:rFonts w:ascii="Palatino Linotype" w:eastAsiaTheme="minorEastAsia" w:hAnsi="Palatino Linotype"/>
          <w:snapToGrid w:val="0"/>
          <w:sz w:val="22"/>
          <w:szCs w:val="22"/>
          <w:lang w:eastAsia="en-US"/>
        </w:rPr>
        <w:t xml:space="preserve"> resuelve 100 casos al año. </w:t>
      </w:r>
    </w:p>
    <w:p w14:paraId="052990B1"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Se mantiene fuera de duda que ambas cortes de casación desarrollan una función de control de legalidad. Sin embargo, en virtud de la elevada cantidad de recursos que deben resolver al año, la realidad es que ese control se efectúa sólo sobre el caso particular y concreto que fue objeto del recurso, y solamente sobre las cuestiones específicas que surgieron de ese caso. De suerte que, ambas cortes se reducen a desarrollar una función esencialmente “privatista”, en cuanto responden a la exigencia de las partes privadas de la controversia particular de encontrar una solución final a la cuestión planteada, pero sin que ninguna de las dos desarrollen la función “publicista”, sea la resolución de las cuestiones de interpretación y aplicación del derecho con una eficacia de carácter general, más allá del interés individual de las partes, con el fin de influenciar la evolución del derecho incidiendo sobre las decisiones de los casos sucesivos.</w:t>
      </w:r>
      <w:r w:rsidRPr="00D66245">
        <w:rPr>
          <w:rFonts w:ascii="Palatino Linotype" w:eastAsiaTheme="minorEastAsia" w:hAnsi="Palatino Linotype"/>
          <w:sz w:val="22"/>
          <w:szCs w:val="22"/>
          <w:vertAlign w:val="superscript"/>
          <w:lang w:eastAsia="en-US"/>
        </w:rPr>
        <w:footnoteReference w:id="129"/>
      </w:r>
    </w:p>
    <w:p w14:paraId="26A07B65" w14:textId="77777777" w:rsidR="00BE6A34" w:rsidRPr="00D66245" w:rsidRDefault="00BE6A34" w:rsidP="00BE6A34">
      <w:pPr>
        <w:pStyle w:val="Prrafodelista"/>
        <w:numPr>
          <w:ilvl w:val="0"/>
          <w:numId w:val="1"/>
        </w:numPr>
        <w:spacing w:before="120" w:after="200" w:line="240" w:lineRule="auto"/>
        <w:ind w:left="0" w:firstLine="0"/>
        <w:contextualSpacing w:val="0"/>
        <w:jc w:val="both"/>
        <w:rPr>
          <w:rFonts w:ascii="Palatino Linotype" w:eastAsia="Calibri" w:hAnsi="Palatino Linotype" w:cs="Times New Roman"/>
          <w:b/>
          <w:bCs/>
        </w:rPr>
      </w:pPr>
      <w:r w:rsidRPr="00D66245">
        <w:rPr>
          <w:rFonts w:ascii="Palatino Linotype" w:eastAsia="Calibri" w:hAnsi="Palatino Linotype" w:cs="Times New Roman"/>
          <w:b/>
          <w:bCs/>
        </w:rPr>
        <w:t>La Casación Contenciosa</w:t>
      </w:r>
    </w:p>
    <w:p w14:paraId="75AA8D4A" w14:textId="77777777" w:rsidR="00BE6A34" w:rsidRPr="00D66245" w:rsidRDefault="00BE6A34" w:rsidP="00BE6A34">
      <w:pPr>
        <w:pStyle w:val="Prrafodelista"/>
        <w:numPr>
          <w:ilvl w:val="1"/>
          <w:numId w:val="1"/>
        </w:numPr>
        <w:spacing w:before="120" w:after="200" w:line="240" w:lineRule="auto"/>
        <w:ind w:left="0" w:firstLine="0"/>
        <w:contextualSpacing w:val="0"/>
        <w:jc w:val="both"/>
        <w:rPr>
          <w:rFonts w:ascii="Palatino Linotype" w:eastAsia="Calibri" w:hAnsi="Palatino Linotype" w:cs="Times New Roman"/>
          <w:b/>
          <w:bCs/>
        </w:rPr>
      </w:pPr>
      <w:r w:rsidRPr="00D66245">
        <w:rPr>
          <w:rFonts w:ascii="Palatino Linotype" w:eastAsia="Calibri" w:hAnsi="Palatino Linotype" w:cs="Times New Roman"/>
          <w:b/>
          <w:bCs/>
        </w:rPr>
        <w:t xml:space="preserve">Su Tradicional Falta De Regulación </w:t>
      </w:r>
    </w:p>
    <w:p w14:paraId="2AFB4842"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La regulación específica de la casación en el proceso contencioso administrativo no ha sido la norma; ni en el Derecho comparado, ni en el Derecho patrio.  </w:t>
      </w:r>
    </w:p>
    <w:p w14:paraId="050FCB4B" w14:textId="77777777" w:rsidR="00BE6A34" w:rsidRPr="00D66245" w:rsidRDefault="00BE6A34" w:rsidP="00BE6A34">
      <w:pPr>
        <w:pStyle w:val="NormalWeb"/>
        <w:spacing w:before="120" w:beforeAutospacing="0" w:after="200" w:afterAutospacing="0"/>
        <w:ind w:firstLine="708"/>
        <w:jc w:val="both"/>
        <w:rPr>
          <w:rFonts w:ascii="Palatino Linotype" w:hAnsi="Palatino Linotype"/>
          <w:sz w:val="22"/>
          <w:szCs w:val="22"/>
        </w:rPr>
      </w:pPr>
      <w:r w:rsidRPr="00D66245">
        <w:rPr>
          <w:rFonts w:ascii="Palatino Linotype" w:eastAsiaTheme="minorEastAsia" w:hAnsi="Palatino Linotype"/>
          <w:snapToGrid w:val="0"/>
          <w:sz w:val="22"/>
          <w:szCs w:val="22"/>
          <w:lang w:eastAsia="en-US"/>
        </w:rPr>
        <w:lastRenderedPageBreak/>
        <w:t xml:space="preserve">Efectivamente, uno de los pocos ejemplos de regulación específica de la casación en materia contencioso-administrativa en el Derecho comparado es Alemania, país en el que el recurso se somete al Tribunal Supremo Federal de lo Contencioso-Administrativo ubicado en Leipzig y solo se admiten dos motivos por los cuales se puede fundar: la infracción del derecho federal y </w:t>
      </w:r>
      <w:r w:rsidRPr="00D66245">
        <w:rPr>
          <w:rFonts w:ascii="Palatino Linotype" w:hAnsi="Palatino Linotype"/>
          <w:sz w:val="22"/>
          <w:szCs w:val="22"/>
        </w:rPr>
        <w:t>la infracción de un precepto de una ley estatal de procedimiento administrativo cuya redacción sea idéntica a la del correspondiente precepto de la Ley Federal de Procedimiento Administrativo.</w:t>
      </w:r>
      <w:r w:rsidRPr="00D66245">
        <w:rPr>
          <w:rStyle w:val="Refdenotaalpie"/>
          <w:rFonts w:ascii="Palatino Linotype" w:eastAsiaTheme="majorEastAsia" w:hAnsi="Palatino Linotype"/>
          <w:sz w:val="22"/>
          <w:szCs w:val="22"/>
        </w:rPr>
        <w:footnoteReference w:id="130"/>
      </w:r>
      <w:r w:rsidRPr="00D66245">
        <w:rPr>
          <w:rFonts w:ascii="Palatino Linotype" w:hAnsi="Palatino Linotype"/>
          <w:sz w:val="22"/>
          <w:szCs w:val="22"/>
        </w:rPr>
        <w:t xml:space="preserve"> Consecuentemente, salvo la excepción apuntada, se excluye la violación de una norma del Derecho infra federal como motivo de casación. Con ello, es claro que lo que se pretende es garantizar la unidad e igualdad en la aplicación e interpretación del derecho que rige en todo el ámbito territorial de la Federación, haya emanado o no de alguno de un órgano federal.</w:t>
      </w:r>
      <w:r w:rsidRPr="00D66245">
        <w:rPr>
          <w:rStyle w:val="Refdenotaalpie"/>
          <w:rFonts w:ascii="Palatino Linotype" w:eastAsiaTheme="majorEastAsia" w:hAnsi="Palatino Linotype"/>
          <w:sz w:val="22"/>
          <w:szCs w:val="22"/>
        </w:rPr>
        <w:footnoteReference w:id="131"/>
      </w:r>
    </w:p>
    <w:p w14:paraId="49F6C261" w14:textId="77777777" w:rsidR="00BE6A34" w:rsidRPr="00D66245" w:rsidRDefault="00BE6A34" w:rsidP="00BE6A34">
      <w:pPr>
        <w:pStyle w:val="NormalWeb"/>
        <w:spacing w:before="120" w:beforeAutospacing="0" w:after="200" w:afterAutospacing="0"/>
        <w:ind w:firstLine="708"/>
        <w:jc w:val="both"/>
        <w:rPr>
          <w:rFonts w:ascii="Palatino Linotype" w:hAnsi="Palatino Linotype"/>
          <w:sz w:val="22"/>
          <w:szCs w:val="22"/>
        </w:rPr>
      </w:pPr>
      <w:r w:rsidRPr="00D66245">
        <w:rPr>
          <w:rFonts w:ascii="Palatino Linotype" w:hAnsi="Palatino Linotype"/>
          <w:sz w:val="22"/>
          <w:szCs w:val="22"/>
        </w:rPr>
        <w:t>También en España, la Ley Orgánica 7/2015, que modificó la Ley Orgánica del Poder Judicial, regula de manera específica el recurso de casación contencioso-administrativo.</w:t>
      </w:r>
      <w:r w:rsidRPr="00D66245">
        <w:rPr>
          <w:rStyle w:val="Refdenotaalpie"/>
          <w:rFonts w:ascii="Palatino Linotype" w:eastAsiaTheme="majorEastAsia" w:hAnsi="Palatino Linotype"/>
          <w:sz w:val="22"/>
          <w:szCs w:val="22"/>
        </w:rPr>
        <w:footnoteReference w:id="132"/>
      </w:r>
      <w:r w:rsidRPr="00D66245">
        <w:rPr>
          <w:rFonts w:ascii="Palatino Linotype" w:hAnsi="Palatino Linotype"/>
          <w:sz w:val="22"/>
          <w:szCs w:val="22"/>
        </w:rPr>
        <w:t xml:space="preserve"> Dicha reforma conlleva tres cambios fundamentales: i) se ampliaron</w:t>
      </w:r>
      <w:r w:rsidRPr="00D66245">
        <w:rPr>
          <w:rFonts w:ascii="Palatino Linotype" w:hAnsi="Palatino Linotype"/>
          <w:sz w:val="22"/>
          <w:szCs w:val="22"/>
          <w:shd w:val="clear" w:color="auto" w:fill="FFFFFF"/>
        </w:rPr>
        <w:t xml:space="preserve"> los asuntos que pueden llegar al Tribunal Supremo; ii) </w:t>
      </w:r>
      <w:r w:rsidRPr="00D66245">
        <w:rPr>
          <w:rFonts w:ascii="Palatino Linotype" w:hAnsi="Palatino Linotype"/>
          <w:sz w:val="22"/>
          <w:szCs w:val="22"/>
        </w:rPr>
        <w:t xml:space="preserve">el recurso se admite cuando la Sección Primera de la Sala Tercera del Tribunal Supremo considere que existe “interés casacional objetivo para la formación de jurisprudencia” en el caso en cuestión, con lo cual se supera </w:t>
      </w:r>
      <w:r w:rsidRPr="00D66245">
        <w:rPr>
          <w:rFonts w:ascii="Palatino Linotype" w:hAnsi="Palatino Linotype"/>
          <w:sz w:val="22"/>
          <w:szCs w:val="22"/>
          <w:shd w:val="clear" w:color="auto" w:fill="FFFFFF"/>
        </w:rPr>
        <w:t>la antigua concepción que se tenía del recurso de casación como instrumento primariamente enfocado a la satisfacción de intereses y derechos subjetivos concretos, al margen de su trascendencia social; y iii) el recurso solo conoce de cuestiones jurídicas, sin entrar a examinar los hechos y la valoración de la prueba.</w:t>
      </w:r>
      <w:r w:rsidRPr="00D66245">
        <w:rPr>
          <w:rStyle w:val="Refdenotaalpie"/>
          <w:rFonts w:ascii="Palatino Linotype" w:eastAsiaTheme="majorEastAsia" w:hAnsi="Palatino Linotype"/>
          <w:sz w:val="22"/>
          <w:szCs w:val="22"/>
          <w:shd w:val="clear" w:color="auto" w:fill="FFFFFF"/>
        </w:rPr>
        <w:footnoteReference w:id="133"/>
      </w:r>
      <w:r w:rsidRPr="00D66245">
        <w:rPr>
          <w:rFonts w:ascii="Palatino Linotype" w:hAnsi="Palatino Linotype"/>
          <w:sz w:val="22"/>
          <w:szCs w:val="22"/>
          <w:shd w:val="clear" w:color="auto" w:fill="FFFFFF"/>
        </w:rPr>
        <w:t xml:space="preserve"> </w:t>
      </w:r>
    </w:p>
    <w:p w14:paraId="1A8BDDAE"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lastRenderedPageBreak/>
        <w:t xml:space="preserve"> En el Derecho patrio, por su parte, la Ley Reguladora de la Jurisdicción Contencioso-Administrativa remitía a la legislación procesal civil en todo lo relacionado a recursos, salvo las especiales referencias a la casación por la forma contra la sentencia que declaraba la inadmisibilidad, la casación en procesos especiales y la casación cuando se declaraba la caducidad del proceso. Explicaba sobre el particular el redactor del proyecto de Ley Reguladora de la Jurisdicción Contencioso-Administrativa, Dr. Gonzalo Retana Sandí: </w:t>
      </w:r>
    </w:p>
    <w:p w14:paraId="02C418E8" w14:textId="77777777" w:rsidR="00BE6A34" w:rsidRPr="00D66245" w:rsidRDefault="00BE6A34" w:rsidP="00BE6A34">
      <w:pPr>
        <w:pStyle w:val="NormalWeb"/>
        <w:tabs>
          <w:tab w:val="left" w:pos="851"/>
        </w:tabs>
        <w:spacing w:before="120" w:beforeAutospacing="0" w:after="200" w:afterAutospacing="0"/>
        <w:ind w:left="851" w:right="899"/>
        <w:jc w:val="both"/>
        <w:rPr>
          <w:rFonts w:ascii="Palatino Linotype" w:eastAsiaTheme="minorEastAsia" w:hAnsi="Palatino Linotype"/>
          <w:i/>
          <w:snapToGrid w:val="0"/>
          <w:sz w:val="22"/>
          <w:szCs w:val="22"/>
          <w:lang w:eastAsia="en-US"/>
        </w:rPr>
      </w:pPr>
      <w:r w:rsidRPr="00D66245">
        <w:rPr>
          <w:rFonts w:ascii="Palatino Linotype" w:eastAsiaTheme="minorEastAsia" w:hAnsi="Palatino Linotype"/>
          <w:i/>
          <w:snapToGrid w:val="0"/>
          <w:sz w:val="22"/>
          <w:szCs w:val="22"/>
          <w:lang w:eastAsia="en-US"/>
        </w:rPr>
        <w:t xml:space="preserve">Puede mantenerse la situación actual y dejar que, hasta donde sea posible, la materia se rija por la legislación civil, lo que, por un lado, hace menos extensa la ley de lo contencioso-administrativo, y, por el otro, favorece a los abogados y partes, al mantener un régimen único al respecto… </w:t>
      </w:r>
    </w:p>
    <w:p w14:paraId="37FC34B4" w14:textId="77777777" w:rsidR="00BE6A34" w:rsidRPr="00D66245" w:rsidRDefault="00BE6A34" w:rsidP="00BE6A34">
      <w:pPr>
        <w:pStyle w:val="NormalWeb"/>
        <w:tabs>
          <w:tab w:val="left" w:pos="851"/>
        </w:tabs>
        <w:spacing w:before="120" w:beforeAutospacing="0" w:after="200" w:afterAutospacing="0"/>
        <w:ind w:left="851" w:right="899"/>
        <w:jc w:val="both"/>
        <w:rPr>
          <w:rFonts w:ascii="Palatino Linotype" w:eastAsiaTheme="minorEastAsia" w:hAnsi="Palatino Linotype"/>
          <w:i/>
          <w:snapToGrid w:val="0"/>
          <w:sz w:val="22"/>
          <w:szCs w:val="22"/>
          <w:lang w:eastAsia="en-US"/>
        </w:rPr>
      </w:pPr>
      <w:r w:rsidRPr="00D66245">
        <w:rPr>
          <w:rFonts w:ascii="Palatino Linotype" w:eastAsiaTheme="minorEastAsia" w:hAnsi="Palatino Linotype"/>
          <w:i/>
          <w:snapToGrid w:val="0"/>
          <w:sz w:val="22"/>
          <w:szCs w:val="22"/>
          <w:lang w:eastAsia="en-US"/>
        </w:rPr>
        <w:t>Debe, sí, incluirse un capítulo sobre los medios de impugnación; establecer que se reconocen los de la ley civil y remitirse a ésta en la sustanciación y demás extremos; capítulo donde estarán contenidas, además, todas las disposiciones específicas que sean necesarias…</w:t>
      </w:r>
      <w:r w:rsidRPr="00D66245">
        <w:rPr>
          <w:rStyle w:val="Refdenotaalpie"/>
          <w:rFonts w:ascii="Palatino Linotype" w:eastAsiaTheme="minorEastAsia" w:hAnsi="Palatino Linotype"/>
          <w:i/>
          <w:snapToGrid w:val="0"/>
          <w:sz w:val="22"/>
          <w:szCs w:val="22"/>
          <w:lang w:eastAsia="en-US"/>
        </w:rPr>
        <w:footnoteReference w:id="134"/>
      </w:r>
    </w:p>
    <w:p w14:paraId="617EAE9D"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A mayor abundamiento, también entendió alguna doctrina que la casación contenciosa – tal cual estaba prevista en la Ley Reguladora de la Jurisdicción Contencioso Administrativa - tenía algunas particularidades derivadas de su misma naturaleza tales como: i) la necesaria mutación de la falta de emplazamiento o notificación defectuosa de las partes e intervinientes principales como causal para la casación, ii) la inaplicación de la causal correspondiente a la incompetencia territorial y iii) la interpretación ampliativa de lo que debía entenderse como violación de leyes por aplicación del numeral 7 de la Ley General de la Administración Pública entre otras.</w:t>
      </w:r>
      <w:r w:rsidRPr="00D66245">
        <w:rPr>
          <w:rFonts w:ascii="Palatino Linotype" w:eastAsiaTheme="minorEastAsia" w:hAnsi="Palatino Linotype"/>
          <w:sz w:val="22"/>
          <w:szCs w:val="22"/>
          <w:vertAlign w:val="superscript"/>
        </w:rPr>
        <w:footnoteReference w:id="135"/>
      </w:r>
      <w:r w:rsidRPr="00D66245">
        <w:rPr>
          <w:rFonts w:ascii="Palatino Linotype" w:eastAsiaTheme="minorEastAsia" w:hAnsi="Palatino Linotype"/>
          <w:snapToGrid w:val="0"/>
          <w:sz w:val="22"/>
          <w:szCs w:val="22"/>
          <w:lang w:eastAsia="en-US"/>
        </w:rPr>
        <w:t xml:space="preserve"> </w:t>
      </w:r>
    </w:p>
    <w:p w14:paraId="53FDA9FB" w14:textId="77777777" w:rsidR="00BE6A34" w:rsidRPr="00D66245" w:rsidRDefault="00BE6A34" w:rsidP="00BE6A34">
      <w:pPr>
        <w:pStyle w:val="NormalWeb"/>
        <w:spacing w:before="120" w:beforeAutospacing="0" w:after="200" w:afterAutospacing="0"/>
        <w:ind w:firstLine="708"/>
        <w:jc w:val="both"/>
        <w:rPr>
          <w:rFonts w:ascii="Palatino Linotype" w:hAnsi="Palatino Linotype"/>
          <w:sz w:val="22"/>
          <w:szCs w:val="22"/>
        </w:rPr>
      </w:pPr>
      <w:r w:rsidRPr="00D66245">
        <w:rPr>
          <w:rFonts w:ascii="Palatino Linotype" w:eastAsiaTheme="minorEastAsia" w:hAnsi="Palatino Linotype"/>
          <w:snapToGrid w:val="0"/>
          <w:sz w:val="22"/>
          <w:szCs w:val="22"/>
          <w:lang w:eastAsia="en-US"/>
        </w:rPr>
        <w:t xml:space="preserve">No obstante esas particularidades, en lo sustancial, la casación contenciosa adolecía de las mismas falencias que su homóloga civil, siendo </w:t>
      </w:r>
      <w:r w:rsidRPr="00D66245">
        <w:rPr>
          <w:rFonts w:ascii="Palatino Linotype" w:eastAsiaTheme="minorEastAsia" w:hAnsi="Palatino Linotype"/>
          <w:snapToGrid w:val="0"/>
          <w:sz w:val="22"/>
          <w:szCs w:val="22"/>
          <w:lang w:eastAsia="en-US"/>
        </w:rPr>
        <w:lastRenderedPageBreak/>
        <w:t>la queja más recurrente de los litigantes su excesivo formalismo.</w:t>
      </w:r>
      <w:r w:rsidRPr="00D66245">
        <w:rPr>
          <w:rStyle w:val="Refdenotaalpie"/>
          <w:rFonts w:ascii="Palatino Linotype" w:eastAsiaTheme="minorEastAsia" w:hAnsi="Palatino Linotype"/>
          <w:snapToGrid w:val="0"/>
          <w:sz w:val="22"/>
          <w:szCs w:val="22"/>
          <w:lang w:eastAsia="en-US"/>
        </w:rPr>
        <w:footnoteReference w:id="136"/>
      </w:r>
      <w:r w:rsidRPr="00D66245">
        <w:rPr>
          <w:rFonts w:ascii="Palatino Linotype" w:eastAsiaTheme="minorEastAsia" w:hAnsi="Palatino Linotype"/>
          <w:snapToGrid w:val="0"/>
          <w:sz w:val="22"/>
          <w:szCs w:val="22"/>
          <w:lang w:eastAsia="en-US"/>
        </w:rPr>
        <w:t xml:space="preserve"> En efecto, a escasos meses de haber empezado a regir el Código de Procedimientos Civil de 1888 se interpuso por primera vez en la historia forense patria, un recurso de casación. Se trataba del caso Zamora vs. Villalobos que fue rechazado </w:t>
      </w:r>
      <w:r w:rsidRPr="00D66245">
        <w:rPr>
          <w:rFonts w:ascii="Palatino Linotype" w:eastAsiaTheme="minorEastAsia" w:hAnsi="Palatino Linotype"/>
          <w:i/>
          <w:snapToGrid w:val="0"/>
          <w:sz w:val="22"/>
          <w:szCs w:val="22"/>
          <w:lang w:eastAsia="en-US"/>
        </w:rPr>
        <w:t>ad-portas</w:t>
      </w:r>
      <w:r w:rsidRPr="00D66245">
        <w:rPr>
          <w:rFonts w:ascii="Palatino Linotype" w:eastAsiaTheme="minorEastAsia" w:hAnsi="Palatino Linotype"/>
          <w:snapToGrid w:val="0"/>
          <w:sz w:val="22"/>
          <w:szCs w:val="22"/>
          <w:lang w:eastAsia="en-US"/>
        </w:rPr>
        <w:t xml:space="preserve"> por la Sala de Casación el 1° de abril de 1888. Consecuentemente, el formalismo y el temor perenne de los litigantes a un rechazo </w:t>
      </w:r>
      <w:r w:rsidRPr="00D66245">
        <w:rPr>
          <w:rFonts w:ascii="Palatino Linotype" w:eastAsiaTheme="minorEastAsia" w:hAnsi="Palatino Linotype"/>
          <w:i/>
          <w:snapToGrid w:val="0"/>
          <w:sz w:val="22"/>
          <w:szCs w:val="22"/>
          <w:lang w:eastAsia="en-US"/>
        </w:rPr>
        <w:t>ad-portas</w:t>
      </w:r>
      <w:r w:rsidRPr="00D66245">
        <w:rPr>
          <w:rFonts w:ascii="Palatino Linotype" w:eastAsiaTheme="minorEastAsia" w:hAnsi="Palatino Linotype"/>
          <w:snapToGrid w:val="0"/>
          <w:sz w:val="22"/>
          <w:szCs w:val="22"/>
          <w:lang w:eastAsia="en-US"/>
        </w:rPr>
        <w:t xml:space="preserve"> siempre han sido sombra del recurso de casación, tanto así que incluso se volvió popular entre los abogados la creencia de que, para tener éxito en la vida era necesario tener un hijo, escribir un libro y ganar un recurso de casación. </w:t>
      </w:r>
      <w:r w:rsidRPr="00D66245">
        <w:rPr>
          <w:rFonts w:ascii="Palatino Linotype" w:hAnsi="Palatino Linotype"/>
          <w:sz w:val="22"/>
          <w:szCs w:val="22"/>
        </w:rPr>
        <w:t>Pues bien, ese mismo formalismo fue trasladado a la jurisdicción contencioso-administrativa, lo que generaba denegación de justicia, algo ciertamente inconcebible en el campo del Derecho administrativo en el que lo primordial es la satisfacción del interés público, pero sin quebrantar los derechos subjetivos y los intereses legítimos de los justiciables.</w:t>
      </w:r>
      <w:r w:rsidRPr="00D66245">
        <w:rPr>
          <w:rStyle w:val="Refdenotaalpie"/>
          <w:rFonts w:ascii="Palatino Linotype" w:eastAsiaTheme="majorEastAsia" w:hAnsi="Palatino Linotype"/>
          <w:sz w:val="22"/>
          <w:szCs w:val="22"/>
        </w:rPr>
        <w:footnoteReference w:id="137"/>
      </w:r>
    </w:p>
    <w:p w14:paraId="456EE012" w14:textId="77777777" w:rsidR="00BE6A34" w:rsidRPr="00D66245" w:rsidRDefault="00BE6A34" w:rsidP="00BE6A34">
      <w:pPr>
        <w:pStyle w:val="Prrafodelista"/>
        <w:numPr>
          <w:ilvl w:val="1"/>
          <w:numId w:val="1"/>
        </w:numPr>
        <w:spacing w:before="120" w:after="200" w:line="240" w:lineRule="auto"/>
        <w:ind w:left="0" w:firstLine="0"/>
        <w:contextualSpacing w:val="0"/>
        <w:jc w:val="both"/>
        <w:rPr>
          <w:rFonts w:ascii="Palatino Linotype" w:eastAsia="Calibri" w:hAnsi="Palatino Linotype" w:cs="Times New Roman"/>
          <w:b/>
          <w:bCs/>
        </w:rPr>
      </w:pPr>
      <w:r w:rsidRPr="00D66245">
        <w:rPr>
          <w:rFonts w:ascii="Palatino Linotype" w:eastAsia="Calibri" w:hAnsi="Palatino Linotype" w:cs="Times New Roman"/>
          <w:b/>
          <w:bCs/>
        </w:rPr>
        <w:t xml:space="preserve">Incidencia De La Transformación Del Contencioso Objetivo o Meramente Revisor Al Contencioso Subjetivo, Plenario y Universal </w:t>
      </w:r>
    </w:p>
    <w:p w14:paraId="4996DCDE" w14:textId="77777777" w:rsidR="00BE6A34" w:rsidRPr="00D66245" w:rsidRDefault="00BE6A34" w:rsidP="00BE6A34">
      <w:pPr>
        <w:pStyle w:val="Ttulo"/>
        <w:spacing w:before="120" w:after="200"/>
        <w:ind w:firstLine="708"/>
        <w:jc w:val="both"/>
        <w:rPr>
          <w:rFonts w:ascii="Palatino Linotype" w:eastAsiaTheme="minorEastAsia" w:hAnsi="Palatino Linotype"/>
          <w:b w:val="0"/>
          <w:snapToGrid w:val="0"/>
          <w:sz w:val="22"/>
          <w:szCs w:val="22"/>
          <w:u w:val="none"/>
          <w:lang w:val="es-CR" w:eastAsia="en-US"/>
        </w:rPr>
      </w:pPr>
      <w:r w:rsidRPr="00D66245">
        <w:rPr>
          <w:rFonts w:ascii="Palatino Linotype" w:eastAsiaTheme="minorEastAsia" w:hAnsi="Palatino Linotype"/>
          <w:b w:val="0"/>
          <w:snapToGrid w:val="0"/>
          <w:sz w:val="22"/>
          <w:szCs w:val="22"/>
          <w:u w:val="none"/>
          <w:lang w:val="es-CR" w:eastAsia="en-US"/>
        </w:rPr>
        <w:t>Desde que, a inicios de 1988, Jérome Chapuisat advirtió que el contencioso administrativo estaba enfermo</w:t>
      </w:r>
      <w:r w:rsidRPr="00D66245">
        <w:rPr>
          <w:rFonts w:ascii="Palatino Linotype" w:eastAsiaTheme="minorEastAsia" w:hAnsi="Palatino Linotype"/>
          <w:b w:val="0"/>
          <w:snapToGrid w:val="0"/>
          <w:sz w:val="22"/>
          <w:szCs w:val="22"/>
          <w:u w:val="none"/>
          <w:vertAlign w:val="superscript"/>
          <w:lang w:val="es-CR" w:eastAsia="en-US"/>
        </w:rPr>
        <w:footnoteReference w:id="138"/>
      </w:r>
      <w:r w:rsidRPr="00D66245">
        <w:rPr>
          <w:rFonts w:ascii="Palatino Linotype" w:eastAsiaTheme="minorEastAsia" w:hAnsi="Palatino Linotype"/>
          <w:b w:val="0"/>
          <w:snapToGrid w:val="0"/>
          <w:sz w:val="22"/>
          <w:szCs w:val="22"/>
          <w:u w:val="none"/>
          <w:lang w:val="es-CR" w:eastAsia="en-US"/>
        </w:rPr>
        <w:t>, esa jurisdicción emprendió un acelerado viaje hacia su cambio de paradigma.</w:t>
      </w:r>
      <w:r w:rsidRPr="00D66245">
        <w:rPr>
          <w:rFonts w:ascii="Palatino Linotype" w:eastAsiaTheme="minorEastAsia" w:hAnsi="Palatino Linotype"/>
          <w:b w:val="0"/>
          <w:snapToGrid w:val="0"/>
          <w:sz w:val="22"/>
          <w:szCs w:val="22"/>
          <w:u w:val="none"/>
          <w:vertAlign w:val="superscript"/>
          <w:lang w:val="es-CR" w:eastAsia="en-US"/>
        </w:rPr>
        <w:footnoteReference w:id="139"/>
      </w:r>
    </w:p>
    <w:p w14:paraId="3BA411AE"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lastRenderedPageBreak/>
        <w:t>En efecto, muchos códigos procesales administrativos aprobados o reformados durante los últimos veinticinco años han reconocido a la jurisdicción contencioso administrativa facultades renovadas, que puede ejercer incluso al margen de las pretensiones de las partes, para adoptar medidas cautelares, dictarle órdenes a las Administraciones públicas, valorar sus motivaciones y sustituirlas, matizar el alcance de las declaraciones de nulidad, imponer condicionamientos a los actos administrativos, etc. Nunca los jueces contenciosos administrativos habían tenido poderes más amplios para evaluar, corregir e incluso sustituir las decisiones administrativas, ni facultades más completas para hacer ejecutar sus resoluciones.</w:t>
      </w:r>
      <w:r w:rsidRPr="00D66245">
        <w:rPr>
          <w:rFonts w:ascii="Palatino Linotype" w:eastAsiaTheme="minorEastAsia" w:hAnsi="Palatino Linotype"/>
          <w:sz w:val="22"/>
          <w:szCs w:val="22"/>
          <w:vertAlign w:val="superscript"/>
        </w:rPr>
        <w:footnoteReference w:id="140"/>
      </w:r>
      <w:r w:rsidRPr="00D66245">
        <w:rPr>
          <w:rFonts w:ascii="Palatino Linotype" w:eastAsiaTheme="minorEastAsia" w:hAnsi="Palatino Linotype"/>
          <w:snapToGrid w:val="0"/>
          <w:sz w:val="22"/>
          <w:szCs w:val="22"/>
          <w:lang w:eastAsia="en-US"/>
        </w:rPr>
        <w:t xml:space="preserve"> </w:t>
      </w:r>
    </w:p>
    <w:p w14:paraId="204722AB"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Y es que, gran parte de la historia del Derecho administrativo ha discurrido por la nunca acabada tensión del control de la Administración pública y los poderes del juez contencioso administrativo. Así, en Francia, quien primero planteó la cuestión de los poderes del juez fue Édouard Laferrière</w:t>
      </w:r>
      <w:r w:rsidRPr="00D66245">
        <w:rPr>
          <w:rFonts w:ascii="Palatino Linotype" w:eastAsiaTheme="minorEastAsia" w:hAnsi="Palatino Linotype"/>
          <w:sz w:val="22"/>
          <w:szCs w:val="22"/>
          <w:vertAlign w:val="superscript"/>
        </w:rPr>
        <w:footnoteReference w:id="141"/>
      </w:r>
      <w:r w:rsidRPr="00D66245">
        <w:rPr>
          <w:rFonts w:ascii="Palatino Linotype" w:eastAsiaTheme="minorEastAsia" w:hAnsi="Palatino Linotype"/>
          <w:snapToGrid w:val="0"/>
          <w:sz w:val="22"/>
          <w:szCs w:val="22"/>
          <w:lang w:eastAsia="en-US"/>
        </w:rPr>
        <w:t xml:space="preserve">, categorizando los recursos administrativos disponibles para el justiciable en función de los poderes del juez y distinguiendo así entre el “contencioso de plena jurisdicción” y el “contencioso de anulación” o “por exceso de poder”. En el primero de estos, aplicable a casos relacionados con </w:t>
      </w:r>
      <w:r w:rsidRPr="00D66245">
        <w:rPr>
          <w:rFonts w:ascii="Palatino Linotype" w:eastAsiaTheme="minorEastAsia" w:hAnsi="Palatino Linotype"/>
          <w:snapToGrid w:val="0"/>
          <w:sz w:val="22"/>
          <w:szCs w:val="22"/>
          <w:lang w:eastAsia="en-US"/>
        </w:rPr>
        <w:lastRenderedPageBreak/>
        <w:t>los contratos y la responsabilidad extracontractual de la Administración</w:t>
      </w:r>
      <w:r w:rsidRPr="00D66245">
        <w:rPr>
          <w:rFonts w:ascii="Palatino Linotype" w:eastAsiaTheme="minorEastAsia" w:hAnsi="Palatino Linotype"/>
          <w:sz w:val="22"/>
          <w:szCs w:val="22"/>
          <w:vertAlign w:val="superscript"/>
        </w:rPr>
        <w:footnoteReference w:id="142"/>
      </w:r>
      <w:r w:rsidRPr="00D66245">
        <w:rPr>
          <w:rFonts w:ascii="Palatino Linotype" w:eastAsiaTheme="minorEastAsia" w:hAnsi="Palatino Linotype"/>
          <w:snapToGrid w:val="0"/>
          <w:sz w:val="22"/>
          <w:szCs w:val="22"/>
          <w:lang w:eastAsia="en-US"/>
        </w:rPr>
        <w:t>, el juez contencioso administrativo resolvía controversias entre la Administración y los demandantes como lo harían los tribunales ordinarios; mientras que, en el segundo, los poderes de los jueces se limitaban a la anulación de los actos ilegales de la Administración. Con este último se consolidaría la idea del contencioso como un “proceso al acto” o “revisor”, cuyo único objeto era declarar la legalidad o ilegalidad de un acto administrativo, sin importar la satisfacción de la tutela jurídica solicitada por el justiciable</w:t>
      </w:r>
      <w:r w:rsidRPr="00D66245">
        <w:rPr>
          <w:rFonts w:ascii="Palatino Linotype" w:eastAsiaTheme="minorEastAsia" w:hAnsi="Palatino Linotype"/>
          <w:sz w:val="22"/>
          <w:szCs w:val="22"/>
          <w:vertAlign w:val="superscript"/>
        </w:rPr>
        <w:footnoteReference w:id="143"/>
      </w:r>
      <w:r w:rsidRPr="00D66245">
        <w:rPr>
          <w:rFonts w:ascii="Palatino Linotype" w:eastAsiaTheme="minorEastAsia" w:hAnsi="Palatino Linotype"/>
          <w:snapToGrid w:val="0"/>
          <w:sz w:val="22"/>
          <w:szCs w:val="22"/>
          <w:lang w:eastAsia="en-US"/>
        </w:rPr>
        <w:t>. Como bien señala Benvenuti: “La jurisdicción contencioso-administrativa se crea, pues, para defender o salvaguardar a la Administración de sí misma, asegurando que sometiese toda su actuación a la ley”.</w:t>
      </w:r>
      <w:r w:rsidRPr="00D66245">
        <w:rPr>
          <w:rFonts w:ascii="Palatino Linotype" w:eastAsiaTheme="minorEastAsia" w:hAnsi="Palatino Linotype"/>
          <w:sz w:val="22"/>
          <w:szCs w:val="22"/>
          <w:vertAlign w:val="superscript"/>
        </w:rPr>
        <w:footnoteReference w:id="144"/>
      </w:r>
    </w:p>
    <w:p w14:paraId="6409C785"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Esta clasificación luego sería enriquecida por las obras de Léon Duguit</w:t>
      </w:r>
      <w:r w:rsidRPr="00D66245">
        <w:rPr>
          <w:rFonts w:ascii="Palatino Linotype" w:eastAsiaTheme="minorEastAsia" w:hAnsi="Palatino Linotype"/>
          <w:sz w:val="22"/>
          <w:szCs w:val="22"/>
          <w:vertAlign w:val="superscript"/>
        </w:rPr>
        <w:footnoteReference w:id="145"/>
      </w:r>
      <w:r w:rsidRPr="00D66245">
        <w:rPr>
          <w:rFonts w:ascii="Palatino Linotype" w:eastAsiaTheme="minorEastAsia" w:hAnsi="Palatino Linotype"/>
          <w:snapToGrid w:val="0"/>
          <w:sz w:val="22"/>
          <w:szCs w:val="22"/>
          <w:lang w:eastAsia="en-US"/>
        </w:rPr>
        <w:t xml:space="preserve"> y Marcel Waline</w:t>
      </w:r>
      <w:r w:rsidRPr="00D66245">
        <w:rPr>
          <w:rFonts w:ascii="Palatino Linotype" w:eastAsiaTheme="minorEastAsia" w:hAnsi="Palatino Linotype"/>
          <w:sz w:val="22"/>
          <w:szCs w:val="22"/>
          <w:vertAlign w:val="superscript"/>
        </w:rPr>
        <w:footnoteReference w:id="146"/>
      </w:r>
      <w:r w:rsidRPr="00D66245">
        <w:rPr>
          <w:rFonts w:ascii="Palatino Linotype" w:eastAsiaTheme="minorEastAsia" w:hAnsi="Palatino Linotype"/>
          <w:snapToGrid w:val="0"/>
          <w:sz w:val="22"/>
          <w:szCs w:val="22"/>
          <w:lang w:eastAsia="en-US"/>
        </w:rPr>
        <w:t xml:space="preserve">, que propugnarían por distinguir entre un “contencioso objetivo” y un “contencioso subjetivo”. La separación de uno y otro estaba basada – de nuevo - en las pretensiones que se sostenían ante el juez; de suerte que, objetivo era el recurso si lo que se planteaba era una cuestión de conformidad de un acto administrativo con la legalidad, y subjetivo si las pretensiones del recurrente se referían al reconocimiento de un derecho. </w:t>
      </w:r>
    </w:p>
    <w:p w14:paraId="66382B81"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Con fundamento en esa distinción, la jurisprudencia fue perfilando los poderes del juez de modo mucho más restrictivo en un tipo de recurso que en el otro. En el recurso por exceso de poder, al tratarse de un “proceso al acto” y por tanto de carácter objetivo y revisor, las pretensiones que </w:t>
      </w:r>
      <w:r w:rsidRPr="00D66245">
        <w:rPr>
          <w:rFonts w:ascii="Palatino Linotype" w:eastAsiaTheme="minorEastAsia" w:hAnsi="Palatino Linotype"/>
          <w:snapToGrid w:val="0"/>
          <w:sz w:val="22"/>
          <w:szCs w:val="22"/>
          <w:lang w:eastAsia="en-US"/>
        </w:rPr>
        <w:lastRenderedPageBreak/>
        <w:t>podían ejercerse iban dirigidas únicamente a la declaración de ilegalidad de un acto, mas no al reconocimiento de derecho subjetivo alguno del reclamante frente a la Administración. Esta peculiar posición del demandante en el recurso por exceso de poder llevó a Hauriou a afirmar que este jugaba el mismo papel que “el Ministerio Público persiguiendo la represión de una infracción”</w:t>
      </w:r>
      <w:r w:rsidRPr="00D66245">
        <w:rPr>
          <w:rFonts w:ascii="Palatino Linotype" w:eastAsiaTheme="minorEastAsia" w:hAnsi="Palatino Linotype"/>
          <w:sz w:val="22"/>
          <w:szCs w:val="22"/>
          <w:vertAlign w:val="superscript"/>
        </w:rPr>
        <w:footnoteReference w:id="147"/>
      </w:r>
      <w:r w:rsidRPr="00D66245">
        <w:rPr>
          <w:rFonts w:ascii="Palatino Linotype" w:eastAsiaTheme="minorEastAsia" w:hAnsi="Palatino Linotype"/>
          <w:snapToGrid w:val="0"/>
          <w:sz w:val="22"/>
          <w:szCs w:val="22"/>
          <w:lang w:eastAsia="en-US"/>
        </w:rPr>
        <w:t xml:space="preserve"> y a Laferrière a señalar que, realmente, no había partes en este proceso “en el sentido jurídico de la palabra”</w:t>
      </w:r>
      <w:r w:rsidRPr="00D66245">
        <w:rPr>
          <w:rFonts w:ascii="Palatino Linotype" w:eastAsiaTheme="minorEastAsia" w:hAnsi="Palatino Linotype"/>
          <w:sz w:val="22"/>
          <w:szCs w:val="22"/>
          <w:vertAlign w:val="superscript"/>
        </w:rPr>
        <w:footnoteReference w:id="148"/>
      </w:r>
      <w:r w:rsidRPr="00D66245">
        <w:rPr>
          <w:rFonts w:ascii="Palatino Linotype" w:eastAsiaTheme="minorEastAsia" w:hAnsi="Palatino Linotype"/>
          <w:snapToGrid w:val="0"/>
          <w:sz w:val="22"/>
          <w:szCs w:val="22"/>
          <w:lang w:eastAsia="en-US"/>
        </w:rPr>
        <w:t xml:space="preserve">. Ello así, el papel del juez concluía con la estimación o no de la reclamación, sin otros poderes adicionales. De otra parte, el recurso de plena jurisdicción constituía un claro ejemplo de un contencioso de carácter subjetivo, donde el juez podía sustituir las decisiones de la Administración por las suyas propias, atendiendo, cuando procediera, las pretensiones del demandante. </w:t>
      </w:r>
    </w:p>
    <w:p w14:paraId="13E9ED2D"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En los últimos años del Siglo XX, sin embargo, la transformación del contencioso de plena jurisdicción ha contribuido a ampliar el poder del juez contencioso administrativo. Pero fue quizás el sistema contencioso administrativo alemán surgido a partir de 1945 el que, con el claro propósito de evitar la comisión de abusos como los sufridos durante el </w:t>
      </w:r>
      <w:r w:rsidRPr="00D66245">
        <w:rPr>
          <w:rFonts w:ascii="Palatino Linotype" w:eastAsiaTheme="minorEastAsia" w:hAnsi="Palatino Linotype"/>
          <w:i/>
          <w:snapToGrid w:val="0"/>
          <w:sz w:val="22"/>
          <w:szCs w:val="22"/>
          <w:lang w:eastAsia="en-US"/>
        </w:rPr>
        <w:t>III Reich</w:t>
      </w:r>
      <w:r w:rsidRPr="00D66245">
        <w:rPr>
          <w:rFonts w:ascii="Palatino Linotype" w:eastAsiaTheme="minorEastAsia" w:hAnsi="Palatino Linotype"/>
          <w:snapToGrid w:val="0"/>
          <w:sz w:val="22"/>
          <w:szCs w:val="22"/>
          <w:lang w:eastAsia="en-US"/>
        </w:rPr>
        <w:t>, establecería un sistema de tutela plenaria, basado en un modelo de corte subjetivo, en el cual el administrado tenía a su disposición todo tipo de pretensiones destinadas a combatir tanto las actuaciones jurídicas o materiales, como las omisiones de la Administración pública.</w:t>
      </w:r>
      <w:r w:rsidRPr="00D66245">
        <w:rPr>
          <w:rFonts w:ascii="Palatino Linotype" w:eastAsiaTheme="minorEastAsia" w:hAnsi="Palatino Linotype"/>
          <w:sz w:val="22"/>
          <w:szCs w:val="22"/>
          <w:vertAlign w:val="superscript"/>
        </w:rPr>
        <w:footnoteReference w:id="149"/>
      </w:r>
      <w:r w:rsidRPr="00D66245">
        <w:rPr>
          <w:rFonts w:ascii="Palatino Linotype" w:eastAsiaTheme="minorEastAsia" w:hAnsi="Palatino Linotype"/>
          <w:snapToGrid w:val="0"/>
          <w:sz w:val="22"/>
          <w:szCs w:val="22"/>
          <w:lang w:eastAsia="en-US"/>
        </w:rPr>
        <w:t xml:space="preserve"> Al efecto resultan categóricas las palabras de Bullinger, quien refiriéndose al sistema contencioso administrativo alemán en comparación con el francés diría: “El legislador…deberá decidir si, tras un proceso de transición hacia el Estado democrático de Derecho…desea avanzar, precisamente como lo hizo Alemania, hacia el “Estado de Derecho perfecto”, o si, por el contrario, desea detenerse en el tradicional “standard”, tal y como lo representa el contencioso francés”.</w:t>
      </w:r>
      <w:r w:rsidRPr="00D66245">
        <w:rPr>
          <w:rFonts w:ascii="Palatino Linotype" w:eastAsiaTheme="minorEastAsia" w:hAnsi="Palatino Linotype"/>
          <w:snapToGrid w:val="0"/>
          <w:sz w:val="22"/>
          <w:szCs w:val="22"/>
          <w:vertAlign w:val="superscript"/>
          <w:lang w:eastAsia="en-US"/>
        </w:rPr>
        <w:footnoteReference w:id="150"/>
      </w:r>
    </w:p>
    <w:p w14:paraId="103C8DC0"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lastRenderedPageBreak/>
        <w:t xml:space="preserve">Ya luego, importantes leyes dictadas en el último cuarto de siglo han venido a ampliar las potestades del juez contencioso francés, tanto para hacer efectiva la ejecución de sus sentencias, como para dictar medidas cautelares, adicionándose a sus ya tradicionales </w:t>
      </w:r>
      <w:r w:rsidRPr="00D66245">
        <w:rPr>
          <w:rFonts w:ascii="Palatino Linotype" w:eastAsiaTheme="minorEastAsia" w:hAnsi="Palatino Linotype"/>
          <w:i/>
          <w:snapToGrid w:val="0"/>
          <w:sz w:val="22"/>
          <w:szCs w:val="22"/>
          <w:lang w:eastAsia="en-US"/>
        </w:rPr>
        <w:t>sursis à exécution</w:t>
      </w:r>
      <w:r w:rsidRPr="00D66245">
        <w:rPr>
          <w:rFonts w:ascii="Palatino Linotype" w:eastAsiaTheme="minorEastAsia" w:hAnsi="Palatino Linotype"/>
          <w:snapToGrid w:val="0"/>
          <w:sz w:val="22"/>
          <w:szCs w:val="22"/>
          <w:lang w:eastAsia="en-US"/>
        </w:rPr>
        <w:t xml:space="preserve">, y </w:t>
      </w:r>
      <w:r w:rsidRPr="00D66245">
        <w:rPr>
          <w:rFonts w:ascii="Palatino Linotype" w:eastAsiaTheme="minorEastAsia" w:hAnsi="Palatino Linotype"/>
          <w:i/>
          <w:snapToGrid w:val="0"/>
          <w:sz w:val="22"/>
          <w:szCs w:val="22"/>
          <w:lang w:eastAsia="en-US"/>
        </w:rPr>
        <w:t>référés administratifs</w:t>
      </w:r>
      <w:r w:rsidRPr="00D66245">
        <w:rPr>
          <w:rFonts w:ascii="Palatino Linotype" w:eastAsiaTheme="minorEastAsia" w:hAnsi="Palatino Linotype"/>
          <w:snapToGrid w:val="0"/>
          <w:sz w:val="22"/>
          <w:szCs w:val="22"/>
          <w:lang w:eastAsia="en-US"/>
        </w:rPr>
        <w:t xml:space="preserve">, recursos con efecto suspensivo inmediato, </w:t>
      </w:r>
      <w:r w:rsidRPr="00D66245">
        <w:rPr>
          <w:rFonts w:ascii="Palatino Linotype" w:eastAsiaTheme="minorEastAsia" w:hAnsi="Palatino Linotype"/>
          <w:i/>
          <w:snapToGrid w:val="0"/>
          <w:sz w:val="22"/>
          <w:szCs w:val="22"/>
          <w:lang w:eastAsia="en-US"/>
        </w:rPr>
        <w:t>constat d´urgence</w:t>
      </w:r>
      <w:r w:rsidRPr="00D66245">
        <w:rPr>
          <w:rFonts w:ascii="Palatino Linotype" w:eastAsiaTheme="minorEastAsia" w:hAnsi="Palatino Linotype"/>
          <w:snapToGrid w:val="0"/>
          <w:sz w:val="22"/>
          <w:szCs w:val="22"/>
          <w:lang w:eastAsia="en-US"/>
        </w:rPr>
        <w:t xml:space="preserve">, además de los más recientes </w:t>
      </w:r>
      <w:r w:rsidRPr="00D66245">
        <w:rPr>
          <w:rFonts w:ascii="Palatino Linotype" w:eastAsiaTheme="minorEastAsia" w:hAnsi="Palatino Linotype"/>
          <w:i/>
          <w:snapToGrid w:val="0"/>
          <w:sz w:val="22"/>
          <w:szCs w:val="22"/>
          <w:lang w:eastAsia="en-US"/>
        </w:rPr>
        <w:t>référé expertisse</w:t>
      </w:r>
      <w:r w:rsidRPr="00D66245">
        <w:rPr>
          <w:rFonts w:ascii="Palatino Linotype" w:eastAsiaTheme="minorEastAsia" w:hAnsi="Palatino Linotype"/>
          <w:snapToGrid w:val="0"/>
          <w:sz w:val="22"/>
          <w:szCs w:val="22"/>
          <w:lang w:eastAsia="en-US"/>
        </w:rPr>
        <w:t xml:space="preserve">, y </w:t>
      </w:r>
      <w:r w:rsidRPr="00D66245">
        <w:rPr>
          <w:rFonts w:ascii="Palatino Linotype" w:eastAsiaTheme="minorEastAsia" w:hAnsi="Palatino Linotype"/>
          <w:i/>
          <w:snapToGrid w:val="0"/>
          <w:sz w:val="22"/>
          <w:szCs w:val="22"/>
          <w:lang w:eastAsia="en-US"/>
        </w:rPr>
        <w:t>référé provisión</w:t>
      </w:r>
      <w:r w:rsidRPr="00D66245">
        <w:rPr>
          <w:rFonts w:ascii="Palatino Linotype" w:eastAsiaTheme="minorEastAsia" w:hAnsi="Palatino Linotype"/>
          <w:snapToGrid w:val="0"/>
          <w:sz w:val="22"/>
          <w:szCs w:val="22"/>
          <w:lang w:eastAsia="en-US"/>
        </w:rPr>
        <w:t>, que han logrado ir adaptando al desarrollo actual, la enmohecida técnica del proceso al acto o revisor.</w:t>
      </w:r>
      <w:r w:rsidRPr="00D66245">
        <w:rPr>
          <w:rFonts w:ascii="Palatino Linotype" w:eastAsiaTheme="minorEastAsia" w:hAnsi="Palatino Linotype"/>
          <w:snapToGrid w:val="0"/>
          <w:sz w:val="22"/>
          <w:szCs w:val="22"/>
          <w:vertAlign w:val="superscript"/>
          <w:lang w:eastAsia="en-US"/>
        </w:rPr>
        <w:footnoteReference w:id="151"/>
      </w:r>
      <w:r w:rsidRPr="00D66245">
        <w:rPr>
          <w:rFonts w:ascii="Palatino Linotype" w:eastAsiaTheme="minorEastAsia" w:hAnsi="Palatino Linotype"/>
          <w:snapToGrid w:val="0"/>
          <w:sz w:val="22"/>
          <w:szCs w:val="22"/>
          <w:lang w:eastAsia="en-US"/>
        </w:rPr>
        <w:t xml:space="preserve"> Agréguese a ello el reciente alud de reformas procesales sucedidas en los países tributarios del </w:t>
      </w:r>
      <w:r w:rsidRPr="00D66245">
        <w:rPr>
          <w:rFonts w:ascii="Palatino Linotype" w:eastAsiaTheme="minorEastAsia" w:hAnsi="Palatino Linotype"/>
          <w:i/>
          <w:snapToGrid w:val="0"/>
          <w:sz w:val="22"/>
          <w:szCs w:val="22"/>
          <w:lang w:eastAsia="en-US"/>
        </w:rPr>
        <w:t>Droit administratif</w:t>
      </w:r>
      <w:r w:rsidRPr="00D66245">
        <w:rPr>
          <w:rFonts w:ascii="Palatino Linotype" w:eastAsiaTheme="minorEastAsia" w:hAnsi="Palatino Linotype"/>
          <w:snapToGrid w:val="0"/>
          <w:sz w:val="22"/>
          <w:szCs w:val="22"/>
          <w:lang w:eastAsia="en-US"/>
        </w:rPr>
        <w:t xml:space="preserve"> que han acogido el sistema predominantemente subjetivo de justicia administrativa, entre otros:</w:t>
      </w:r>
    </w:p>
    <w:p w14:paraId="7E16AD47" w14:textId="77777777" w:rsidR="00BE6A34" w:rsidRPr="00D66245" w:rsidRDefault="00BE6A34" w:rsidP="00BE6A34">
      <w:pPr>
        <w:pStyle w:val="NormalWeb"/>
        <w:numPr>
          <w:ilvl w:val="0"/>
          <w:numId w:val="3"/>
        </w:numPr>
        <w:spacing w:before="0" w:beforeAutospacing="0" w:after="0" w:afterAutospacing="0"/>
        <w:ind w:left="714" w:hanging="357"/>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Ley Reguladora de la Jurisdicción Contencioso Administrativa de España (1998);</w:t>
      </w:r>
    </w:p>
    <w:p w14:paraId="47027547" w14:textId="77777777" w:rsidR="00BE6A34" w:rsidRPr="00D66245" w:rsidRDefault="00BE6A34" w:rsidP="00BE6A34">
      <w:pPr>
        <w:pStyle w:val="NormalWeb"/>
        <w:numPr>
          <w:ilvl w:val="0"/>
          <w:numId w:val="3"/>
        </w:numPr>
        <w:spacing w:before="0" w:beforeAutospacing="0" w:after="0" w:afterAutospacing="0"/>
        <w:ind w:left="714" w:hanging="357"/>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Ley de Regulación de la Jurisdicción de lo Contencioso Administrativo de Nicaragua (2000); </w:t>
      </w:r>
    </w:p>
    <w:p w14:paraId="445A01A1" w14:textId="77777777" w:rsidR="00BE6A34" w:rsidRPr="00D66245" w:rsidRDefault="00BE6A34" w:rsidP="00BE6A34">
      <w:pPr>
        <w:pStyle w:val="NormalWeb"/>
        <w:numPr>
          <w:ilvl w:val="0"/>
          <w:numId w:val="3"/>
        </w:numPr>
        <w:spacing w:before="0" w:beforeAutospacing="0" w:after="0" w:afterAutospacing="0"/>
        <w:ind w:left="714" w:hanging="357"/>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Ley del Procedimiento Administrativo General del Perú (2001); </w:t>
      </w:r>
    </w:p>
    <w:p w14:paraId="4BFD595A" w14:textId="77777777" w:rsidR="00BE6A34" w:rsidRPr="00D66245" w:rsidRDefault="00BE6A34" w:rsidP="00BE6A34">
      <w:pPr>
        <w:pStyle w:val="NormalWeb"/>
        <w:numPr>
          <w:ilvl w:val="0"/>
          <w:numId w:val="3"/>
        </w:numPr>
        <w:spacing w:before="0" w:beforeAutospacing="0" w:after="0" w:afterAutospacing="0"/>
        <w:ind w:left="714" w:hanging="357"/>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lastRenderedPageBreak/>
        <w:t xml:space="preserve">Ley de la Jurisdicción Contencioso Administrativa de Ecuador (2001); </w:t>
      </w:r>
    </w:p>
    <w:p w14:paraId="51599FB2" w14:textId="77777777" w:rsidR="00BE6A34" w:rsidRPr="00D66245" w:rsidRDefault="00BE6A34" w:rsidP="00BE6A34">
      <w:pPr>
        <w:pStyle w:val="NormalWeb"/>
        <w:numPr>
          <w:ilvl w:val="0"/>
          <w:numId w:val="3"/>
        </w:numPr>
        <w:spacing w:before="0" w:beforeAutospacing="0" w:after="0" w:afterAutospacing="0"/>
        <w:ind w:left="714" w:hanging="357"/>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Código de Proceso de los Tribunales Administrativos de Portugal (2002); </w:t>
      </w:r>
    </w:p>
    <w:p w14:paraId="76504CDF" w14:textId="77777777" w:rsidR="00BE6A34" w:rsidRPr="00D66245" w:rsidRDefault="00BE6A34" w:rsidP="00BE6A34">
      <w:pPr>
        <w:pStyle w:val="NormalWeb"/>
        <w:numPr>
          <w:ilvl w:val="0"/>
          <w:numId w:val="3"/>
        </w:numPr>
        <w:spacing w:before="0" w:beforeAutospacing="0" w:after="0" w:afterAutospacing="0"/>
        <w:ind w:left="714" w:hanging="357"/>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Código Procesal Contencioso Administrativo de Costa Rica (2006); </w:t>
      </w:r>
    </w:p>
    <w:p w14:paraId="01A205B8" w14:textId="77777777" w:rsidR="00BE6A34" w:rsidRPr="00D66245" w:rsidRDefault="00BE6A34" w:rsidP="00BE6A34">
      <w:pPr>
        <w:pStyle w:val="NormalWeb"/>
        <w:numPr>
          <w:ilvl w:val="0"/>
          <w:numId w:val="3"/>
        </w:numPr>
        <w:spacing w:before="0" w:beforeAutospacing="0" w:after="0" w:afterAutospacing="0"/>
        <w:ind w:left="714" w:hanging="357"/>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Ley Orgánica de la Jurisdicción Contencioso Administrativa de la República Bolivariana de Venezuela (2010); y </w:t>
      </w:r>
    </w:p>
    <w:p w14:paraId="3FC21D50" w14:textId="77777777" w:rsidR="00BE6A34" w:rsidRPr="00D66245" w:rsidRDefault="00BE6A34" w:rsidP="00BE6A34">
      <w:pPr>
        <w:pStyle w:val="NormalWeb"/>
        <w:numPr>
          <w:ilvl w:val="0"/>
          <w:numId w:val="3"/>
        </w:numPr>
        <w:spacing w:before="0" w:beforeAutospacing="0" w:after="0" w:afterAutospacing="0"/>
        <w:ind w:left="714" w:hanging="357"/>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Ley de la Jurisdicción de lo Contencioso Administrativo de El Salvador (2012).</w:t>
      </w:r>
    </w:p>
    <w:p w14:paraId="14EB6C1E"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Evidentemente, entonces, las recientes transformaciones de la justicia contencioso- administrativa dan el triunfo final al recurso subjetivo, aunque sin mengua del objetivo que aún mantiene vigencia. Ciertamente, el interés por la legalidad se mantiene, pero se sitúa en un segundo plano. La anulación de los actos ilegales resulta de la necesidad de eliminar obstáculos a la plenitud de los derechos individuales, más que a la simple salvaguarda de la legalidad; los demandantes defienden sus posiciones jurídicas individuales y sólo secundariamente reclaman contra las violaciones de la legalidad. </w:t>
      </w:r>
    </w:p>
    <w:p w14:paraId="269F88FA"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Sin descuidar el respeto a la legalidad formal, en el Estado contemporáneo la Administración pública debe ajustar sus actos a una legalidad sustancial y no tanto formal. Más que un Estado-Reloj, en el cual lo único importante era que el aparato administrativo funcionase mecánicamente, ahora se abre paso una nueva y más moderna representación del Estado en el que, amén de la legalidad formal, también el costo de las decisiones estatales y el efectivo logro de las metas y objetivos trazados es también jurídicamente relevante; ha nacido el Estado-Empresa</w:t>
      </w:r>
      <w:r w:rsidRPr="00D66245">
        <w:rPr>
          <w:rFonts w:ascii="Palatino Linotype" w:eastAsiaTheme="minorEastAsia" w:hAnsi="Palatino Linotype"/>
          <w:sz w:val="22"/>
          <w:szCs w:val="22"/>
        </w:rPr>
        <w:footnoteReference w:id="152"/>
      </w:r>
      <w:r w:rsidRPr="00D66245">
        <w:rPr>
          <w:rFonts w:ascii="Palatino Linotype" w:eastAsiaTheme="minorEastAsia" w:hAnsi="Palatino Linotype"/>
          <w:snapToGrid w:val="0"/>
          <w:sz w:val="22"/>
          <w:szCs w:val="22"/>
          <w:lang w:eastAsia="en-US"/>
        </w:rPr>
        <w:t>, que constitucionalmente exige rendimiento de cuentas, participación activa del ciudadano y por tanto una jurisdicción contencioso administrativa predominantemente subjetiva, plenaria y universal</w:t>
      </w:r>
      <w:r w:rsidRPr="00D66245">
        <w:rPr>
          <w:rFonts w:ascii="Palatino Linotype" w:eastAsiaTheme="minorEastAsia" w:hAnsi="Palatino Linotype"/>
          <w:sz w:val="22"/>
          <w:szCs w:val="22"/>
          <w:vertAlign w:val="superscript"/>
        </w:rPr>
        <w:footnoteReference w:id="153"/>
      </w:r>
      <w:r w:rsidRPr="00D66245">
        <w:rPr>
          <w:rFonts w:ascii="Palatino Linotype" w:eastAsiaTheme="minorEastAsia" w:hAnsi="Palatino Linotype"/>
          <w:snapToGrid w:val="0"/>
          <w:sz w:val="22"/>
          <w:szCs w:val="22"/>
          <w:lang w:eastAsia="en-US"/>
        </w:rPr>
        <w:t xml:space="preserve"> que le permita a los justiciables ejercer su derecho fundamental a la tutela judicial efectiva. Pareciera entonces – dice Muñoz Machado -, que el poder del juez </w:t>
      </w:r>
      <w:r w:rsidRPr="00D66245">
        <w:rPr>
          <w:rFonts w:ascii="Palatino Linotype" w:eastAsiaTheme="minorEastAsia" w:hAnsi="Palatino Linotype"/>
          <w:snapToGrid w:val="0"/>
          <w:sz w:val="22"/>
          <w:szCs w:val="22"/>
          <w:lang w:eastAsia="en-US"/>
        </w:rPr>
        <w:lastRenderedPageBreak/>
        <w:t>contencioso administrativo, para salvaguardar el interés general, se concreta ahora en la defensa preeminente de los derechos individuales</w:t>
      </w:r>
      <w:r w:rsidRPr="00D66245">
        <w:rPr>
          <w:rFonts w:ascii="Palatino Linotype" w:eastAsiaTheme="minorEastAsia" w:hAnsi="Palatino Linotype"/>
          <w:sz w:val="22"/>
          <w:szCs w:val="22"/>
          <w:vertAlign w:val="superscript"/>
        </w:rPr>
        <w:footnoteReference w:id="154"/>
      </w:r>
      <w:r w:rsidRPr="00D66245">
        <w:rPr>
          <w:rFonts w:ascii="Palatino Linotype" w:eastAsiaTheme="minorEastAsia" w:hAnsi="Palatino Linotype"/>
          <w:snapToGrid w:val="0"/>
          <w:sz w:val="22"/>
          <w:szCs w:val="22"/>
          <w:lang w:eastAsia="en-US"/>
        </w:rPr>
        <w:t xml:space="preserve">. </w:t>
      </w:r>
    </w:p>
    <w:p w14:paraId="51569CA3"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A mayor abundamiento, a partir de la conjunción de los movimientos de internacionalización de los derechos humanos y de la democracia se ha derivado un importante cambio en el Derecho administrativo, pues de un sistema centrado principalmente en el Estado se ha pasado a uno centrado en el ciudadano y los derechos humanos. De esta forma, ha sido lugar común en todos los ordenamientos jurídicos tributarios de la cultura del </w:t>
      </w:r>
      <w:r w:rsidRPr="00D66245">
        <w:rPr>
          <w:rFonts w:ascii="Palatino Linotype" w:eastAsiaTheme="minorEastAsia" w:hAnsi="Palatino Linotype"/>
          <w:i/>
          <w:snapToGrid w:val="0"/>
          <w:sz w:val="22"/>
          <w:szCs w:val="22"/>
          <w:lang w:eastAsia="en-US"/>
        </w:rPr>
        <w:t xml:space="preserve">Droit Administratif </w:t>
      </w:r>
      <w:r w:rsidRPr="00D66245">
        <w:rPr>
          <w:rFonts w:ascii="Palatino Linotype" w:eastAsiaTheme="minorEastAsia" w:hAnsi="Palatino Linotype"/>
          <w:snapToGrid w:val="0"/>
          <w:sz w:val="22"/>
          <w:szCs w:val="22"/>
          <w:lang w:eastAsia="en-US"/>
        </w:rPr>
        <w:t>la modificación de la teoría general de las situaciones subjetivas de los administrados.</w:t>
      </w:r>
      <w:r w:rsidRPr="00D66245">
        <w:rPr>
          <w:rStyle w:val="Refdenotaalpie"/>
          <w:rFonts w:ascii="Palatino Linotype" w:eastAsiaTheme="minorEastAsia" w:hAnsi="Palatino Linotype"/>
          <w:snapToGrid w:val="0"/>
          <w:sz w:val="22"/>
          <w:szCs w:val="22"/>
          <w:lang w:eastAsia="en-US"/>
        </w:rPr>
        <w:footnoteReference w:id="155"/>
      </w:r>
      <w:r w:rsidRPr="00D66245">
        <w:rPr>
          <w:rFonts w:ascii="Palatino Linotype" w:eastAsiaTheme="minorEastAsia" w:hAnsi="Palatino Linotype"/>
          <w:snapToGrid w:val="0"/>
          <w:sz w:val="22"/>
          <w:szCs w:val="22"/>
          <w:lang w:eastAsia="en-US"/>
        </w:rPr>
        <w:t xml:space="preserve"> En este sentido, se concibe actualmente que todo ciudadano, por el simple hecho de serlo, es titular de derechos humanos frente a la Administración.</w:t>
      </w:r>
      <w:r w:rsidRPr="00D66245">
        <w:rPr>
          <w:rStyle w:val="Refdenotaalpie"/>
          <w:rFonts w:ascii="Palatino Linotype" w:eastAsiaTheme="minorEastAsia" w:hAnsi="Palatino Linotype"/>
          <w:snapToGrid w:val="0"/>
          <w:sz w:val="22"/>
          <w:szCs w:val="22"/>
          <w:lang w:eastAsia="en-US"/>
        </w:rPr>
        <w:footnoteReference w:id="156"/>
      </w:r>
      <w:r w:rsidRPr="00D66245">
        <w:rPr>
          <w:rFonts w:ascii="Palatino Linotype" w:eastAsiaTheme="minorEastAsia" w:hAnsi="Palatino Linotype"/>
          <w:snapToGrid w:val="0"/>
          <w:sz w:val="22"/>
          <w:szCs w:val="22"/>
          <w:lang w:eastAsia="en-US"/>
        </w:rPr>
        <w:t xml:space="preserve"> Al decir de García de Enterría: “el administrado no es en el sistema jurídico actual un mero objeto del derecho administrativo, ni tampoco un término de referencia de simples posiciones pasivas (obediencia, deberes, obligaciones), que era como la teoría jurídica del absolutismo, poniendo siempre en primer término la eminencia del bien general sobre el bien particular o privado, consideraba su posición subjetiva ante el derecho público. Por el contrario, el administrado, sin perjuicio de resultar, en efecto, destinatario de situaciones jurídicas pasivas, es a la vez, como subrayó enérgicamente el pensamiento revolucionario, titular de situaciones jurídicas activas frente a la administración.”</w:t>
      </w:r>
      <w:r w:rsidRPr="00D66245">
        <w:rPr>
          <w:rStyle w:val="Refdenotaalpie"/>
          <w:rFonts w:ascii="Palatino Linotype" w:eastAsiaTheme="minorEastAsia" w:hAnsi="Palatino Linotype"/>
          <w:snapToGrid w:val="0"/>
          <w:sz w:val="22"/>
          <w:szCs w:val="22"/>
          <w:lang w:eastAsia="en-US"/>
        </w:rPr>
        <w:footnoteReference w:id="157"/>
      </w:r>
      <w:r w:rsidRPr="00D66245">
        <w:rPr>
          <w:rFonts w:ascii="Palatino Linotype" w:eastAsiaTheme="minorEastAsia" w:hAnsi="Palatino Linotype"/>
          <w:snapToGrid w:val="0"/>
          <w:sz w:val="22"/>
          <w:szCs w:val="22"/>
          <w:lang w:eastAsia="en-US"/>
        </w:rPr>
        <w:t xml:space="preserve"> </w:t>
      </w:r>
    </w:p>
    <w:p w14:paraId="02C3ED70" w14:textId="77777777" w:rsidR="00BE6A34" w:rsidRPr="00D66245" w:rsidRDefault="00BE6A34" w:rsidP="00BE6A34">
      <w:pPr>
        <w:pStyle w:val="Prrafodelista"/>
        <w:numPr>
          <w:ilvl w:val="1"/>
          <w:numId w:val="1"/>
        </w:numPr>
        <w:spacing w:before="120" w:after="200" w:line="240" w:lineRule="auto"/>
        <w:ind w:left="0" w:firstLine="0"/>
        <w:contextualSpacing w:val="0"/>
        <w:jc w:val="both"/>
        <w:rPr>
          <w:rFonts w:ascii="Palatino Linotype" w:eastAsia="Calibri" w:hAnsi="Palatino Linotype" w:cs="Times New Roman"/>
          <w:b/>
          <w:bCs/>
        </w:rPr>
      </w:pPr>
      <w:r w:rsidRPr="00D66245">
        <w:rPr>
          <w:rFonts w:ascii="Palatino Linotype" w:eastAsia="Calibri" w:hAnsi="Palatino Linotype" w:cs="Times New Roman"/>
          <w:b/>
          <w:bCs/>
        </w:rPr>
        <w:t>Particularidades De La Casación Contenciosa Costarricense</w:t>
      </w:r>
    </w:p>
    <w:p w14:paraId="31789B75"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Toda esa metamorfosis que se ha descrito anteriormente ha tenido hondas repercusiones en la finalidad que ahora tiene, no sólo el proceso contencioso-administrativo costarricense de manera general, sino también </w:t>
      </w:r>
      <w:r w:rsidRPr="00D66245">
        <w:rPr>
          <w:rFonts w:ascii="Palatino Linotype" w:eastAsiaTheme="minorEastAsia" w:hAnsi="Palatino Linotype"/>
          <w:snapToGrid w:val="0"/>
          <w:sz w:val="22"/>
          <w:szCs w:val="22"/>
          <w:lang w:eastAsia="en-US"/>
        </w:rPr>
        <w:lastRenderedPageBreak/>
        <w:t>su recurso de casación de manera especial. Así, pues, mientras que la Ley Reguladora de la Jurisdicción Contencioso Administrativa estaba diseñada al servicio exclusivo de la legalidad</w:t>
      </w:r>
      <w:r w:rsidRPr="00D66245">
        <w:rPr>
          <w:rStyle w:val="Refdenotaalpie"/>
          <w:rFonts w:ascii="Palatino Linotype" w:eastAsiaTheme="minorEastAsia" w:hAnsi="Palatino Linotype"/>
          <w:snapToGrid w:val="0"/>
          <w:sz w:val="22"/>
          <w:szCs w:val="22"/>
          <w:lang w:eastAsia="en-US"/>
        </w:rPr>
        <w:footnoteReference w:id="158"/>
      </w:r>
      <w:r w:rsidRPr="00D66245">
        <w:rPr>
          <w:rFonts w:ascii="Palatino Linotype" w:eastAsiaTheme="minorEastAsia" w:hAnsi="Palatino Linotype"/>
          <w:snapToGrid w:val="0"/>
          <w:sz w:val="22"/>
          <w:szCs w:val="22"/>
          <w:lang w:eastAsia="en-US"/>
        </w:rPr>
        <w:t xml:space="preserve">, con el Código Procesal Contencioso Administrativo actualmente vigente el ser humano es el centro y eje del proceso, lo que implica que su finalidad primaria es la protección jurídica de los derechos e intereses de toda persona y, por ende, del </w:t>
      </w:r>
      <w:r w:rsidRPr="00D66245">
        <w:rPr>
          <w:rFonts w:ascii="Palatino Linotype" w:eastAsiaTheme="minorEastAsia" w:hAnsi="Palatino Linotype"/>
          <w:i/>
          <w:snapToGrid w:val="0"/>
          <w:sz w:val="22"/>
          <w:szCs w:val="22"/>
          <w:lang w:eastAsia="en-US"/>
        </w:rPr>
        <w:t>ius litigatoris.</w:t>
      </w:r>
      <w:r w:rsidRPr="00D66245">
        <w:rPr>
          <w:rStyle w:val="Refdenotaalpie"/>
          <w:rFonts w:ascii="Palatino Linotype" w:eastAsiaTheme="minorEastAsia" w:hAnsi="Palatino Linotype"/>
          <w:snapToGrid w:val="0"/>
          <w:sz w:val="22"/>
          <w:szCs w:val="22"/>
          <w:lang w:eastAsia="en-US"/>
        </w:rPr>
        <w:footnoteReference w:id="159"/>
      </w:r>
      <w:r w:rsidRPr="00D66245">
        <w:rPr>
          <w:rFonts w:ascii="Palatino Linotype" w:eastAsiaTheme="minorEastAsia" w:hAnsi="Palatino Linotype"/>
          <w:snapToGrid w:val="0"/>
          <w:sz w:val="22"/>
          <w:szCs w:val="22"/>
          <w:lang w:eastAsia="en-US"/>
        </w:rPr>
        <w:t xml:space="preserve"> </w:t>
      </w:r>
    </w:p>
    <w:p w14:paraId="7AF0B311" w14:textId="77777777" w:rsidR="00BE6A34" w:rsidRPr="00D66245" w:rsidRDefault="00BE6A34" w:rsidP="00BE6A34">
      <w:pPr>
        <w:pStyle w:val="NormalWeb"/>
        <w:spacing w:before="120" w:beforeAutospacing="0" w:after="200" w:afterAutospacing="0"/>
        <w:ind w:firstLine="708"/>
        <w:jc w:val="both"/>
        <w:rPr>
          <w:rFonts w:ascii="Palatino Linotype" w:hAnsi="Palatino Linotype"/>
          <w:sz w:val="22"/>
          <w:szCs w:val="22"/>
        </w:rPr>
      </w:pPr>
      <w:r w:rsidRPr="00D66245">
        <w:rPr>
          <w:rFonts w:ascii="Palatino Linotype" w:hAnsi="Palatino Linotype"/>
          <w:sz w:val="22"/>
          <w:szCs w:val="22"/>
        </w:rPr>
        <w:t>En este sentido, ha puesto de manifiesto Jinesta Lobo que: “Para actuar el principio de la revisión universal o plenaria de la conducta administrativa, en garantía de los administrados, evitando reductos exentos, se precisa de un recurso de casación completamente flexible, simple y antiformalista…”</w:t>
      </w:r>
      <w:r w:rsidRPr="00D66245">
        <w:rPr>
          <w:rStyle w:val="Refdenotaalpie"/>
          <w:rFonts w:ascii="Palatino Linotype" w:eastAsiaTheme="majorEastAsia" w:hAnsi="Palatino Linotype"/>
          <w:sz w:val="22"/>
          <w:szCs w:val="22"/>
        </w:rPr>
        <w:footnoteReference w:id="160"/>
      </w:r>
      <w:r w:rsidRPr="00D66245">
        <w:rPr>
          <w:rFonts w:ascii="Palatino Linotype" w:hAnsi="Palatino Linotype"/>
          <w:sz w:val="22"/>
          <w:szCs w:val="22"/>
        </w:rPr>
        <w:t xml:space="preserve"> Siguiendo su misma explicación, ello se ha logrado por medio del Código Procesal Contencioso Administrativo, entre otras por las razones siguientes:</w:t>
      </w:r>
    </w:p>
    <w:p w14:paraId="7F1282AA" w14:textId="77777777" w:rsidR="00BE6A34" w:rsidRPr="00D66245" w:rsidRDefault="00BE6A34" w:rsidP="00BE6A34">
      <w:pPr>
        <w:pStyle w:val="NormalWeb"/>
        <w:numPr>
          <w:ilvl w:val="0"/>
          <w:numId w:val="4"/>
        </w:numPr>
        <w:spacing w:before="0" w:beforeAutospacing="0" w:after="0" w:afterAutospacing="0"/>
        <w:ind w:left="714" w:hanging="357"/>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Se superó la distinción clásica entre vicios </w:t>
      </w:r>
      <w:r w:rsidRPr="00D66245">
        <w:rPr>
          <w:rFonts w:ascii="Palatino Linotype" w:eastAsiaTheme="minorEastAsia" w:hAnsi="Palatino Linotype"/>
          <w:i/>
          <w:snapToGrid w:val="0"/>
          <w:sz w:val="22"/>
          <w:szCs w:val="22"/>
          <w:lang w:eastAsia="en-US"/>
        </w:rPr>
        <w:t>in iudicando</w:t>
      </w:r>
      <w:r w:rsidRPr="00D66245">
        <w:rPr>
          <w:rFonts w:ascii="Palatino Linotype" w:eastAsiaTheme="minorEastAsia" w:hAnsi="Palatino Linotype"/>
          <w:snapToGrid w:val="0"/>
          <w:sz w:val="22"/>
          <w:szCs w:val="22"/>
          <w:lang w:eastAsia="en-US"/>
        </w:rPr>
        <w:t xml:space="preserve"> e </w:t>
      </w:r>
      <w:r w:rsidRPr="00D66245">
        <w:rPr>
          <w:rFonts w:ascii="Palatino Linotype" w:eastAsiaTheme="minorEastAsia" w:hAnsi="Palatino Linotype"/>
          <w:i/>
          <w:snapToGrid w:val="0"/>
          <w:sz w:val="22"/>
          <w:szCs w:val="22"/>
          <w:lang w:eastAsia="en-US"/>
        </w:rPr>
        <w:t>in procedendo</w:t>
      </w:r>
      <w:r w:rsidRPr="00D66245">
        <w:rPr>
          <w:rStyle w:val="Refdenotaalpie"/>
          <w:rFonts w:ascii="Palatino Linotype" w:eastAsiaTheme="minorEastAsia" w:hAnsi="Palatino Linotype"/>
          <w:snapToGrid w:val="0"/>
          <w:sz w:val="22"/>
          <w:szCs w:val="22"/>
          <w:lang w:eastAsia="en-US"/>
        </w:rPr>
        <w:footnoteReference w:id="161"/>
      </w:r>
      <w:r w:rsidRPr="00D66245">
        <w:rPr>
          <w:rFonts w:ascii="Palatino Linotype" w:eastAsiaTheme="minorEastAsia" w:hAnsi="Palatino Linotype"/>
          <w:snapToGrid w:val="0"/>
          <w:sz w:val="22"/>
          <w:szCs w:val="22"/>
          <w:lang w:eastAsia="en-US"/>
        </w:rPr>
        <w:t>, sustituyéndose por un parámetro patológico amplio y prominente que da entrada al recurso de casación en todos aquellos casos en que la sentencia sea “contraria al ordenamiento jurídico.</w:t>
      </w:r>
      <w:r w:rsidRPr="00D66245">
        <w:rPr>
          <w:rStyle w:val="Refdenotaalpie"/>
          <w:rFonts w:ascii="Palatino Linotype" w:eastAsiaTheme="minorEastAsia" w:hAnsi="Palatino Linotype"/>
          <w:snapToGrid w:val="0"/>
          <w:sz w:val="22"/>
          <w:szCs w:val="22"/>
          <w:lang w:eastAsia="en-US"/>
        </w:rPr>
        <w:footnoteReference w:id="162"/>
      </w:r>
      <w:r w:rsidRPr="00D66245">
        <w:rPr>
          <w:rFonts w:ascii="Palatino Linotype" w:eastAsiaTheme="minorEastAsia" w:hAnsi="Palatino Linotype"/>
          <w:snapToGrid w:val="0"/>
          <w:sz w:val="22"/>
          <w:szCs w:val="22"/>
          <w:vertAlign w:val="superscript"/>
          <w:lang w:eastAsia="en-US"/>
        </w:rPr>
        <w:t xml:space="preserve"> </w:t>
      </w:r>
    </w:p>
    <w:p w14:paraId="042BBEC1" w14:textId="77777777" w:rsidR="00BE6A34" w:rsidRPr="00D66245" w:rsidRDefault="00BE6A34" w:rsidP="00BE6A34">
      <w:pPr>
        <w:pStyle w:val="NormalWeb"/>
        <w:numPr>
          <w:ilvl w:val="0"/>
          <w:numId w:val="4"/>
        </w:numPr>
        <w:spacing w:before="0" w:beforeAutospacing="0" w:after="0" w:afterAutospacing="0"/>
        <w:ind w:left="714" w:hanging="357"/>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El recurso se interpone directamente ante el respectivo juez de casación.</w:t>
      </w:r>
    </w:p>
    <w:p w14:paraId="1D41A37E" w14:textId="77777777" w:rsidR="00BE6A34" w:rsidRPr="00D66245" w:rsidRDefault="00BE6A34" w:rsidP="00BE6A34">
      <w:pPr>
        <w:pStyle w:val="NormalWeb"/>
        <w:numPr>
          <w:ilvl w:val="0"/>
          <w:numId w:val="4"/>
        </w:numPr>
        <w:spacing w:before="0" w:beforeAutospacing="0" w:after="0" w:afterAutospacing="0"/>
        <w:ind w:left="714" w:hanging="357"/>
        <w:jc w:val="both"/>
        <w:rPr>
          <w:rFonts w:ascii="Palatino Linotype" w:eastAsiaTheme="minorEastAsia" w:hAnsi="Palatino Linotype"/>
          <w:snapToGrid w:val="0"/>
          <w:sz w:val="22"/>
          <w:szCs w:val="22"/>
          <w:lang w:eastAsia="en-US"/>
        </w:rPr>
      </w:pPr>
      <w:r w:rsidRPr="00D66245">
        <w:rPr>
          <w:rFonts w:ascii="Palatino Linotype" w:hAnsi="Palatino Linotype"/>
          <w:sz w:val="22"/>
          <w:szCs w:val="22"/>
        </w:rPr>
        <w:t xml:space="preserve">En cuanto a formalidades o requisitos del recurso de casación, únicamente se requiere indicar, de manera clara y precisa, los </w:t>
      </w:r>
      <w:r w:rsidRPr="00D66245">
        <w:rPr>
          <w:rFonts w:ascii="Palatino Linotype" w:hAnsi="Palatino Linotype"/>
          <w:sz w:val="22"/>
          <w:szCs w:val="22"/>
        </w:rPr>
        <w:lastRenderedPageBreak/>
        <w:t>motivos del recurso, con la fundamentación fáctica y jurídica del caso.</w:t>
      </w:r>
    </w:p>
    <w:p w14:paraId="7A29E725" w14:textId="77777777" w:rsidR="00BE6A34" w:rsidRPr="00D66245" w:rsidRDefault="00BE6A34" w:rsidP="00BE6A34">
      <w:pPr>
        <w:pStyle w:val="NormalWeb"/>
        <w:numPr>
          <w:ilvl w:val="0"/>
          <w:numId w:val="4"/>
        </w:numPr>
        <w:spacing w:before="0" w:beforeAutospacing="0" w:after="0" w:afterAutospacing="0"/>
        <w:ind w:left="714" w:hanging="357"/>
        <w:jc w:val="both"/>
        <w:rPr>
          <w:rFonts w:ascii="Palatino Linotype" w:eastAsiaTheme="minorEastAsia" w:hAnsi="Palatino Linotype"/>
          <w:snapToGrid w:val="0"/>
          <w:sz w:val="22"/>
          <w:szCs w:val="22"/>
          <w:lang w:eastAsia="en-US"/>
        </w:rPr>
      </w:pPr>
      <w:r w:rsidRPr="00D66245">
        <w:rPr>
          <w:rFonts w:ascii="Palatino Linotype" w:hAnsi="Palatino Linotype"/>
          <w:sz w:val="22"/>
          <w:szCs w:val="22"/>
        </w:rPr>
        <w:t xml:space="preserve">Se prevé la posibilidad de que, si el juez de casación, antes de dictar sentencia, estima que el recurso de casación o la infracción aducida, pueden no haber sido apreciados debidamente por las partes, por existir en apariencia otros fundamentos jurídicos para sustentar las pretensiones casacionales, los someta a aquellas, en forma clara y precisa, mediante resolución, advirtiendo que no prejuzga el caso y concediendo 5 días hábiles de audiencia para que formulen las alegaciones escritas que estimen oportunas. </w:t>
      </w:r>
    </w:p>
    <w:p w14:paraId="3495767F" w14:textId="77777777" w:rsidR="00BE6A34" w:rsidRPr="00D66245" w:rsidRDefault="00BE6A34" w:rsidP="00BE6A34">
      <w:pPr>
        <w:pStyle w:val="NormalWeb"/>
        <w:numPr>
          <w:ilvl w:val="0"/>
          <w:numId w:val="4"/>
        </w:numPr>
        <w:spacing w:before="0" w:beforeAutospacing="0" w:after="0" w:afterAutospacing="0"/>
        <w:ind w:left="714" w:hanging="357"/>
        <w:jc w:val="both"/>
        <w:rPr>
          <w:rFonts w:ascii="Palatino Linotype" w:eastAsiaTheme="minorEastAsia" w:hAnsi="Palatino Linotype"/>
          <w:snapToGrid w:val="0"/>
          <w:sz w:val="22"/>
          <w:szCs w:val="22"/>
          <w:lang w:eastAsia="en-US"/>
        </w:rPr>
      </w:pPr>
      <w:r w:rsidRPr="00D66245">
        <w:rPr>
          <w:rFonts w:ascii="Palatino Linotype" w:hAnsi="Palatino Linotype"/>
          <w:sz w:val="22"/>
          <w:szCs w:val="22"/>
        </w:rPr>
        <w:t xml:space="preserve">De igual manera, resulta trascendental la inclusión, vía artículo 138, inciso d), de la violación de las normas o los principios del Derecho constitucional, entre otros, razonabilidad, proporcionalidad, seguridad jurídica e igualdad, como motivo de casación. </w:t>
      </w:r>
    </w:p>
    <w:p w14:paraId="64EFA9F2" w14:textId="7D3C36DD"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Pero quizás sea la finalidad subjetiva que ahora ostenta la casación contenciosa la mutación más trascendental que este instituto ha sufrido. Así, como se dijo, a partir de la entrada en vigencia del Código Procesal Contencioso Administrativo, es la tutela de los derechos e intereses debatidos lo más importante, pero sin mengua de su función nomofiláctica y uniformadora. De suerte que, si antes esos derechos e intereses se tutelaban como efecto reflejo de la protección de la ley, hoy se han colocado en un primer plano. Por tanto, actualmente debe calificarse la casación contenciosa como mixta o ecléctica, en el tanto cumple una finalidad trifásica, a saber: la nomofilaxis, la uniformidad de la jurisprudencia y la justicia del caso, mediante la tutela efectiva de los derechos e intereses discutidos en la contienda.</w:t>
      </w:r>
      <w:r w:rsidRPr="00D66245">
        <w:rPr>
          <w:rStyle w:val="Refdenotaalpie"/>
          <w:rFonts w:ascii="Palatino Linotype" w:eastAsiaTheme="minorEastAsia" w:hAnsi="Palatino Linotype"/>
          <w:snapToGrid w:val="0"/>
          <w:sz w:val="22"/>
          <w:szCs w:val="22"/>
          <w:lang w:eastAsia="en-US"/>
        </w:rPr>
        <w:footnoteReference w:id="163"/>
      </w:r>
      <w:r w:rsidRPr="00D66245">
        <w:rPr>
          <w:rFonts w:ascii="Palatino Linotype" w:eastAsiaTheme="minorEastAsia" w:hAnsi="Palatino Linotype"/>
          <w:snapToGrid w:val="0"/>
          <w:sz w:val="22"/>
          <w:szCs w:val="22"/>
          <w:lang w:eastAsia="en-US"/>
        </w:rPr>
        <w:t xml:space="preserve">  </w:t>
      </w:r>
    </w:p>
    <w:p w14:paraId="59579183" w14:textId="77777777" w:rsidR="00BE6A34" w:rsidRPr="00D66245" w:rsidRDefault="00BE6A34" w:rsidP="00BE6A34">
      <w:pPr>
        <w:pStyle w:val="Prrafodelista"/>
        <w:numPr>
          <w:ilvl w:val="1"/>
          <w:numId w:val="1"/>
        </w:numPr>
        <w:spacing w:before="120" w:after="200" w:line="240" w:lineRule="auto"/>
        <w:ind w:left="0" w:firstLine="0"/>
        <w:contextualSpacing w:val="0"/>
        <w:jc w:val="both"/>
        <w:rPr>
          <w:rFonts w:ascii="Palatino Linotype" w:eastAsia="Calibri" w:hAnsi="Palatino Linotype" w:cs="Times New Roman"/>
          <w:b/>
          <w:bCs/>
        </w:rPr>
      </w:pPr>
      <w:r w:rsidRPr="00D66245">
        <w:rPr>
          <w:rFonts w:ascii="Palatino Linotype" w:eastAsia="Calibri" w:hAnsi="Palatino Linotype" w:cs="Times New Roman"/>
          <w:b/>
          <w:bCs/>
        </w:rPr>
        <w:t>El Caso Costarricense En La Práctica: Los Números Puros y Duros</w:t>
      </w:r>
    </w:p>
    <w:p w14:paraId="0F763E50" w14:textId="77777777" w:rsidR="00BE6A34" w:rsidRPr="00D66245" w:rsidRDefault="00BE6A34" w:rsidP="00BE6A34">
      <w:pPr>
        <w:pStyle w:val="NormalWeb"/>
        <w:spacing w:before="120" w:beforeAutospacing="0" w:after="200" w:afterAutospacing="0"/>
        <w:ind w:firstLine="708"/>
        <w:jc w:val="both"/>
        <w:rPr>
          <w:rFonts w:ascii="Palatino Linotype" w:eastAsiaTheme="minorEastAsia" w:hAnsi="Palatino Linotype"/>
          <w:snapToGrid w:val="0"/>
          <w:sz w:val="22"/>
          <w:szCs w:val="22"/>
          <w:lang w:eastAsia="en-US"/>
        </w:rPr>
      </w:pPr>
      <w:r w:rsidRPr="00D66245">
        <w:rPr>
          <w:rFonts w:ascii="Palatino Linotype" w:eastAsiaTheme="minorEastAsia" w:hAnsi="Palatino Linotype"/>
          <w:snapToGrid w:val="0"/>
          <w:sz w:val="22"/>
          <w:szCs w:val="22"/>
          <w:lang w:eastAsia="en-US"/>
        </w:rPr>
        <w:t xml:space="preserve">Costa Rica hizo un gran esfuerzo y producto de ello tiene hoy un Código Procesal Contencioso Administrativo de avanzada, dentro del cual se regula un recurso de casación </w:t>
      </w:r>
      <w:r w:rsidRPr="00D66245">
        <w:rPr>
          <w:rFonts w:ascii="Palatino Linotype" w:eastAsiaTheme="minorEastAsia" w:hAnsi="Palatino Linotype"/>
          <w:i/>
          <w:snapToGrid w:val="0"/>
          <w:sz w:val="22"/>
          <w:szCs w:val="22"/>
          <w:lang w:eastAsia="en-US"/>
        </w:rPr>
        <w:t>sui géneris</w:t>
      </w:r>
      <w:r w:rsidRPr="00D66245">
        <w:rPr>
          <w:rFonts w:ascii="Palatino Linotype" w:eastAsiaTheme="minorEastAsia" w:hAnsi="Palatino Linotype"/>
          <w:snapToGrid w:val="0"/>
          <w:sz w:val="22"/>
          <w:szCs w:val="22"/>
          <w:lang w:eastAsia="en-US"/>
        </w:rPr>
        <w:t xml:space="preserve"> y muy innovador. Sin embargo, nada habríamos logrado si, aprobado y en plena vigencia dicho Código, la jurisprudencia se hubiese mantenido aferrada al lastre del formalismo riguroso, en detrimento del derecho fundamental a la tutela</w:t>
      </w:r>
      <w:r w:rsidRPr="00D66245">
        <w:rPr>
          <w:rFonts w:ascii="Palatino Linotype" w:eastAsiaTheme="minorEastAsia" w:hAnsi="Palatino Linotype"/>
          <w:snapToGrid w:val="0"/>
          <w:sz w:val="22"/>
          <w:szCs w:val="22"/>
        </w:rPr>
        <w:t xml:space="preserve"> judicial efectiva, </w:t>
      </w:r>
      <w:r w:rsidRPr="00D66245">
        <w:rPr>
          <w:rFonts w:ascii="Palatino Linotype" w:eastAsiaTheme="minorEastAsia" w:hAnsi="Palatino Linotype"/>
          <w:snapToGrid w:val="0"/>
          <w:sz w:val="22"/>
          <w:szCs w:val="22"/>
        </w:rPr>
        <w:lastRenderedPageBreak/>
        <w:t xml:space="preserve">a la impronta humanista y al control universal de la Administración que se quiso conscientemente inculcar. </w:t>
      </w:r>
    </w:p>
    <w:p w14:paraId="46412FDF" w14:textId="77777777" w:rsidR="00BE6A34" w:rsidRPr="00D66245" w:rsidRDefault="00BE6A34" w:rsidP="00BE6A34">
      <w:pPr>
        <w:spacing w:before="120" w:after="200" w:line="240" w:lineRule="auto"/>
        <w:ind w:firstLine="708"/>
        <w:jc w:val="both"/>
        <w:rPr>
          <w:rFonts w:ascii="Palatino Linotype" w:eastAsiaTheme="minorEastAsia" w:hAnsi="Palatino Linotype" w:cs="Times New Roman"/>
          <w:snapToGrid w:val="0"/>
        </w:rPr>
      </w:pPr>
      <w:r w:rsidRPr="00D66245">
        <w:rPr>
          <w:rFonts w:ascii="Palatino Linotype" w:eastAsiaTheme="minorEastAsia" w:hAnsi="Palatino Linotype" w:cs="Times New Roman"/>
          <w:snapToGrid w:val="0"/>
        </w:rPr>
        <w:t xml:space="preserve">Un análisis de la demanda que ha tenido el recurso de casación a partir de la entrada en vigencia del referido Código da cuenta clara de las bondades que ha tenido la reforma procesal en materia contencioso-administrativa. En efecto, ya desde el primer año de vigencia de la nueva normativa el </w:t>
      </w:r>
      <w:r w:rsidRPr="00D66245">
        <w:rPr>
          <w:rFonts w:ascii="Palatino Linotype" w:hAnsi="Palatino Linotype" w:cs="Times New Roman"/>
        </w:rPr>
        <w:t>volumen de ingreso tan solo a la Sala Primera (sin contar el Tribunal de Casación) aumentó</w:t>
      </w:r>
      <w:r w:rsidRPr="00D66245">
        <w:rPr>
          <w:rFonts w:ascii="Palatino Linotype" w:eastAsiaTheme="minorEastAsia" w:hAnsi="Palatino Linotype" w:cs="Times New Roman"/>
          <w:snapToGrid w:val="0"/>
        </w:rPr>
        <w:t xml:space="preserve"> </w:t>
      </w:r>
      <w:r w:rsidRPr="00D66245">
        <w:rPr>
          <w:rFonts w:ascii="Palatino Linotype" w:hAnsi="Palatino Linotype" w:cs="Times New Roman"/>
        </w:rPr>
        <w:t xml:space="preserve">significativamente. Así, mientras que en el 2007 la materia contenciosa ocupaba el segundo lugar de entradas con el 23% del total, en el 2008 pasó a ocupar un 43% y en el 2009 un 57%. </w:t>
      </w:r>
    </w:p>
    <w:p w14:paraId="4DD64950" w14:textId="77777777" w:rsidR="00BE6A34" w:rsidRPr="00D66245" w:rsidRDefault="00BE6A34" w:rsidP="00BE6A34">
      <w:pPr>
        <w:autoSpaceDE w:val="0"/>
        <w:autoSpaceDN w:val="0"/>
        <w:adjustRightInd w:val="0"/>
        <w:spacing w:before="120" w:after="200" w:line="240" w:lineRule="auto"/>
        <w:ind w:firstLine="708"/>
        <w:jc w:val="both"/>
        <w:rPr>
          <w:rFonts w:ascii="Palatino Linotype" w:hAnsi="Palatino Linotype" w:cs="Times New Roman"/>
        </w:rPr>
      </w:pPr>
      <w:r w:rsidRPr="00D66245">
        <w:rPr>
          <w:rFonts w:ascii="Palatino Linotype" w:hAnsi="Palatino Linotype" w:cs="Times New Roman"/>
        </w:rPr>
        <w:t>Esa tendencia al alza de los asuntos ingresados se ha mantenido durante todos estos años, siendo el 2015 el que más entradas de recursos de casación en materia contenciosa administrativa reportó con 880 y el año 2013 ocupando un segundo lugar con 874, lo que representa un 61.2% y un 60.4% respectivamente del total de recursos presentados ante la Sala Primera durante el respectivo año. Así, mientras que el peso relativo de los asuntos civiles y contenciosos en el 2007 era de 58% y 23% respectivamente, para el 2015, que ha sido el año de mayor cantidad de recursos de casación contenciosos presentados, esos porcentajes se habían invertido, siendo el peso relativo de los asuntos civiles de 20.9%, en contraste con un 61.2% de asuntos contenciosos-administrativos.</w:t>
      </w:r>
      <w:r w:rsidRPr="00D66245">
        <w:rPr>
          <w:rStyle w:val="Refdenotaalpie"/>
          <w:rFonts w:ascii="Palatino Linotype" w:hAnsi="Palatino Linotype" w:cs="Times New Roman"/>
        </w:rPr>
        <w:footnoteReference w:id="164"/>
      </w:r>
    </w:p>
    <w:p w14:paraId="30C770F5" w14:textId="77777777" w:rsidR="00BE6A34" w:rsidRPr="00D66245" w:rsidRDefault="00BE6A34" w:rsidP="00BE6A34">
      <w:pPr>
        <w:spacing w:before="120" w:after="200" w:line="240" w:lineRule="auto"/>
        <w:ind w:firstLine="708"/>
        <w:jc w:val="both"/>
        <w:rPr>
          <w:rFonts w:ascii="Palatino Linotype" w:hAnsi="Palatino Linotype" w:cs="Times New Roman"/>
        </w:rPr>
      </w:pPr>
      <w:r w:rsidRPr="00D66245">
        <w:rPr>
          <w:rFonts w:ascii="Palatino Linotype" w:hAnsi="Palatino Linotype" w:cs="Times New Roman"/>
        </w:rPr>
        <w:t xml:space="preserve">La siguiente cita del Programa Estado de la Nación retrata de manera inmejorable el cambio radical ocurrido en la demanda de la casación contenciosa con la entrada en vigencia del Código Procesal Contencioso Administrativo: </w:t>
      </w:r>
    </w:p>
    <w:p w14:paraId="6E453A3F" w14:textId="77777777" w:rsidR="00BE6A34" w:rsidRPr="00D66245" w:rsidRDefault="00BE6A34" w:rsidP="00BE6A34">
      <w:pPr>
        <w:spacing w:before="120" w:after="200" w:line="240" w:lineRule="auto"/>
        <w:ind w:left="567" w:right="899"/>
        <w:jc w:val="both"/>
        <w:rPr>
          <w:rFonts w:ascii="Palatino Linotype" w:hAnsi="Palatino Linotype" w:cs="Times New Roman"/>
        </w:rPr>
      </w:pPr>
      <w:r w:rsidRPr="00D66245">
        <w:rPr>
          <w:rFonts w:ascii="Palatino Linotype" w:hAnsi="Palatino Linotype" w:cs="Times New Roman"/>
        </w:rPr>
        <w:t xml:space="preserve">“1) En el año 2007 la Sala reportó una entrada de 153 expedientes en materia contencioso-administrativa y en el 2008, cuando entró a regir el nuevo Código Procesal, recibió más del doble (346), cantidad que nuevamente creció en más de un 100% en el siguiente año (685), siendo el volumen </w:t>
      </w:r>
      <w:r w:rsidRPr="00D66245">
        <w:rPr>
          <w:rFonts w:ascii="Palatino Linotype" w:hAnsi="Palatino Linotype" w:cs="Times New Roman"/>
        </w:rPr>
        <w:lastRenderedPageBreak/>
        <w:t>registrado</w:t>
      </w:r>
      <w:r w:rsidRPr="00D66245">
        <w:rPr>
          <w:rFonts w:ascii="Palatino Linotype" w:hAnsi="Palatino Linotype" w:cs="Times New Roman"/>
          <w:iCs/>
        </w:rPr>
        <w:t xml:space="preserve"> en el 2009 muy similar al que reportó en el 2017 (668). En el 2015 ingresó el mayor número de asuntos (880) y ha disminuido en unos 100 expedientes, tanto en el 2016 como en el 2017</w:t>
      </w:r>
      <w:r w:rsidRPr="00D66245">
        <w:rPr>
          <w:rFonts w:ascii="Palatino Linotype" w:hAnsi="Palatino Linotype" w:cs="Times New Roman"/>
        </w:rPr>
        <w:t>.”</w:t>
      </w:r>
      <w:r w:rsidRPr="00D66245">
        <w:rPr>
          <w:rStyle w:val="Refdenotaalpie"/>
          <w:rFonts w:ascii="Palatino Linotype" w:hAnsi="Palatino Linotype" w:cs="Times New Roman"/>
        </w:rPr>
        <w:footnoteReference w:id="165"/>
      </w:r>
    </w:p>
    <w:p w14:paraId="70D87B85" w14:textId="77777777" w:rsidR="00BE6A34" w:rsidRPr="00D66245" w:rsidRDefault="00BE6A34" w:rsidP="00BE6A34">
      <w:pPr>
        <w:autoSpaceDE w:val="0"/>
        <w:autoSpaceDN w:val="0"/>
        <w:adjustRightInd w:val="0"/>
        <w:spacing w:before="120" w:after="200" w:line="240" w:lineRule="auto"/>
        <w:ind w:firstLine="708"/>
        <w:jc w:val="both"/>
        <w:rPr>
          <w:rFonts w:ascii="Palatino Linotype" w:hAnsi="Palatino Linotype" w:cs="Times New Roman"/>
        </w:rPr>
      </w:pPr>
      <w:r w:rsidRPr="00D66245">
        <w:rPr>
          <w:rFonts w:ascii="Palatino Linotype" w:eastAsiaTheme="minorEastAsia" w:hAnsi="Palatino Linotype" w:cs="Times New Roman"/>
          <w:snapToGrid w:val="0"/>
        </w:rPr>
        <w:t>En lo que a la jurisprudencia emanada de la Sala Primera de la Corte Suprema de Justicia corresponde, también han variado radicalmente sus criterios de admisibilidad en comparación con los que aplicaba durante la vigencia de la Ley Reguladora de la Jurisdicción Contencioso-Administrativa. En este sentido, mientras que otrora se requería,</w:t>
      </w:r>
      <w:r w:rsidRPr="00D66245">
        <w:rPr>
          <w:rFonts w:ascii="Palatino Linotype" w:hAnsi="Palatino Linotype" w:cs="Times New Roman"/>
        </w:rPr>
        <w:t xml:space="preserve"> tanto en la violación indirecta (errores de hecho o de derecho en la apreciación de la prueba), como en la directa, que si se alegaba aplicación indebida de normas, igualmente había que alegar como violadas las normas que se habían dejado de aplicar (falta de aplicación)</w:t>
      </w:r>
      <w:r w:rsidRPr="00D66245">
        <w:rPr>
          <w:rStyle w:val="Refdenotaalpie"/>
          <w:rFonts w:ascii="Palatino Linotype" w:eastAsiaTheme="minorEastAsia" w:hAnsi="Palatino Linotype" w:cs="Times New Roman"/>
          <w:snapToGrid w:val="0"/>
        </w:rPr>
        <w:footnoteReference w:id="166"/>
      </w:r>
      <w:r w:rsidRPr="00D66245">
        <w:rPr>
          <w:rFonts w:ascii="Palatino Linotype" w:eastAsiaTheme="minorEastAsia" w:hAnsi="Palatino Linotype" w:cs="Times New Roman"/>
          <w:snapToGrid w:val="0"/>
        </w:rPr>
        <w:t>, hoy resulta innecesario citar las normas que equivocadamente utilizó y mencionó el órgano jurisdiccional de instancia para emitir y razonar su decisión, bastando a tal efecto con explicar las razones en las cuales se sustenta la gestión, combatiendo los argumentos de derecho de la sentencia recurrida y consignando, al menos, alguna referencia normativa que le dé sustento.</w:t>
      </w:r>
      <w:r w:rsidRPr="00D66245">
        <w:rPr>
          <w:rStyle w:val="Refdenotaalpie"/>
          <w:rFonts w:ascii="Palatino Linotype" w:eastAsiaTheme="minorEastAsia" w:hAnsi="Palatino Linotype" w:cs="Times New Roman"/>
          <w:snapToGrid w:val="0"/>
        </w:rPr>
        <w:footnoteReference w:id="167"/>
      </w:r>
      <w:r w:rsidRPr="00D66245">
        <w:rPr>
          <w:rFonts w:ascii="Palatino Linotype" w:eastAsiaTheme="minorEastAsia" w:hAnsi="Palatino Linotype" w:cs="Times New Roman"/>
          <w:snapToGrid w:val="0"/>
        </w:rPr>
        <w:t xml:space="preserve"> </w:t>
      </w:r>
    </w:p>
    <w:p w14:paraId="3C07883D" w14:textId="77777777" w:rsidR="00BE6A34" w:rsidRPr="00D66245" w:rsidRDefault="00BE6A34" w:rsidP="00BE6A34">
      <w:pPr>
        <w:spacing w:before="120" w:after="200" w:line="240" w:lineRule="auto"/>
        <w:ind w:firstLine="708"/>
        <w:jc w:val="both"/>
        <w:rPr>
          <w:rFonts w:ascii="Palatino Linotype" w:eastAsiaTheme="minorEastAsia" w:hAnsi="Palatino Linotype" w:cs="Times New Roman"/>
          <w:snapToGrid w:val="0"/>
        </w:rPr>
      </w:pPr>
      <w:r w:rsidRPr="00D66245">
        <w:rPr>
          <w:rFonts w:ascii="Palatino Linotype" w:eastAsiaTheme="minorEastAsia" w:hAnsi="Palatino Linotype" w:cs="Times New Roman"/>
          <w:snapToGrid w:val="0"/>
        </w:rPr>
        <w:t xml:space="preserve">Ello así, de conformidad con el criterio formal de la Sala Primera, bajo el imperio del Código Procesal Contencioso Administrativo los requisitos de admisibilidad del recurso de casación son únicamente los siguientes: </w:t>
      </w:r>
    </w:p>
    <w:p w14:paraId="08026DCC" w14:textId="77777777" w:rsidR="00BE6A34" w:rsidRPr="00D66245" w:rsidRDefault="00BE6A34" w:rsidP="00BE6A34">
      <w:pPr>
        <w:pStyle w:val="Prrafodelista"/>
        <w:numPr>
          <w:ilvl w:val="0"/>
          <w:numId w:val="4"/>
        </w:numPr>
        <w:spacing w:after="0" w:line="240" w:lineRule="auto"/>
        <w:ind w:left="714" w:hanging="357"/>
        <w:contextualSpacing w:val="0"/>
        <w:jc w:val="both"/>
        <w:rPr>
          <w:rFonts w:ascii="Palatino Linotype" w:eastAsiaTheme="minorEastAsia" w:hAnsi="Palatino Linotype" w:cs="Times New Roman"/>
          <w:snapToGrid w:val="0"/>
        </w:rPr>
      </w:pPr>
      <w:r w:rsidRPr="00D66245">
        <w:rPr>
          <w:rFonts w:ascii="Palatino Linotype" w:eastAsiaTheme="minorEastAsia" w:hAnsi="Palatino Linotype" w:cs="Times New Roman"/>
          <w:snapToGrid w:val="0"/>
        </w:rPr>
        <w:t>Presentar el recurso directamente ante la Sala Primera de la Corte Suprema de Justicia.</w:t>
      </w:r>
    </w:p>
    <w:p w14:paraId="603AD238" w14:textId="77777777" w:rsidR="00BE6A34" w:rsidRPr="00D66245" w:rsidRDefault="00BE6A34" w:rsidP="00BE6A34">
      <w:pPr>
        <w:pStyle w:val="Prrafodelista"/>
        <w:numPr>
          <w:ilvl w:val="0"/>
          <w:numId w:val="4"/>
        </w:numPr>
        <w:spacing w:after="0" w:line="240" w:lineRule="auto"/>
        <w:ind w:left="714" w:hanging="357"/>
        <w:contextualSpacing w:val="0"/>
        <w:jc w:val="both"/>
        <w:rPr>
          <w:rFonts w:ascii="Palatino Linotype" w:eastAsiaTheme="minorEastAsia" w:hAnsi="Palatino Linotype" w:cs="Times New Roman"/>
          <w:snapToGrid w:val="0"/>
        </w:rPr>
      </w:pPr>
      <w:r w:rsidRPr="00D66245">
        <w:rPr>
          <w:rFonts w:ascii="Palatino Linotype" w:eastAsiaTheme="minorEastAsia" w:hAnsi="Palatino Linotype" w:cs="Times New Roman"/>
          <w:snapToGrid w:val="0"/>
        </w:rPr>
        <w:t>Dentro del plazo máximo de 15 días hábiles contados a partir del día hábil siguiente de notificadas todas las partes.</w:t>
      </w:r>
    </w:p>
    <w:p w14:paraId="4B9FA781" w14:textId="77777777" w:rsidR="00BE6A34" w:rsidRPr="00D66245" w:rsidRDefault="00BE6A34" w:rsidP="00BE6A34">
      <w:pPr>
        <w:pStyle w:val="Prrafodelista"/>
        <w:numPr>
          <w:ilvl w:val="0"/>
          <w:numId w:val="4"/>
        </w:numPr>
        <w:spacing w:after="0" w:line="240" w:lineRule="auto"/>
        <w:ind w:left="714" w:hanging="357"/>
        <w:contextualSpacing w:val="0"/>
        <w:jc w:val="both"/>
        <w:rPr>
          <w:rFonts w:ascii="Palatino Linotype" w:eastAsiaTheme="minorEastAsia" w:hAnsi="Palatino Linotype" w:cs="Times New Roman"/>
          <w:snapToGrid w:val="0"/>
        </w:rPr>
      </w:pPr>
      <w:r w:rsidRPr="00D66245">
        <w:rPr>
          <w:rFonts w:ascii="Palatino Linotype" w:eastAsiaTheme="minorEastAsia" w:hAnsi="Palatino Linotype" w:cs="Times New Roman"/>
          <w:snapToGrid w:val="0"/>
        </w:rPr>
        <w:t>Identificación de: a) el tipo de proceso; b) el nombre completo de las partes; c) la firma del recurrente o recurrentes autenticada por abogado; d) hora y fecha de la resolución recurrida; e) número de expediente en la cual fue dictada y f) lugar dentro del perímetro para recibir notificaciones.</w:t>
      </w:r>
    </w:p>
    <w:p w14:paraId="46E9CEB0" w14:textId="77777777" w:rsidR="00BE6A34" w:rsidRPr="00D66245" w:rsidRDefault="00BE6A34" w:rsidP="00BE6A34">
      <w:pPr>
        <w:pStyle w:val="Prrafodelista"/>
        <w:numPr>
          <w:ilvl w:val="0"/>
          <w:numId w:val="4"/>
        </w:numPr>
        <w:spacing w:after="0" w:line="240" w:lineRule="auto"/>
        <w:ind w:left="714" w:hanging="357"/>
        <w:contextualSpacing w:val="0"/>
        <w:jc w:val="both"/>
        <w:rPr>
          <w:rFonts w:ascii="Palatino Linotype" w:eastAsiaTheme="minorEastAsia" w:hAnsi="Palatino Linotype" w:cs="Times New Roman"/>
          <w:snapToGrid w:val="0"/>
        </w:rPr>
      </w:pPr>
      <w:r w:rsidRPr="00D66245">
        <w:rPr>
          <w:rFonts w:ascii="Palatino Linotype" w:eastAsiaTheme="minorEastAsia" w:hAnsi="Palatino Linotype" w:cs="Times New Roman"/>
          <w:snapToGrid w:val="0"/>
        </w:rPr>
        <w:lastRenderedPageBreak/>
        <w:t>Motivación fáctica y jurídica clara y precisa del recurso, para lo cual basta una argumentación técnico-jurídica en la que se mencionen una serie de artículos, o reglas jurídicas entrelazadas o concatenadas entre sí y vinculadas razonablemente en una doble perspectiva: con los argumentos del recurso y con la sentencia que se ataca. En la medida en que se cite un conjunto de normas jurídicas (o si es del caso, una sola de ellas), atinente y vinculada de manera clara con la sentencia combatida (ya sea en el sustento de hecho o derecho) y los argumentos del recurso, hay fundamentación jurídica.</w:t>
      </w:r>
      <w:r w:rsidRPr="00D66245">
        <w:rPr>
          <w:rFonts w:ascii="Palatino Linotype" w:hAnsi="Palatino Linotype" w:cs="Times New Roman"/>
          <w:vertAlign w:val="superscript"/>
        </w:rPr>
        <w:footnoteReference w:id="168"/>
      </w:r>
      <w:r w:rsidRPr="00D66245">
        <w:rPr>
          <w:rFonts w:ascii="Palatino Linotype" w:eastAsiaTheme="minorEastAsia" w:hAnsi="Palatino Linotype" w:cs="Times New Roman"/>
          <w:snapToGrid w:val="0"/>
        </w:rPr>
        <w:t xml:space="preserve"> </w:t>
      </w:r>
    </w:p>
    <w:p w14:paraId="12AB1314" w14:textId="77777777" w:rsidR="00BE6A34" w:rsidRPr="00D66245" w:rsidRDefault="00BE6A34" w:rsidP="00BE6A34">
      <w:pPr>
        <w:spacing w:before="120" w:after="200" w:line="240" w:lineRule="auto"/>
        <w:ind w:firstLine="708"/>
        <w:jc w:val="both"/>
        <w:rPr>
          <w:rFonts w:ascii="Palatino Linotype" w:eastAsiaTheme="minorEastAsia" w:hAnsi="Palatino Linotype" w:cs="Times New Roman"/>
          <w:snapToGrid w:val="0"/>
        </w:rPr>
      </w:pPr>
      <w:r w:rsidRPr="00D66245">
        <w:rPr>
          <w:rFonts w:ascii="Palatino Linotype" w:eastAsiaTheme="minorEastAsia" w:hAnsi="Palatino Linotype" w:cs="Times New Roman"/>
          <w:snapToGrid w:val="0"/>
        </w:rPr>
        <w:t>Con todo, de conformidad con los datos del último quinquenio, resulta que, durante el 2013 se dictaron 298 votos de fondo, pero 507 de rechazo de plano; en el 2014: 222 votos de fondo y 428 rechazos de plano; en el 2015: 324 votos de fondo y 359 rechazos de plano; en el 2016: 324 votos de fondo y 334 rechazos de plano; y en el 2017: 310 votos de fondo y 352 rechazos de plano. Ciertamente, estos datos no se encuentran desagregados por materia, pero dado que, en el último quinquenio, los asuntos contenciosos administrativos terminados anualmente en la Sala Primera han representado un 69,24% en promedio, es razonable pensar que los porcentajes antes señalados representan con veracidad los datos de la casación contenciosa.</w:t>
      </w:r>
      <w:r w:rsidRPr="00D66245">
        <w:rPr>
          <w:rStyle w:val="Refdenotaalpie"/>
          <w:rFonts w:ascii="Palatino Linotype" w:eastAsiaTheme="minorEastAsia" w:hAnsi="Palatino Linotype" w:cs="Times New Roman"/>
          <w:snapToGrid w:val="0"/>
        </w:rPr>
        <w:footnoteReference w:id="169"/>
      </w:r>
    </w:p>
    <w:p w14:paraId="48079146" w14:textId="77777777" w:rsidR="00BE6A34" w:rsidRPr="00D66245" w:rsidRDefault="00BE6A34" w:rsidP="00BE6A34">
      <w:pPr>
        <w:spacing w:before="120" w:after="200" w:line="240" w:lineRule="auto"/>
        <w:ind w:firstLine="708"/>
        <w:jc w:val="both"/>
        <w:rPr>
          <w:rFonts w:ascii="Palatino Linotype" w:eastAsiaTheme="minorEastAsia" w:hAnsi="Palatino Linotype" w:cs="Times New Roman"/>
          <w:snapToGrid w:val="0"/>
        </w:rPr>
      </w:pPr>
      <w:r w:rsidRPr="00D66245">
        <w:rPr>
          <w:rFonts w:ascii="Palatino Linotype" w:eastAsiaTheme="minorEastAsia" w:hAnsi="Palatino Linotype" w:cs="Times New Roman"/>
          <w:snapToGrid w:val="0"/>
        </w:rPr>
        <w:t xml:space="preserve">En cuanto a la efectividad de la tutela judicial, merece la pena analizar cuál es la composición de las resoluciones que emite la Sala Primera para determinar si las mismas corresponden al fondo de recursos de casación, y de éstos, qué porcentaje se rechaza y qué porcentaje se declara con lugar. En este sentido, las estadísticas de la Dirección de Planificación del Poder Judicial resultan muy útiles, pues demuestran que, durante el año 2017, tan solo un 22,2% del total de resoluciones dictadas por Sala Primera corresponde a votos de fondo, mientras que el 77.8% restante corresponde a otras resoluciones dictadas que no son de fondo, como por ejemplo temas de competencia (451 asuntos) y rechazos de plano (352 asuntos). Esto quiere decir que, de las 1.399 resoluciones dictadas durante el 2017, solamente 310 fueron de fondo y, de esas 310 resoluciones, 178 resolvieron el recurso sin </w:t>
      </w:r>
      <w:r w:rsidRPr="00D66245">
        <w:rPr>
          <w:rFonts w:ascii="Palatino Linotype" w:eastAsiaTheme="minorEastAsia" w:hAnsi="Palatino Linotype" w:cs="Times New Roman"/>
          <w:snapToGrid w:val="0"/>
        </w:rPr>
        <w:lastRenderedPageBreak/>
        <w:t>lugar, 79 con lugar, 32 parcialmente con lugar, en 11 ocasiones se confirma, en 4 se acoge, en 4 se anula el voto, en 1 revoca y en 1 revoca parcialmente. Valga señalar que, de esas 310 resoluciones de fondo dictadas por la Sala Primera durante el 2017, 226 correspondieron a la materia contenciosa (72,9% del total), de manera tal que, efectivamente, los datos son un espejo de la realidad de la casación contenciosa.</w:t>
      </w:r>
      <w:r w:rsidRPr="00D66245">
        <w:rPr>
          <w:rStyle w:val="Refdenotaalpie"/>
          <w:rFonts w:ascii="Palatino Linotype" w:eastAsiaTheme="minorEastAsia" w:hAnsi="Palatino Linotype" w:cs="Times New Roman"/>
          <w:snapToGrid w:val="0"/>
        </w:rPr>
        <w:footnoteReference w:id="170"/>
      </w:r>
      <w:r w:rsidRPr="00D66245">
        <w:rPr>
          <w:rFonts w:ascii="Palatino Linotype" w:eastAsiaTheme="minorEastAsia" w:hAnsi="Palatino Linotype" w:cs="Times New Roman"/>
          <w:snapToGrid w:val="0"/>
        </w:rPr>
        <w:t xml:space="preserve"> </w:t>
      </w:r>
    </w:p>
    <w:p w14:paraId="655D0E4F" w14:textId="77777777" w:rsidR="00BE6A34" w:rsidRPr="00D66245" w:rsidRDefault="00BE6A34" w:rsidP="00BE6A34">
      <w:pPr>
        <w:spacing w:before="120" w:after="200" w:line="240" w:lineRule="auto"/>
        <w:ind w:firstLine="708"/>
        <w:jc w:val="both"/>
        <w:rPr>
          <w:rFonts w:ascii="Palatino Linotype" w:eastAsiaTheme="minorEastAsia" w:hAnsi="Palatino Linotype" w:cs="Times New Roman"/>
          <w:snapToGrid w:val="0"/>
        </w:rPr>
      </w:pPr>
      <w:r w:rsidRPr="00D66245">
        <w:rPr>
          <w:rFonts w:ascii="Palatino Linotype" w:eastAsiaTheme="minorEastAsia" w:hAnsi="Palatino Linotype" w:cs="Times New Roman"/>
          <w:snapToGrid w:val="0"/>
        </w:rPr>
        <w:t>Por su parte, cuando la Sala Primera hace las veces de Tribunal de Casación, los datos son aún menos alentadores, pues durante el 2017, de 143 resoluciones dictadas, 53 correspondieron a votos de fondo y 74 a rechazos de plano. A su vez, de las 53 resoluciones de fondo, 29 declararon sin lugar el recurso de casación, 19 con lugar, y 5 parcialmente con lugar.</w:t>
      </w:r>
    </w:p>
    <w:p w14:paraId="3DFACB69" w14:textId="77777777" w:rsidR="00BE6A34" w:rsidRPr="00D66245" w:rsidRDefault="00BE6A34" w:rsidP="00BE6A34">
      <w:pPr>
        <w:pStyle w:val="Default"/>
        <w:spacing w:before="120" w:after="200"/>
        <w:ind w:firstLine="708"/>
        <w:jc w:val="both"/>
        <w:rPr>
          <w:rFonts w:ascii="Palatino Linotype" w:hAnsi="Palatino Linotype" w:cs="Times New Roman"/>
          <w:color w:val="auto"/>
          <w:sz w:val="22"/>
          <w:szCs w:val="22"/>
        </w:rPr>
      </w:pPr>
      <w:r w:rsidRPr="00D66245">
        <w:rPr>
          <w:rFonts w:ascii="Palatino Linotype" w:eastAsiaTheme="minorEastAsia" w:hAnsi="Palatino Linotype" w:cs="Times New Roman"/>
          <w:snapToGrid w:val="0"/>
          <w:color w:val="auto"/>
          <w:sz w:val="22"/>
          <w:szCs w:val="22"/>
        </w:rPr>
        <w:t>Finalmente, en cuanto a la quimera de lograr que la justicia contencioso-administrativa sea más humana y menos tardía, los datos demuestran que el recurso de casación, tanto los que se tramitan en Sala Primera como aquellos en función de Tribunal de Casación, se han convertido en un verdadero cuello de botella, sobre todo si tenemos presente que, el promedio para el dictado de la sentencia de primera instancia fluctúa entre los 20 y 26 meses, con lo cual, según veremos, solamente la tramitación de la casación ante la Sala Primera duplica esa duración.</w:t>
      </w:r>
      <w:r w:rsidRPr="00D66245">
        <w:rPr>
          <w:rStyle w:val="Refdenotaalpie"/>
          <w:rFonts w:ascii="Palatino Linotype" w:eastAsiaTheme="minorEastAsia" w:hAnsi="Palatino Linotype" w:cs="Times New Roman"/>
          <w:snapToGrid w:val="0"/>
          <w:color w:val="auto"/>
          <w:sz w:val="22"/>
          <w:szCs w:val="22"/>
        </w:rPr>
        <w:footnoteReference w:id="171"/>
      </w:r>
      <w:r w:rsidRPr="00D66245">
        <w:rPr>
          <w:rFonts w:ascii="Palatino Linotype" w:eastAsiaTheme="minorEastAsia" w:hAnsi="Palatino Linotype" w:cs="Times New Roman"/>
          <w:snapToGrid w:val="0"/>
          <w:color w:val="auto"/>
          <w:sz w:val="22"/>
          <w:szCs w:val="22"/>
        </w:rPr>
        <w:t xml:space="preserve"> Así, desde la entrada en vigor del Código Procesal Contencioso Administrativo la duración promedio de los votos de fondo en Sala Primera ha incrementado exponencialmente de 8 meses en el 2009 a 21 meses en el 2014, hasta llegar a 26 meses y 2 semanas en el 2017; mucho peor que en el último año de vigencia de la Ley Reguladora de la Jurisdicción Contencioso Administrativa en el que, el promedio de duración de un recurso de casación contencioso-administrativo tardaba 9 meses y 1 semana</w:t>
      </w:r>
      <w:r w:rsidRPr="00D66245">
        <w:rPr>
          <w:rStyle w:val="Refdenotaalpie"/>
          <w:rFonts w:ascii="Palatino Linotype" w:eastAsiaTheme="minorEastAsia" w:hAnsi="Palatino Linotype" w:cs="Times New Roman"/>
          <w:snapToGrid w:val="0"/>
          <w:color w:val="auto"/>
          <w:sz w:val="22"/>
          <w:szCs w:val="22"/>
        </w:rPr>
        <w:footnoteReference w:id="172"/>
      </w:r>
      <w:r w:rsidRPr="00D66245">
        <w:rPr>
          <w:rFonts w:ascii="Palatino Linotype" w:eastAsiaTheme="minorEastAsia" w:hAnsi="Palatino Linotype" w:cs="Times New Roman"/>
          <w:snapToGrid w:val="0"/>
          <w:color w:val="auto"/>
          <w:sz w:val="22"/>
          <w:szCs w:val="22"/>
        </w:rPr>
        <w:t>. Por su parte, la duración promedio de votos de fondo en función de Tribunal de Casación ha incrementado de 10 meses 2 semanas en el 2013 a 15 meses en el 2017. Y lo que es peor, con la entrada en vigencia del Nuevo Código Procesal Civil, la casación civil también “p</w:t>
      </w:r>
      <w:r w:rsidRPr="00D66245">
        <w:rPr>
          <w:rFonts w:ascii="Palatino Linotype" w:hAnsi="Palatino Linotype" w:cs="Times New Roman"/>
          <w:color w:val="auto"/>
          <w:sz w:val="22"/>
          <w:szCs w:val="22"/>
        </w:rPr>
        <w:t xml:space="preserve">arece romper, tal vez para siempre, el formalismo </w:t>
      </w:r>
      <w:r w:rsidRPr="00D66245">
        <w:rPr>
          <w:rFonts w:ascii="Palatino Linotype" w:hAnsi="Palatino Linotype" w:cs="Times New Roman"/>
          <w:color w:val="auto"/>
          <w:sz w:val="22"/>
          <w:szCs w:val="22"/>
        </w:rPr>
        <w:lastRenderedPageBreak/>
        <w:t>y abrir las compuertas de acceso a todos los abogados, expertos en el tema o no.”</w:t>
      </w:r>
      <w:r w:rsidRPr="00D66245">
        <w:rPr>
          <w:rStyle w:val="Refdenotaalpie"/>
          <w:rFonts w:ascii="Palatino Linotype" w:hAnsi="Palatino Linotype" w:cs="Times New Roman"/>
          <w:color w:val="auto"/>
          <w:sz w:val="22"/>
          <w:szCs w:val="22"/>
        </w:rPr>
        <w:footnoteReference w:id="173"/>
      </w:r>
      <w:r w:rsidRPr="00D66245">
        <w:rPr>
          <w:rFonts w:ascii="Palatino Linotype" w:hAnsi="Palatino Linotype" w:cs="Times New Roman"/>
          <w:color w:val="auto"/>
          <w:sz w:val="22"/>
          <w:szCs w:val="22"/>
        </w:rPr>
        <w:t xml:space="preserve"> ¿Qué podría ir peor? </w:t>
      </w:r>
      <w:r w:rsidRPr="00D66245">
        <w:rPr>
          <w:rFonts w:ascii="Palatino Linotype" w:eastAsiaTheme="minorEastAsia" w:hAnsi="Palatino Linotype" w:cs="Times New Roman"/>
          <w:snapToGrid w:val="0"/>
          <w:color w:val="auto"/>
          <w:sz w:val="22"/>
          <w:szCs w:val="22"/>
        </w:rPr>
        <w:t xml:space="preserve"> </w:t>
      </w:r>
    </w:p>
    <w:p w14:paraId="595A4566" w14:textId="77777777" w:rsidR="00BE6A34" w:rsidRPr="00D66245" w:rsidRDefault="00BE6A34" w:rsidP="00BE6A34">
      <w:pPr>
        <w:pStyle w:val="Prrafodelista"/>
        <w:numPr>
          <w:ilvl w:val="0"/>
          <w:numId w:val="1"/>
        </w:numPr>
        <w:spacing w:before="120" w:after="200" w:line="240" w:lineRule="auto"/>
        <w:ind w:left="0" w:firstLine="0"/>
        <w:contextualSpacing w:val="0"/>
        <w:jc w:val="both"/>
        <w:rPr>
          <w:rFonts w:ascii="Palatino Linotype" w:eastAsia="Calibri" w:hAnsi="Palatino Linotype" w:cs="Times New Roman"/>
          <w:b/>
          <w:bCs/>
        </w:rPr>
      </w:pPr>
      <w:r w:rsidRPr="00D66245">
        <w:rPr>
          <w:rFonts w:ascii="Palatino Linotype" w:eastAsia="Calibri" w:hAnsi="Palatino Linotype" w:cs="Times New Roman"/>
          <w:b/>
          <w:bCs/>
        </w:rPr>
        <w:t>Conclusión</w:t>
      </w:r>
    </w:p>
    <w:p w14:paraId="7725341E" w14:textId="77777777" w:rsidR="00BE6A34" w:rsidRPr="00D66245" w:rsidRDefault="00BE6A34" w:rsidP="00BE6A34">
      <w:pPr>
        <w:spacing w:before="120" w:after="200" w:line="240" w:lineRule="auto"/>
        <w:ind w:firstLine="708"/>
        <w:jc w:val="both"/>
        <w:rPr>
          <w:rFonts w:ascii="Palatino Linotype" w:eastAsiaTheme="minorEastAsia" w:hAnsi="Palatino Linotype" w:cs="Times New Roman"/>
          <w:snapToGrid w:val="0"/>
        </w:rPr>
      </w:pPr>
      <w:r w:rsidRPr="00D66245">
        <w:rPr>
          <w:rFonts w:ascii="Palatino Linotype" w:eastAsiaTheme="minorEastAsia" w:hAnsi="Palatino Linotype" w:cs="Times New Roman"/>
          <w:snapToGrid w:val="0"/>
        </w:rPr>
        <w:t>A la luz de lo que viene señalado puede afirmarse que la dinámica democratizadora del proceso contencioso administrativo en general</w:t>
      </w:r>
      <w:r w:rsidRPr="00D66245">
        <w:rPr>
          <w:rStyle w:val="Refdenotaalpie"/>
          <w:rFonts w:ascii="Palatino Linotype" w:eastAsiaTheme="minorEastAsia" w:hAnsi="Palatino Linotype" w:cs="Times New Roman"/>
          <w:snapToGrid w:val="0"/>
        </w:rPr>
        <w:footnoteReference w:id="174"/>
      </w:r>
      <w:r w:rsidRPr="00D66245">
        <w:rPr>
          <w:rFonts w:ascii="Palatino Linotype" w:eastAsiaTheme="minorEastAsia" w:hAnsi="Palatino Linotype" w:cs="Times New Roman"/>
          <w:snapToGrid w:val="0"/>
        </w:rPr>
        <w:t xml:space="preserve"> y del recurso de casación en especial está, de conformidad con los datos puros y duros que arroja su práctica, en relación inversamente proporcional a la utopía de la justicia pronta y cumplida. Así, principalmente por falta de una dotación proporcional de recursos humanos y materiales a la creciente demanda de la casación en el proceso contencioso, la ilusión de tener una justicia contenciosa administrativa pronta y cumplida y una casación que protegiera los derechos e intereses de los justiciables ha terminado por sucumbir. </w:t>
      </w:r>
    </w:p>
    <w:p w14:paraId="694D4979" w14:textId="77777777" w:rsidR="00BE6A34" w:rsidRPr="00D66245" w:rsidRDefault="00BE6A34" w:rsidP="00BE6A34">
      <w:pPr>
        <w:spacing w:before="120" w:after="200" w:line="240" w:lineRule="auto"/>
        <w:ind w:firstLine="708"/>
        <w:jc w:val="both"/>
        <w:rPr>
          <w:rFonts w:ascii="Palatino Linotype" w:eastAsiaTheme="minorEastAsia" w:hAnsi="Palatino Linotype" w:cs="Times New Roman"/>
          <w:snapToGrid w:val="0"/>
        </w:rPr>
      </w:pPr>
      <w:r w:rsidRPr="00D66245">
        <w:rPr>
          <w:rFonts w:ascii="Palatino Linotype" w:eastAsiaTheme="minorEastAsia" w:hAnsi="Palatino Linotype" w:cs="Times New Roman"/>
          <w:snapToGrid w:val="0"/>
        </w:rPr>
        <w:t xml:space="preserve">Hoy, la casación contenciosa, a pesar de su creación original y brillante, ni tutela adecuadamente los derechos e intereses de los justiciables por su tardanza, alto porcentaje de rechazos de plano y bajo porcentaje de recursos declarados con lugar, ni puede uniformar la jurisprudencia por la cantidad de resoluciones que debe dictar con tan pocos magistrados, en una relación para el año 2017 de 279,8 casos por magistrado de la Sala Primera. </w:t>
      </w:r>
    </w:p>
    <w:p w14:paraId="55089A6C" w14:textId="77777777" w:rsidR="00BE6A34" w:rsidRPr="00D66245" w:rsidRDefault="00BE6A34" w:rsidP="00BE6A34">
      <w:pPr>
        <w:spacing w:before="120" w:after="200" w:line="240" w:lineRule="auto"/>
        <w:ind w:firstLine="708"/>
        <w:jc w:val="both"/>
        <w:rPr>
          <w:rFonts w:ascii="Palatino Linotype" w:eastAsiaTheme="minorEastAsia" w:hAnsi="Palatino Linotype" w:cs="Times New Roman"/>
          <w:snapToGrid w:val="0"/>
        </w:rPr>
      </w:pPr>
      <w:r w:rsidRPr="00D66245">
        <w:rPr>
          <w:rFonts w:ascii="Palatino Linotype" w:eastAsiaTheme="minorEastAsia" w:hAnsi="Palatino Linotype" w:cs="Times New Roman"/>
          <w:snapToGrid w:val="0"/>
        </w:rPr>
        <w:t xml:space="preserve">Así, pues, ni nomofilaxis, ni uniformar jurisprudencia, ni control pleno; ni función de tercera instancia, ni función de Corte Suprema, ni </w:t>
      </w:r>
      <w:r w:rsidRPr="00D66245">
        <w:rPr>
          <w:rFonts w:ascii="Palatino Linotype" w:eastAsiaTheme="minorEastAsia" w:hAnsi="Palatino Linotype" w:cs="Times New Roman"/>
          <w:i/>
          <w:snapToGrid w:val="0"/>
        </w:rPr>
        <w:t xml:space="preserve">ius litigatoris </w:t>
      </w:r>
      <w:r w:rsidRPr="00D66245">
        <w:rPr>
          <w:rFonts w:ascii="Palatino Linotype" w:eastAsiaTheme="minorEastAsia" w:hAnsi="Palatino Linotype" w:cs="Times New Roman"/>
          <w:snapToGrid w:val="0"/>
        </w:rPr>
        <w:t xml:space="preserve">ni </w:t>
      </w:r>
      <w:r w:rsidRPr="00D66245">
        <w:rPr>
          <w:rFonts w:ascii="Palatino Linotype" w:eastAsiaTheme="minorEastAsia" w:hAnsi="Palatino Linotype" w:cs="Times New Roman"/>
          <w:i/>
          <w:snapToGrid w:val="0"/>
        </w:rPr>
        <w:t>ius constitutionis</w:t>
      </w:r>
      <w:r w:rsidRPr="00D66245">
        <w:rPr>
          <w:rFonts w:ascii="Palatino Linotype" w:eastAsiaTheme="minorEastAsia" w:hAnsi="Palatino Linotype" w:cs="Times New Roman"/>
          <w:snapToGrid w:val="0"/>
        </w:rPr>
        <w:t xml:space="preserve">. Antes bien, estamos frente un vértice ambiguo, porque la Sala Primera, que está en nivel más alto del sistema jurídico, no tiene claridad de la naturaleza de las funciones que debe ejercitar cuando resuelve recursos de casación en materia contencioso-administrativa. </w:t>
      </w:r>
    </w:p>
    <w:p w14:paraId="4618F78D" w14:textId="77777777" w:rsidR="00BE6A34" w:rsidRPr="00D66245" w:rsidRDefault="00BE6A34" w:rsidP="00BE6A34">
      <w:pPr>
        <w:spacing w:before="120" w:after="200" w:line="240" w:lineRule="auto"/>
        <w:ind w:firstLine="708"/>
        <w:jc w:val="both"/>
        <w:rPr>
          <w:rFonts w:ascii="Palatino Linotype" w:eastAsiaTheme="minorEastAsia" w:hAnsi="Palatino Linotype" w:cs="Times New Roman"/>
          <w:snapToGrid w:val="0"/>
        </w:rPr>
      </w:pPr>
      <w:r w:rsidRPr="00D66245">
        <w:rPr>
          <w:rFonts w:ascii="Palatino Linotype" w:eastAsiaTheme="minorEastAsia" w:hAnsi="Palatino Linotype" w:cs="Times New Roman"/>
          <w:snapToGrid w:val="0"/>
        </w:rPr>
        <w:t xml:space="preserve">El alto estándar fijado a la casación contenciosa por el Código Procesal Contencioso Administrativo de cumplir, a la vez, con la nomofilaxis, la uniformidad de la jurisprudencia y la justicia del caso, aunado a una Sala Primera con muy pocos magistrados para resolver tantos asuntos, ha hecho imposible resolver el dilema de la Trinidad imposible. </w:t>
      </w:r>
      <w:r w:rsidRPr="00D66245">
        <w:rPr>
          <w:rFonts w:ascii="Palatino Linotype" w:eastAsiaTheme="minorEastAsia" w:hAnsi="Palatino Linotype" w:cs="Times New Roman"/>
          <w:snapToGrid w:val="0"/>
        </w:rPr>
        <w:lastRenderedPageBreak/>
        <w:t xml:space="preserve">Ante ello, existen básicamente dos soluciones: o se disminuye la cantidad de casos que la Sala Primera “resuelve resolver”, o bien, se aumenta la capacidad de la Sala Primera para resolver más casos.   </w:t>
      </w:r>
    </w:p>
    <w:p w14:paraId="46DDBFA7" w14:textId="77777777" w:rsidR="00BE6A34" w:rsidRPr="00D66245" w:rsidRDefault="00BE6A34" w:rsidP="00BE6A34">
      <w:pPr>
        <w:spacing w:before="120" w:after="200" w:line="240" w:lineRule="auto"/>
        <w:ind w:firstLine="708"/>
        <w:jc w:val="both"/>
        <w:rPr>
          <w:rFonts w:ascii="Palatino Linotype" w:eastAsiaTheme="minorEastAsia" w:hAnsi="Palatino Linotype" w:cs="Times New Roman"/>
          <w:snapToGrid w:val="0"/>
        </w:rPr>
      </w:pPr>
      <w:r w:rsidRPr="00D66245">
        <w:rPr>
          <w:rFonts w:ascii="Palatino Linotype" w:eastAsiaTheme="minorEastAsia" w:hAnsi="Palatino Linotype" w:cs="Times New Roman"/>
          <w:snapToGrid w:val="0"/>
        </w:rPr>
        <w:t xml:space="preserve">¿Cuál camino debemos tomar? ¿Podemos tomar el camino de crear filtros de acceso cada vez más difíciles de sobrepasar para enfocar a la casación en uniformar la jurisprudencia y crear precedentes, con la particularidad de que nuestro proceso contencioso administrativo es de única instancia? ¿O lo evidente? ¿Aumentar la cantidad de magistrados y salas especializadas para enfocar la casación en la justicia del caso concreto? </w:t>
      </w:r>
    </w:p>
    <w:p w14:paraId="5B670015" w14:textId="77777777" w:rsidR="00BE6A34" w:rsidRDefault="00BE6A34" w:rsidP="00BE6A34">
      <w:pPr>
        <w:spacing w:before="120" w:after="200"/>
        <w:jc w:val="both"/>
        <w:rPr>
          <w:rFonts w:ascii="Palatino Linotype" w:eastAsiaTheme="minorEastAsia" w:hAnsi="Palatino Linotype" w:cs="Times New Roman"/>
          <w:snapToGrid w:val="0"/>
        </w:rPr>
      </w:pPr>
      <w:r w:rsidRPr="00D66245">
        <w:rPr>
          <w:rFonts w:ascii="Palatino Linotype" w:eastAsiaTheme="minorEastAsia" w:hAnsi="Palatino Linotype" w:cs="Times New Roman"/>
          <w:snapToGrid w:val="0"/>
        </w:rPr>
        <w:t>La decisión pasa, decididamente, por un tema político, nada fácil de solventar en esta coyuntura de crisis fiscal y escasez de recursos que hace inviable el aumento de magistrados y/o la creación de otras salas especializadas que puedan desahogar el apremiante trabajo. Así, mientras que los recursos no vuelvan a crecer en los árboles y no se tome una decisión política al respecto, “lo único que es oportuno evitar es vivir en un sistema creyendo estar en otro.”</w:t>
      </w:r>
      <w:r w:rsidRPr="00D66245">
        <w:rPr>
          <w:rStyle w:val="Refdenotaalpie"/>
          <w:rFonts w:ascii="Palatino Linotype" w:eastAsiaTheme="minorEastAsia" w:hAnsi="Palatino Linotype" w:cs="Times New Roman"/>
          <w:snapToGrid w:val="0"/>
        </w:rPr>
        <w:footnoteReference w:id="175"/>
      </w:r>
      <w:r w:rsidRPr="00D66245">
        <w:rPr>
          <w:rFonts w:ascii="Palatino Linotype" w:eastAsiaTheme="minorEastAsia" w:hAnsi="Palatino Linotype" w:cs="Times New Roman"/>
          <w:snapToGrid w:val="0"/>
        </w:rPr>
        <w:t xml:space="preserve"> Por tanto, o la casación contenciosa es un instrumento democrático, abierto y flexible que sirve, ante todo y por sobre todo, para tutelar el </w:t>
      </w:r>
      <w:r w:rsidRPr="00D66245">
        <w:rPr>
          <w:rFonts w:ascii="Palatino Linotype" w:eastAsiaTheme="minorEastAsia" w:hAnsi="Palatino Linotype" w:cs="Times New Roman"/>
          <w:i/>
          <w:snapToGrid w:val="0"/>
        </w:rPr>
        <w:t xml:space="preserve">ius litigatoris </w:t>
      </w:r>
      <w:r w:rsidRPr="00D66245">
        <w:rPr>
          <w:rFonts w:ascii="Palatino Linotype" w:eastAsiaTheme="minorEastAsia" w:hAnsi="Palatino Linotype" w:cs="Times New Roman"/>
          <w:snapToGrid w:val="0"/>
        </w:rPr>
        <w:t>y hacer vívido el control subjetivo, plenario y universal del contencioso administrativo, o bien, seguimos anclados en la casación rígida, formal y solemne cuya misión parecía ser rechazar de plano el recurso, o bien, si se lograba pasar por el estrecho agujero de la admisibilidad, declararlo sin lugar por el fondo, salvo excepciones muy contadas; pero no podemos seguir en un escenario en el que, el Código Procesal Contencioso Administrativo ordena algo y los datos, puros y duros, demuestran que actuamos de manera contraria.</w:t>
      </w:r>
    </w:p>
    <w:p w14:paraId="23A29085" w14:textId="77777777" w:rsidR="00C50ADE" w:rsidRDefault="00C50ADE" w:rsidP="00105650">
      <w:pPr>
        <w:pStyle w:val="Cursivo"/>
        <w:spacing w:before="120" w:after="200" w:line="240" w:lineRule="auto"/>
        <w:ind w:firstLine="0"/>
        <w:jc w:val="center"/>
        <w:rPr>
          <w:rFonts w:ascii="Palatino Linotype" w:hAnsi="Palatino Linotype"/>
          <w:b/>
          <w:i w:val="0"/>
          <w:szCs w:val="22"/>
          <w:lang w:val="es-CR"/>
        </w:rPr>
        <w:sectPr w:rsidR="00C50ADE" w:rsidSect="00E87246">
          <w:headerReference w:type="even" r:id="rId55"/>
          <w:type w:val="oddPage"/>
          <w:pgSz w:w="12242" w:h="15842" w:code="1"/>
          <w:pgMar w:top="1474" w:right="2098" w:bottom="1021" w:left="2778" w:header="851" w:footer="2835" w:gutter="0"/>
          <w:cols w:space="708"/>
          <w:titlePg/>
          <w:docGrid w:linePitch="360"/>
        </w:sectPr>
      </w:pPr>
    </w:p>
    <w:p w14:paraId="6AFEF258" w14:textId="012C82CD" w:rsidR="00105650" w:rsidRPr="00D66245" w:rsidRDefault="00132111" w:rsidP="00105650">
      <w:pPr>
        <w:pStyle w:val="Cursivo"/>
        <w:spacing w:before="120" w:after="200" w:line="240" w:lineRule="auto"/>
        <w:ind w:firstLine="0"/>
        <w:jc w:val="center"/>
        <w:rPr>
          <w:rFonts w:ascii="Palatino Linotype" w:hAnsi="Palatino Linotype"/>
          <w:b/>
          <w:i w:val="0"/>
          <w:szCs w:val="22"/>
          <w:lang w:val="es-CR"/>
        </w:rPr>
      </w:pPr>
      <w:r w:rsidRPr="00D66245">
        <w:rPr>
          <w:rFonts w:ascii="Palatino Linotype" w:hAnsi="Palatino Linotype"/>
          <w:b/>
          <w:i w:val="0"/>
          <w:szCs w:val="22"/>
          <w:lang w:val="es-CR"/>
        </w:rPr>
        <w:lastRenderedPageBreak/>
        <w:t>LA APELACIÓN CONTENCIOSO ADMINISTRATIVA. IMPACTO DEL NUEVO CÓDIGO PROCESAL CIVI</w:t>
      </w:r>
      <w:r>
        <w:rPr>
          <w:rFonts w:ascii="Palatino Linotype" w:hAnsi="Palatino Linotype"/>
          <w:b/>
          <w:i w:val="0"/>
          <w:szCs w:val="22"/>
          <w:lang w:val="es-CR"/>
        </w:rPr>
        <w:t>L</w:t>
      </w:r>
    </w:p>
    <w:p w14:paraId="1A87F578" w14:textId="51E1D9DB" w:rsidR="00105650" w:rsidRPr="00D66245" w:rsidRDefault="00105650" w:rsidP="00D141D3">
      <w:pPr>
        <w:pStyle w:val="Cursivo"/>
        <w:spacing w:before="120" w:line="240" w:lineRule="auto"/>
        <w:ind w:firstLine="0"/>
        <w:jc w:val="center"/>
        <w:rPr>
          <w:rFonts w:ascii="Palatino Linotype" w:hAnsi="Palatino Linotype"/>
          <w:b/>
          <w:i w:val="0"/>
          <w:szCs w:val="22"/>
          <w:lang w:val="es-CR"/>
        </w:rPr>
      </w:pPr>
      <w:r w:rsidRPr="00D66245">
        <w:rPr>
          <w:rFonts w:ascii="Palatino Linotype" w:hAnsi="Palatino Linotype"/>
          <w:b/>
          <w:i w:val="0"/>
          <w:szCs w:val="22"/>
          <w:lang w:val="es-CR"/>
        </w:rPr>
        <w:t>ÍNDICE</w:t>
      </w:r>
    </w:p>
    <w:p w14:paraId="6CE0B04B" w14:textId="77777777" w:rsidR="00105650" w:rsidRPr="00D66245" w:rsidRDefault="00105650" w:rsidP="00105650">
      <w:pPr>
        <w:numPr>
          <w:ilvl w:val="0"/>
          <w:numId w:val="47"/>
        </w:numPr>
        <w:spacing w:after="0" w:line="240" w:lineRule="auto"/>
        <w:ind w:left="0" w:firstLine="0"/>
        <w:jc w:val="both"/>
        <w:rPr>
          <w:rFonts w:ascii="Palatino Linotype" w:hAnsi="Palatino Linotype"/>
        </w:rPr>
      </w:pPr>
      <w:r w:rsidRPr="00D66245">
        <w:rPr>
          <w:rFonts w:ascii="Palatino Linotype" w:hAnsi="Palatino Linotype"/>
        </w:rPr>
        <w:t>Notas introductorias. En general, sobre la autonomía del Derecho Procesal Administrativo y la aplicación de normas y principios del proceso civil, en la Jurisdicción Contencioso Administrativa.</w:t>
      </w:r>
    </w:p>
    <w:p w14:paraId="02D813D4" w14:textId="77777777" w:rsidR="00105650" w:rsidRPr="00D66245" w:rsidRDefault="00105650" w:rsidP="00105650">
      <w:pPr>
        <w:numPr>
          <w:ilvl w:val="0"/>
          <w:numId w:val="47"/>
        </w:numPr>
        <w:spacing w:after="0" w:line="240" w:lineRule="auto"/>
        <w:ind w:left="0" w:firstLine="0"/>
        <w:jc w:val="both"/>
        <w:rPr>
          <w:rFonts w:ascii="Palatino Linotype" w:hAnsi="Palatino Linotype"/>
        </w:rPr>
      </w:pPr>
      <w:r w:rsidRPr="00D66245">
        <w:rPr>
          <w:rFonts w:ascii="Palatino Linotype" w:hAnsi="Palatino Linotype"/>
        </w:rPr>
        <w:t xml:space="preserve">La apelación en el proceso contencioso administrativo y su regulación mínima. </w:t>
      </w:r>
    </w:p>
    <w:p w14:paraId="367D52C1" w14:textId="77777777" w:rsidR="00105650" w:rsidRPr="00D66245" w:rsidRDefault="00105650" w:rsidP="00105650">
      <w:pPr>
        <w:numPr>
          <w:ilvl w:val="0"/>
          <w:numId w:val="47"/>
        </w:numPr>
        <w:spacing w:after="0" w:line="240" w:lineRule="auto"/>
        <w:ind w:left="0" w:firstLine="0"/>
        <w:jc w:val="both"/>
        <w:rPr>
          <w:rFonts w:ascii="Palatino Linotype" w:hAnsi="Palatino Linotype"/>
        </w:rPr>
      </w:pPr>
      <w:r w:rsidRPr="00D66245">
        <w:rPr>
          <w:rFonts w:ascii="Palatino Linotype" w:hAnsi="Palatino Linotype"/>
        </w:rPr>
        <w:t xml:space="preserve"> El recurso de apelación en el contencioso administrativo y en el proceso civil. Análisis comparativo.</w:t>
      </w:r>
    </w:p>
    <w:p w14:paraId="00DC8C70" w14:textId="77777777" w:rsidR="00105650" w:rsidRPr="00D66245" w:rsidRDefault="00105650" w:rsidP="00105650">
      <w:pPr>
        <w:numPr>
          <w:ilvl w:val="0"/>
          <w:numId w:val="48"/>
        </w:numPr>
        <w:spacing w:after="0" w:line="240" w:lineRule="auto"/>
        <w:ind w:left="0" w:firstLine="0"/>
        <w:jc w:val="both"/>
        <w:rPr>
          <w:rFonts w:ascii="Palatino Linotype" w:hAnsi="Palatino Linotype"/>
          <w:b/>
        </w:rPr>
      </w:pPr>
      <w:r w:rsidRPr="00D66245">
        <w:rPr>
          <w:rFonts w:ascii="Palatino Linotype" w:hAnsi="Palatino Linotype"/>
          <w:b/>
        </w:rPr>
        <w:t xml:space="preserve">ASPECTOS COMUNES: </w:t>
      </w:r>
    </w:p>
    <w:p w14:paraId="28045265" w14:textId="77777777" w:rsidR="00105650" w:rsidRPr="00D66245" w:rsidRDefault="00105650" w:rsidP="00105650">
      <w:pPr>
        <w:numPr>
          <w:ilvl w:val="0"/>
          <w:numId w:val="49"/>
        </w:numPr>
        <w:spacing w:after="0" w:line="240" w:lineRule="auto"/>
        <w:ind w:left="0" w:firstLine="851"/>
        <w:jc w:val="both"/>
        <w:rPr>
          <w:rFonts w:ascii="Palatino Linotype" w:hAnsi="Palatino Linotype"/>
        </w:rPr>
      </w:pPr>
      <w:r w:rsidRPr="00D66245">
        <w:rPr>
          <w:rFonts w:ascii="Palatino Linotype" w:hAnsi="Palatino Linotype"/>
        </w:rPr>
        <w:t>Ambos sistemas de impugnación, están fundados en los principios de la oralidad.</w:t>
      </w:r>
    </w:p>
    <w:p w14:paraId="48D9BEE4" w14:textId="77777777" w:rsidR="00105650" w:rsidRPr="00D66245" w:rsidRDefault="00105650" w:rsidP="00105650">
      <w:pPr>
        <w:numPr>
          <w:ilvl w:val="0"/>
          <w:numId w:val="49"/>
        </w:numPr>
        <w:spacing w:after="0" w:line="240" w:lineRule="auto"/>
        <w:ind w:left="0" w:firstLine="851"/>
        <w:jc w:val="both"/>
        <w:rPr>
          <w:rFonts w:ascii="Palatino Linotype" w:hAnsi="Palatino Linotype"/>
        </w:rPr>
      </w:pPr>
      <w:r w:rsidRPr="00D66245">
        <w:rPr>
          <w:rFonts w:ascii="Palatino Linotype" w:hAnsi="Palatino Linotype"/>
        </w:rPr>
        <w:t xml:space="preserve">En ambos sistemas, la apelación se concibe como un remedio ordinario. </w:t>
      </w:r>
    </w:p>
    <w:p w14:paraId="647CF9C5" w14:textId="77777777" w:rsidR="00105650" w:rsidRPr="00D66245" w:rsidRDefault="00105650" w:rsidP="00105650">
      <w:pPr>
        <w:numPr>
          <w:ilvl w:val="0"/>
          <w:numId w:val="49"/>
        </w:numPr>
        <w:spacing w:after="0" w:line="240" w:lineRule="auto"/>
        <w:ind w:left="0" w:firstLine="851"/>
        <w:jc w:val="both"/>
        <w:rPr>
          <w:rFonts w:ascii="Palatino Linotype" w:hAnsi="Palatino Linotype"/>
        </w:rPr>
      </w:pPr>
      <w:r w:rsidRPr="00D66245">
        <w:rPr>
          <w:rFonts w:ascii="Palatino Linotype" w:hAnsi="Palatino Linotype"/>
        </w:rPr>
        <w:t>El número de resoluciones apelables se rige, en ambos Códigos, por el principio de taxatividad.</w:t>
      </w:r>
    </w:p>
    <w:p w14:paraId="2986E0EC" w14:textId="77777777" w:rsidR="00105650" w:rsidRPr="00D66245" w:rsidRDefault="00105650" w:rsidP="00105650">
      <w:pPr>
        <w:spacing w:after="0" w:line="240" w:lineRule="auto"/>
        <w:jc w:val="both"/>
        <w:rPr>
          <w:rFonts w:ascii="Palatino Linotype" w:hAnsi="Palatino Linotype"/>
          <w:b/>
        </w:rPr>
      </w:pPr>
      <w:r w:rsidRPr="00D66245">
        <w:rPr>
          <w:rFonts w:ascii="Palatino Linotype" w:hAnsi="Palatino Linotype"/>
          <w:b/>
        </w:rPr>
        <w:t>2. ASPECTOS DIFERENCIADORES:</w:t>
      </w:r>
    </w:p>
    <w:p w14:paraId="366F75DB" w14:textId="77777777" w:rsidR="00105650" w:rsidRPr="00D66245" w:rsidRDefault="00105650" w:rsidP="00105650">
      <w:pPr>
        <w:spacing w:after="0" w:line="240" w:lineRule="auto"/>
        <w:ind w:left="708"/>
        <w:jc w:val="both"/>
        <w:rPr>
          <w:rFonts w:ascii="Palatino Linotype" w:hAnsi="Palatino Linotype"/>
        </w:rPr>
      </w:pPr>
      <w:r w:rsidRPr="00D66245">
        <w:rPr>
          <w:rFonts w:ascii="Palatino Linotype" w:hAnsi="Palatino Linotype"/>
        </w:rPr>
        <w:t>a) Órgano ante el que se debe interponer la apelación.</w:t>
      </w:r>
    </w:p>
    <w:p w14:paraId="6D092E45" w14:textId="77777777" w:rsidR="00105650" w:rsidRPr="00D66245" w:rsidRDefault="00105650" w:rsidP="00105650">
      <w:pPr>
        <w:spacing w:after="0" w:line="240" w:lineRule="auto"/>
        <w:ind w:left="708"/>
        <w:jc w:val="both"/>
        <w:rPr>
          <w:rFonts w:ascii="Palatino Linotype" w:hAnsi="Palatino Linotype"/>
        </w:rPr>
      </w:pPr>
      <w:r w:rsidRPr="00D66245">
        <w:rPr>
          <w:rFonts w:ascii="Palatino Linotype" w:hAnsi="Palatino Linotype"/>
        </w:rPr>
        <w:t>b) Recursos contra la admisión o rechazo del recurso.</w:t>
      </w:r>
    </w:p>
    <w:p w14:paraId="1440F37F" w14:textId="77777777" w:rsidR="00105650" w:rsidRPr="00D66245" w:rsidRDefault="00105650" w:rsidP="00105650">
      <w:pPr>
        <w:spacing w:after="0" w:line="240" w:lineRule="auto"/>
        <w:ind w:left="708"/>
        <w:jc w:val="both"/>
        <w:rPr>
          <w:rFonts w:ascii="Palatino Linotype" w:hAnsi="Palatino Linotype"/>
          <w:b/>
        </w:rPr>
      </w:pPr>
      <w:r w:rsidRPr="00D66245">
        <w:rPr>
          <w:rFonts w:ascii="Palatino Linotype" w:hAnsi="Palatino Linotype"/>
        </w:rPr>
        <w:t>c) Naturaleza del trámite y de la resolución (oral o escrito).</w:t>
      </w:r>
    </w:p>
    <w:p w14:paraId="1ACA0E4E" w14:textId="77777777" w:rsidR="00105650" w:rsidRPr="00D66245" w:rsidRDefault="00105650" w:rsidP="00105650">
      <w:pPr>
        <w:spacing w:after="0" w:line="240" w:lineRule="auto"/>
        <w:ind w:left="708"/>
        <w:jc w:val="both"/>
        <w:rPr>
          <w:rFonts w:ascii="Palatino Linotype" w:hAnsi="Palatino Linotype"/>
        </w:rPr>
      </w:pPr>
      <w:r w:rsidRPr="00D66245">
        <w:rPr>
          <w:rFonts w:ascii="Palatino Linotype" w:hAnsi="Palatino Linotype"/>
        </w:rPr>
        <w:t xml:space="preserve">d) Resoluciones apelables: las sentencias. </w:t>
      </w:r>
    </w:p>
    <w:p w14:paraId="54937E88" w14:textId="77777777" w:rsidR="00105650" w:rsidRPr="00D66245" w:rsidRDefault="00105650" w:rsidP="00105650">
      <w:pPr>
        <w:spacing w:after="0" w:line="240" w:lineRule="auto"/>
        <w:ind w:left="708"/>
        <w:jc w:val="both"/>
        <w:rPr>
          <w:rFonts w:ascii="Palatino Linotype" w:hAnsi="Palatino Linotype"/>
        </w:rPr>
      </w:pPr>
      <w:r w:rsidRPr="00D66245">
        <w:rPr>
          <w:rFonts w:ascii="Palatino Linotype" w:hAnsi="Palatino Linotype"/>
        </w:rPr>
        <w:t>e) Otros aspectos regulados en el CPCA. Disposiciones generalidades sobre la apelación.</w:t>
      </w:r>
    </w:p>
    <w:p w14:paraId="396A0A16" w14:textId="77777777" w:rsidR="00105650" w:rsidRPr="00D66245" w:rsidRDefault="00105650" w:rsidP="00105650">
      <w:pPr>
        <w:spacing w:after="0" w:line="240" w:lineRule="auto"/>
        <w:jc w:val="both"/>
        <w:rPr>
          <w:rFonts w:ascii="Palatino Linotype" w:hAnsi="Palatino Linotype"/>
        </w:rPr>
      </w:pPr>
      <w:r w:rsidRPr="00D66245">
        <w:rPr>
          <w:rFonts w:ascii="Palatino Linotype" w:hAnsi="Palatino Linotype"/>
        </w:rPr>
        <w:t>IV. Finalmente, sobre el impacto de las reglas de la apelación del Nuevo Código Procesal Civil en la Jurisdicción Contencioso Administrativa.</w:t>
      </w:r>
      <w:r w:rsidRPr="00D66245">
        <w:rPr>
          <w:rFonts w:ascii="Palatino Linotype" w:hAnsi="Palatino Linotype"/>
          <w:b/>
        </w:rPr>
        <w:t xml:space="preserve"> </w:t>
      </w:r>
    </w:p>
    <w:p w14:paraId="3411D04D" w14:textId="77777777" w:rsidR="00105650" w:rsidRPr="00D66245" w:rsidRDefault="00105650" w:rsidP="00105650">
      <w:pPr>
        <w:numPr>
          <w:ilvl w:val="0"/>
          <w:numId w:val="46"/>
        </w:numPr>
        <w:spacing w:after="0" w:line="240" w:lineRule="auto"/>
        <w:ind w:left="0" w:firstLine="0"/>
        <w:jc w:val="both"/>
        <w:rPr>
          <w:rFonts w:ascii="Palatino Linotype" w:hAnsi="Palatino Linotype"/>
        </w:rPr>
      </w:pPr>
      <w:r w:rsidRPr="00D66245">
        <w:rPr>
          <w:rFonts w:ascii="Palatino Linotype" w:hAnsi="Palatino Linotype"/>
        </w:rPr>
        <w:t>Sobre la renuncia del derecho a apelar una resolución.</w:t>
      </w:r>
    </w:p>
    <w:p w14:paraId="2A70D970" w14:textId="77777777" w:rsidR="00105650" w:rsidRPr="00D66245" w:rsidRDefault="00105650" w:rsidP="00105650">
      <w:pPr>
        <w:numPr>
          <w:ilvl w:val="0"/>
          <w:numId w:val="46"/>
        </w:numPr>
        <w:spacing w:after="0" w:line="240" w:lineRule="auto"/>
        <w:ind w:left="0" w:firstLine="0"/>
        <w:jc w:val="both"/>
        <w:rPr>
          <w:rFonts w:ascii="Palatino Linotype" w:hAnsi="Palatino Linotype"/>
        </w:rPr>
      </w:pPr>
      <w:r w:rsidRPr="00D66245">
        <w:rPr>
          <w:rFonts w:ascii="Palatino Linotype" w:hAnsi="Palatino Linotype"/>
        </w:rPr>
        <w:t xml:space="preserve">Sobre el derecho de desistir de una apelación y los efectos económicos del desistimiento. </w:t>
      </w:r>
    </w:p>
    <w:p w14:paraId="465271C2" w14:textId="77777777" w:rsidR="00105650" w:rsidRPr="00D66245" w:rsidRDefault="00105650" w:rsidP="00105650">
      <w:pPr>
        <w:numPr>
          <w:ilvl w:val="0"/>
          <w:numId w:val="46"/>
        </w:numPr>
        <w:spacing w:after="0" w:line="240" w:lineRule="auto"/>
        <w:ind w:left="0" w:firstLine="0"/>
        <w:jc w:val="both"/>
        <w:rPr>
          <w:rFonts w:ascii="Palatino Linotype" w:hAnsi="Palatino Linotype"/>
        </w:rPr>
      </w:pPr>
      <w:r w:rsidRPr="00D66245">
        <w:rPr>
          <w:rFonts w:ascii="Palatino Linotype" w:hAnsi="Palatino Linotype"/>
        </w:rPr>
        <w:t>Sobre el deber de presentar la apelación debidamente fundamentada.-</w:t>
      </w:r>
    </w:p>
    <w:p w14:paraId="63E2F1AC" w14:textId="77777777" w:rsidR="00105650" w:rsidRPr="00D66245" w:rsidRDefault="00105650" w:rsidP="00105650">
      <w:pPr>
        <w:numPr>
          <w:ilvl w:val="0"/>
          <w:numId w:val="46"/>
        </w:numPr>
        <w:spacing w:after="0" w:line="240" w:lineRule="auto"/>
        <w:ind w:left="0" w:firstLine="0"/>
        <w:jc w:val="both"/>
        <w:rPr>
          <w:rFonts w:ascii="Palatino Linotype" w:hAnsi="Palatino Linotype"/>
        </w:rPr>
      </w:pPr>
      <w:r w:rsidRPr="00D66245">
        <w:rPr>
          <w:rFonts w:ascii="Palatino Linotype" w:hAnsi="Palatino Linotype"/>
        </w:rPr>
        <w:t xml:space="preserve">Sobre la prohibición de la reforma en perjuicio de la persona apelante. </w:t>
      </w:r>
    </w:p>
    <w:p w14:paraId="145E374B" w14:textId="77777777" w:rsidR="00105650" w:rsidRPr="00D66245" w:rsidRDefault="00105650" w:rsidP="00105650">
      <w:pPr>
        <w:numPr>
          <w:ilvl w:val="0"/>
          <w:numId w:val="46"/>
        </w:numPr>
        <w:spacing w:after="0" w:line="240" w:lineRule="auto"/>
        <w:ind w:left="0" w:firstLine="0"/>
        <w:jc w:val="both"/>
        <w:rPr>
          <w:rFonts w:ascii="Palatino Linotype" w:hAnsi="Palatino Linotype"/>
        </w:rPr>
      </w:pPr>
      <w:r w:rsidRPr="00D66245">
        <w:rPr>
          <w:rFonts w:ascii="Palatino Linotype" w:hAnsi="Palatino Linotype"/>
        </w:rPr>
        <w:t>Sobre las reglas de la legitimación para apelar.</w:t>
      </w:r>
    </w:p>
    <w:p w14:paraId="7D7BE99F" w14:textId="77777777" w:rsidR="00105650" w:rsidRPr="00D66245" w:rsidRDefault="00105650" w:rsidP="00105650">
      <w:pPr>
        <w:numPr>
          <w:ilvl w:val="0"/>
          <w:numId w:val="46"/>
        </w:numPr>
        <w:spacing w:after="0" w:line="240" w:lineRule="auto"/>
        <w:ind w:left="0" w:firstLine="0"/>
        <w:jc w:val="both"/>
        <w:rPr>
          <w:rFonts w:ascii="Palatino Linotype" w:hAnsi="Palatino Linotype"/>
        </w:rPr>
      </w:pPr>
      <w:r w:rsidRPr="00D66245">
        <w:rPr>
          <w:rFonts w:ascii="Palatino Linotype" w:hAnsi="Palatino Linotype"/>
        </w:rPr>
        <w:t>Por último, reglas sobre la prueba en segunda instancia.</w:t>
      </w:r>
    </w:p>
    <w:p w14:paraId="15BE6D81" w14:textId="75A26744" w:rsidR="00105650" w:rsidRDefault="00105650" w:rsidP="00105650">
      <w:pPr>
        <w:numPr>
          <w:ilvl w:val="0"/>
          <w:numId w:val="47"/>
        </w:numPr>
        <w:spacing w:after="0" w:line="240" w:lineRule="auto"/>
        <w:ind w:left="0" w:firstLine="0"/>
        <w:jc w:val="both"/>
        <w:rPr>
          <w:rFonts w:ascii="Palatino Linotype" w:hAnsi="Palatino Linotype"/>
        </w:rPr>
      </w:pPr>
      <w:r w:rsidRPr="00D66245">
        <w:rPr>
          <w:rFonts w:ascii="Palatino Linotype" w:hAnsi="Palatino Linotype"/>
        </w:rPr>
        <w:t>Conclusiones.</w:t>
      </w:r>
    </w:p>
    <w:p w14:paraId="72609323" w14:textId="1F0301F7" w:rsidR="00D141D3" w:rsidRPr="00D66245" w:rsidRDefault="00D141D3" w:rsidP="00105650">
      <w:pPr>
        <w:numPr>
          <w:ilvl w:val="0"/>
          <w:numId w:val="47"/>
        </w:numPr>
        <w:spacing w:after="0" w:line="240" w:lineRule="auto"/>
        <w:ind w:left="0" w:firstLine="0"/>
        <w:jc w:val="both"/>
        <w:rPr>
          <w:rFonts w:ascii="Palatino Linotype" w:hAnsi="Palatino Linotype"/>
        </w:rPr>
      </w:pPr>
      <w:r>
        <w:rPr>
          <w:rFonts w:ascii="Palatino Linotype" w:hAnsi="Palatino Linotype"/>
        </w:rPr>
        <w:t>Anexo I</w:t>
      </w:r>
    </w:p>
    <w:p w14:paraId="3CEC752F" w14:textId="7AD9A9B4" w:rsidR="00105650" w:rsidRPr="00D141D3" w:rsidRDefault="00105650" w:rsidP="00D141D3">
      <w:pPr>
        <w:spacing w:before="120" w:after="200" w:line="240" w:lineRule="auto"/>
        <w:ind w:left="360"/>
        <w:jc w:val="center"/>
        <w:rPr>
          <w:rFonts w:ascii="Palatino Linotype" w:hAnsi="Palatino Linotype"/>
          <w:lang w:val="es-CR"/>
        </w:rPr>
      </w:pPr>
      <w:r w:rsidRPr="00D141D3">
        <w:rPr>
          <w:rFonts w:ascii="Palatino Linotype" w:hAnsi="Palatino Linotype"/>
          <w:b/>
          <w:lang w:val="es-CR"/>
        </w:rPr>
        <w:lastRenderedPageBreak/>
        <w:t>La apelación contencioso administrativa. Impacto del nuevo Código Procesal Civil</w:t>
      </w:r>
    </w:p>
    <w:p w14:paraId="56585A4C" w14:textId="77777777" w:rsidR="00105650" w:rsidRPr="00D66245" w:rsidRDefault="00105650" w:rsidP="00105650">
      <w:pPr>
        <w:spacing w:before="120" w:after="200" w:line="240" w:lineRule="auto"/>
        <w:jc w:val="right"/>
        <w:rPr>
          <w:rFonts w:ascii="Palatino Linotype" w:hAnsi="Palatino Linotype"/>
          <w:b/>
        </w:rPr>
      </w:pPr>
      <w:r w:rsidRPr="00D66245">
        <w:rPr>
          <w:rFonts w:ascii="Palatino Linotype" w:hAnsi="Palatino Linotype"/>
          <w:b/>
          <w:i/>
        </w:rPr>
        <w:t>Hubert Fernández Argüello</w:t>
      </w:r>
      <w:r w:rsidRPr="00D66245">
        <w:rPr>
          <w:rStyle w:val="Refdenotaalpie"/>
          <w:rFonts w:ascii="Palatino Linotype" w:hAnsi="Palatino Linotype"/>
          <w:b/>
          <w:i/>
        </w:rPr>
        <w:footnoteReference w:id="176"/>
      </w:r>
    </w:p>
    <w:p w14:paraId="168D07BA" w14:textId="77777777" w:rsidR="00105650" w:rsidRPr="00D66245" w:rsidRDefault="00105650" w:rsidP="00105650">
      <w:pPr>
        <w:spacing w:before="120" w:after="200" w:line="240" w:lineRule="auto"/>
        <w:ind w:left="1428"/>
        <w:jc w:val="both"/>
        <w:rPr>
          <w:rFonts w:ascii="Palatino Linotype" w:hAnsi="Palatino Linotype"/>
          <w:b/>
        </w:rPr>
      </w:pPr>
    </w:p>
    <w:p w14:paraId="3B6E368C" w14:textId="27372D9F" w:rsidR="00105650" w:rsidRPr="00D66245" w:rsidRDefault="00105650" w:rsidP="00105650">
      <w:pPr>
        <w:numPr>
          <w:ilvl w:val="0"/>
          <w:numId w:val="39"/>
        </w:numPr>
        <w:spacing w:before="120" w:after="200" w:line="240" w:lineRule="auto"/>
        <w:ind w:left="0" w:firstLine="0"/>
        <w:jc w:val="both"/>
        <w:rPr>
          <w:rFonts w:ascii="Palatino Linotype" w:hAnsi="Palatino Linotype"/>
          <w:b/>
        </w:rPr>
      </w:pPr>
      <w:r w:rsidRPr="00D66245">
        <w:rPr>
          <w:rFonts w:ascii="Palatino Linotype" w:hAnsi="Palatino Linotype"/>
          <w:b/>
        </w:rPr>
        <w:t xml:space="preserve">Notas introductorias. En general, sobre la autonomía del Derecho Procesal Administrativo y la aplicación de normas y principios del proceso civil, en la Jurisdicción Contencioso Administrativa. </w:t>
      </w:r>
    </w:p>
    <w:p w14:paraId="0E2F79BF"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El Derecho Procesal Administrativo costarricense, ha dado en los últimos años, pasos agigantados para el logro de su plena autonomía como disciplina jurídica; sobre todo, con la entrada en vigencia del Código Procesal Contencioso Administrativo (CPCA), en el año 2008; una de cuyas aspiraciones esenciales fue la de convertirse en un instrumento normativo autosuficiente, capaz de dar solución, por sí solo, a toda vicisitud procesal surgida del trámite y resolución del proceso contencioso administrativo.-</w:t>
      </w:r>
    </w:p>
    <w:p w14:paraId="4E5E428B"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Esa pretensión, compartida sin duda por quienes día a día asumimos el reto de aplicar adecuadamente sus normas y principios, encuentra su fundamento en el numeral 49 de la Constitución Política, que establece la jurisdicción contencioso administrativa, como atribución del Poder Judicial, para la defensa y protección de las situaciones jurídicas de todas persona, frente a la arbitrariedad estatal, así como para el control de la legalidad de la función administrativa del Estado y los demás entes públicos. </w:t>
      </w:r>
    </w:p>
    <w:p w14:paraId="112BA424"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La doctrina nacional, afirma que se trata de un verdadero </w:t>
      </w:r>
      <w:r w:rsidRPr="00D66245">
        <w:rPr>
          <w:rFonts w:ascii="Palatino Linotype" w:hAnsi="Palatino Linotype"/>
          <w:i/>
        </w:rPr>
        <w:t>lineamiento constitucional de autonomía reguladora</w:t>
      </w:r>
      <w:r w:rsidRPr="00D66245">
        <w:rPr>
          <w:rFonts w:ascii="Palatino Linotype" w:hAnsi="Palatino Linotype"/>
        </w:rPr>
        <w:t xml:space="preserve"> y que</w:t>
      </w:r>
    </w:p>
    <w:p w14:paraId="5244C428" w14:textId="77777777" w:rsidR="00105650" w:rsidRPr="00D66245" w:rsidRDefault="00105650" w:rsidP="00105650">
      <w:pPr>
        <w:spacing w:before="120" w:after="200"/>
        <w:ind w:left="708" w:firstLine="1"/>
        <w:jc w:val="both"/>
        <w:rPr>
          <w:rFonts w:ascii="Palatino Linotype" w:hAnsi="Palatino Linotype"/>
        </w:rPr>
      </w:pPr>
      <w:r w:rsidRPr="00D66245">
        <w:rPr>
          <w:rFonts w:ascii="Palatino Linotype" w:hAnsi="Palatino Linotype"/>
        </w:rPr>
        <w:lastRenderedPageBreak/>
        <w:t xml:space="preserve">“…por disposición constitucional, el Código recoge sus elementos primordiales: de una parte, el elenco normativo se constituye en Código, en cuanto unidad formal y material para ser una realidad normativa compacta, facilitando la interpretación dogmática y, en segundo lugar, se refuerza la autonomía garantizada y protegida frente a la realidad ontológica y teleológica de rango constitucional. Tal autonomía activa y organizacional para el restablecimiento del ordenamiento jurídico público (escrito y no escrito) y la protección efectiva de los intereses legítimos y los derechos subjetivos, confirma la trascendencia de esta jurisdicción como mecanismo reparador y protector de las situaciones jurídicas  eventualmente afectadas, con la inmisión indebida del poder público a través de su multiplicado universo de órganos y entes con sus funcionarios  generalmente de </w:t>
      </w:r>
      <w:r w:rsidRPr="00D66245">
        <w:rPr>
          <w:rFonts w:ascii="Palatino Linotype" w:hAnsi="Palatino Linotype"/>
          <w:i/>
        </w:rPr>
        <w:t xml:space="preserve">iure </w:t>
      </w:r>
      <w:r w:rsidRPr="00D66245">
        <w:rPr>
          <w:rFonts w:ascii="Palatino Linotype" w:hAnsi="Palatino Linotype"/>
        </w:rPr>
        <w:t xml:space="preserve">y excepcionalmente de hecho” </w:t>
      </w:r>
      <w:r w:rsidRPr="00D66245">
        <w:rPr>
          <w:rStyle w:val="Refdenotaalpie"/>
          <w:rFonts w:ascii="Palatino Linotype" w:hAnsi="Palatino Linotype"/>
        </w:rPr>
        <w:footnoteReference w:id="177"/>
      </w:r>
    </w:p>
    <w:p w14:paraId="33260C85" w14:textId="77777777" w:rsidR="00105650" w:rsidRPr="00D66245" w:rsidRDefault="00105650" w:rsidP="00105650">
      <w:pPr>
        <w:spacing w:before="120" w:after="200"/>
        <w:ind w:firstLine="1"/>
        <w:jc w:val="both"/>
        <w:rPr>
          <w:rFonts w:ascii="Palatino Linotype" w:hAnsi="Palatino Linotype"/>
        </w:rPr>
      </w:pPr>
      <w:r w:rsidRPr="00D66245">
        <w:rPr>
          <w:rFonts w:ascii="Palatino Linotype" w:hAnsi="Palatino Linotype"/>
        </w:rPr>
        <w:tab/>
        <w:t>La aseveración anterior resulta relevante, dado que constituye el punto de partida para el análisis del tema objeto de esta ponencia, consistente en determinar si el nuevo Código Procesal Civil, ley #9342, vigente desde el 08 de octubre de 2018 (NCPC), tendrá un efectivo impacto en el trámite y resolución del recurso de apelación previsto en el CPCA.-</w:t>
      </w:r>
    </w:p>
    <w:p w14:paraId="55BB29ED" w14:textId="77777777" w:rsidR="00105650" w:rsidRPr="00D66245" w:rsidRDefault="00105650" w:rsidP="00105650">
      <w:pPr>
        <w:spacing w:before="120" w:after="200"/>
        <w:ind w:firstLine="1"/>
        <w:jc w:val="both"/>
        <w:rPr>
          <w:rFonts w:ascii="Palatino Linotype" w:hAnsi="Palatino Linotype"/>
        </w:rPr>
      </w:pPr>
      <w:r w:rsidRPr="00D66245">
        <w:rPr>
          <w:rFonts w:ascii="Palatino Linotype" w:hAnsi="Palatino Linotype"/>
        </w:rPr>
        <w:tab/>
        <w:t xml:space="preserve">La primera cuestión que debe plantearse, es si la eventual aplicación de la normativa procesal civil, al proceso contencioso administrativo, atenta contra la autonomía antes aludida; valga decir, si es contrario al ordenamiento jurídico el que las lagunas o vacíos del CPCA, puedan llenarse mediante la aplicación de las reglas y principios de la normativa procesal civil, de reciente aprobación.- </w:t>
      </w:r>
    </w:p>
    <w:p w14:paraId="08443A40" w14:textId="77777777" w:rsidR="00105650" w:rsidRPr="00D66245" w:rsidRDefault="00105650" w:rsidP="00105650">
      <w:pPr>
        <w:spacing w:before="120" w:after="200"/>
        <w:ind w:firstLine="1"/>
        <w:jc w:val="both"/>
        <w:rPr>
          <w:rFonts w:ascii="Palatino Linotype" w:hAnsi="Palatino Linotype"/>
        </w:rPr>
      </w:pPr>
      <w:r w:rsidRPr="00D66245">
        <w:rPr>
          <w:rFonts w:ascii="Palatino Linotype" w:hAnsi="Palatino Linotype"/>
        </w:rPr>
        <w:tab/>
        <w:t xml:space="preserve">La respuesta a esa interrogante debe ser negativa; primero, porque el reconocimiento de la Jurisdicción Contencioso Administrativa, como atribución constitucional asignada al Poder Judicial, no constituye per se, un impedimento para la aplicación supletoria de la normativa procesal civil, o </w:t>
      </w:r>
      <w:r w:rsidRPr="00D66245">
        <w:rPr>
          <w:rFonts w:ascii="Palatino Linotype" w:hAnsi="Palatino Linotype"/>
        </w:rPr>
        <w:lastRenderedPageBreak/>
        <w:t xml:space="preserve">la de otros códigos procesales, a fin de dar solución a una cuestión no prevista o insuficientemente regulada en el CPCA.- </w:t>
      </w:r>
    </w:p>
    <w:p w14:paraId="3C7B51DD"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Todo lo contrario: el derecho a la tutela judicial, así como los principios de seguridad jurídica y de plenitud hermética del ordenamiento jurídico, justifican e imponen a las personas juzgadoras, su deber de acudir a otros ordenamientos procesales para suplir las omisiones legislativas, allí cuando resulte indispensable, dado que no es posible invocar una laguna en la ley especial, para impedir el desarrollo de un proceso, ni la solución de un conflicto sometido a su conocimiento.-</w:t>
      </w:r>
    </w:p>
    <w:p w14:paraId="62004FFE"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De entrada, debe reconocerse pues, que esa pretendida autonomía, no es motivo válido para afirmar, de manera tajante, la desaplicación absoluta de los principios del proceso civil en la Jurisdicción Contencioso Administrativa.- </w:t>
      </w:r>
    </w:p>
    <w:p w14:paraId="4109B2C4"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Por supuesto que, como principio, de previo a acudir a otras normas o principios del Derecho común, debe hacerse primero un esfuerzo por encontrar la solución al predicamento procesal, en el propio ordenamiento jurídico administrativo, tal cual lo indica este último, de modo que si y solo si este último resulta insuficiente, habrá de acudirse a los principios del Derecho Procesal, entre ellos, los regulados en el NCPC.-</w:t>
      </w:r>
    </w:p>
    <w:p w14:paraId="2C1BEDD5"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En efecto, el ordenamiento jurídico público, autoriza expresamente acudir en estos casos, a los principios del proceso común. </w:t>
      </w:r>
    </w:p>
    <w:p w14:paraId="467FDC0C"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Sin perjuicio de otras disposiciones que se analizarán más adelante, cabe indicar por lo pronto, que el CPCA, en su artículo 220, dispone expresamente que” </w:t>
      </w:r>
      <w:r w:rsidRPr="00D66245">
        <w:rPr>
          <w:rFonts w:ascii="Palatino Linotype" w:hAnsi="Palatino Linotype"/>
          <w:i/>
        </w:rPr>
        <w:t>“Para lo no previsto expresamente en este Código, se aplicarán los principios del Derecho Público y procesal en general”</w:t>
      </w:r>
      <w:r w:rsidRPr="00D66245">
        <w:rPr>
          <w:rFonts w:ascii="Palatino Linotype" w:hAnsi="Palatino Linotype"/>
        </w:rPr>
        <w:t>, con lo cual es claro que sí existe habilitación legislativa para acudir a principios procesales de otros órdenes jurídicos, con independencia de la norma legal que los sustente.-</w:t>
      </w:r>
    </w:p>
    <w:p w14:paraId="32297FC4"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Y algo similar ocurre con la Ley General de la Administración Pública, cuyo Libro Segundo, relativo al procedimiento administrativo, establece, en su artículo 229: </w:t>
      </w:r>
      <w:r w:rsidRPr="00D66245">
        <w:rPr>
          <w:rFonts w:ascii="Palatino Linotype" w:hAnsi="Palatino Linotype"/>
          <w:i/>
        </w:rPr>
        <w:t xml:space="preserve">“1. El presente Libro regirá los procedimientos de toda la Administración, salvo disposición que se le oponga. 2. En ausencia de </w:t>
      </w:r>
      <w:r w:rsidRPr="00D66245">
        <w:rPr>
          <w:rFonts w:ascii="Palatino Linotype" w:hAnsi="Palatino Linotype"/>
          <w:i/>
        </w:rPr>
        <w:lastRenderedPageBreak/>
        <w:t>disposición expresa de su texto, se aplicarán supletoriamente, en lo que fueren compatibles, los demás Libros de esta Ley, el Código Procesal Contencioso Administrativo, las demás normas, escritas y no escritas, con rango legal o reglamentario, del ordenamiento administrativo y, en último término, el Código de Procedimientos Civiles, la Ley Orgánica del Poder Judicial y el resto del Derecho Común”.</w:t>
      </w:r>
    </w:p>
    <w:p w14:paraId="7D176003" w14:textId="77777777" w:rsidR="00105650" w:rsidRPr="00D66245" w:rsidRDefault="00105650" w:rsidP="00105650">
      <w:pPr>
        <w:spacing w:before="120" w:after="200"/>
        <w:ind w:firstLine="1"/>
        <w:jc w:val="both"/>
        <w:rPr>
          <w:rFonts w:ascii="Palatino Linotype" w:hAnsi="Palatino Linotype"/>
        </w:rPr>
      </w:pPr>
      <w:r w:rsidRPr="00D66245">
        <w:rPr>
          <w:rFonts w:ascii="Palatino Linotype" w:hAnsi="Palatino Linotype"/>
        </w:rPr>
        <w:tab/>
        <w:t>Por otra parte, si se revisan los antecedentes nacionales sobre el tema, es posible afirmar que a lo largo del tiempo, la aplicación de la normativa y los principios del proceso común al proceso contencioso administrativo, no ha sido ajena a esa Jurisdicción; antes bien, puede afirmarse que la remisión a aquélla ha sido, en general, de uso común.-</w:t>
      </w:r>
    </w:p>
    <w:p w14:paraId="04CB3CD1" w14:textId="77777777" w:rsidR="00105650" w:rsidRPr="00D66245" w:rsidRDefault="00105650" w:rsidP="00105650">
      <w:pPr>
        <w:spacing w:before="120" w:after="200"/>
        <w:ind w:firstLine="1"/>
        <w:jc w:val="both"/>
        <w:rPr>
          <w:rFonts w:ascii="Palatino Linotype" w:hAnsi="Palatino Linotype"/>
        </w:rPr>
      </w:pPr>
      <w:r w:rsidRPr="00D66245">
        <w:rPr>
          <w:rFonts w:ascii="Palatino Linotype" w:hAnsi="Palatino Linotype"/>
        </w:rPr>
        <w:tab/>
        <w:t>Resulta indispensable recordar, que Costa Rica no contó con una ley especial en esta materia, sino hasta la promulgación de la Ley Reguladora de la Jurisdicción Contencioso Administrativa, N°3667 del 12 de marzo de 1966.- Antes de esa fecha, los procesos contencioso administrativos, se regían por lo dispuesto en el Código de Procedimientos Civiles, que era la fuente primaria y esencial de todos los trámites y decisiones judiciales en dicha sede.-</w:t>
      </w:r>
    </w:p>
    <w:p w14:paraId="03E8DCCB" w14:textId="77777777" w:rsidR="00105650" w:rsidRPr="00D66245" w:rsidRDefault="00105650" w:rsidP="00105650">
      <w:pPr>
        <w:spacing w:before="120" w:after="200"/>
        <w:ind w:firstLine="1"/>
        <w:jc w:val="both"/>
        <w:rPr>
          <w:rFonts w:ascii="Palatino Linotype" w:hAnsi="Palatino Linotype"/>
        </w:rPr>
      </w:pPr>
      <w:r w:rsidRPr="00D66245">
        <w:rPr>
          <w:rFonts w:ascii="Palatino Linotype" w:hAnsi="Palatino Linotype"/>
        </w:rPr>
        <w:tab/>
        <w:t xml:space="preserve">La propia Ley Reguladora, que rigió por 41 años, desde 1966 y hasta el último día del 2007, contenía múltiples remisiones al Código Procesal Civil: en su artículo 3, por ejemplo, se establecía que los juicios no ordinarios atribuidos a la vía civil de hacienda se tramitarían, </w:t>
      </w:r>
      <w:r w:rsidRPr="00D66245">
        <w:rPr>
          <w:rFonts w:ascii="Palatino Linotype" w:hAnsi="Palatino Linotype"/>
          <w:i/>
        </w:rPr>
        <w:t>“de acuerdo con la tramitación señalada en el Código Procesal Civil o en leyes especiales”</w:t>
      </w:r>
      <w:r w:rsidRPr="00D66245">
        <w:rPr>
          <w:rFonts w:ascii="Palatino Linotype" w:hAnsi="Palatino Linotype"/>
        </w:rPr>
        <w:t xml:space="preserve">; el numeral 28.2 remitía al </w:t>
      </w:r>
      <w:r w:rsidRPr="00D66245">
        <w:rPr>
          <w:rFonts w:ascii="Palatino Linotype" w:hAnsi="Palatino Linotype"/>
          <w:i/>
        </w:rPr>
        <w:t>“Código de Procedimientos Civiles”</w:t>
      </w:r>
      <w:r w:rsidRPr="00D66245">
        <w:rPr>
          <w:rFonts w:ascii="Palatino Linotype" w:hAnsi="Palatino Linotype"/>
        </w:rPr>
        <w:t xml:space="preserve">, para la determinación de la cuantía del proceso, y el 30 señalaba que para fijar el valor de la pretensión </w:t>
      </w:r>
      <w:r w:rsidRPr="00D66245">
        <w:rPr>
          <w:rFonts w:ascii="Palatino Linotype" w:hAnsi="Palatino Linotype"/>
          <w:i/>
        </w:rPr>
        <w:t>“se tendrán en cuenta las normas de la legislación procesal civil”</w:t>
      </w:r>
      <w:r w:rsidRPr="00D66245">
        <w:rPr>
          <w:rFonts w:ascii="Palatino Linotype" w:hAnsi="Palatino Linotype"/>
        </w:rPr>
        <w:t xml:space="preserve">. El artículo 38, relativo a notificaciones y publicaciones, autorizaba a acudir a las leyes </w:t>
      </w:r>
      <w:r w:rsidRPr="00D66245">
        <w:rPr>
          <w:rFonts w:ascii="Palatino Linotype" w:hAnsi="Palatino Linotype"/>
          <w:i/>
        </w:rPr>
        <w:t>“del procesamiento civil”</w:t>
      </w:r>
      <w:r w:rsidRPr="00D66245">
        <w:rPr>
          <w:rFonts w:ascii="Palatino Linotype" w:hAnsi="Palatino Linotype"/>
        </w:rPr>
        <w:t xml:space="preserve">; el emplazamiento a los demandados, debía hacerse </w:t>
      </w:r>
      <w:r w:rsidRPr="00D66245">
        <w:rPr>
          <w:rFonts w:ascii="Palatino Linotype" w:hAnsi="Palatino Linotype"/>
          <w:i/>
        </w:rPr>
        <w:t>“en la misma forma dispuesta para el proceso civil”</w:t>
      </w:r>
      <w:r w:rsidRPr="00D66245">
        <w:rPr>
          <w:rFonts w:ascii="Palatino Linotype" w:hAnsi="Palatino Linotype"/>
        </w:rPr>
        <w:t xml:space="preserve">(artículo 44); la presentación de documentos, rezaba el artículo 48, </w:t>
      </w:r>
      <w:r w:rsidRPr="00D66245">
        <w:rPr>
          <w:rFonts w:ascii="Palatino Linotype" w:hAnsi="Palatino Linotype"/>
          <w:i/>
        </w:rPr>
        <w:t>“se regirá por la legislación procesal civil”</w:t>
      </w:r>
      <w:r w:rsidRPr="00D66245">
        <w:rPr>
          <w:rFonts w:ascii="Palatino Linotype" w:hAnsi="Palatino Linotype"/>
        </w:rPr>
        <w:t xml:space="preserve">; los recursos, conforme al artículo 70, salvo lo dispuesto por esa ley, </w:t>
      </w:r>
      <w:r w:rsidRPr="00D66245">
        <w:rPr>
          <w:rFonts w:ascii="Palatino Linotype" w:hAnsi="Palatino Linotype"/>
          <w:i/>
        </w:rPr>
        <w:t>“se regirán por la legislación procesal civil”</w:t>
      </w:r>
      <w:r w:rsidRPr="00D66245">
        <w:rPr>
          <w:rFonts w:ascii="Palatino Linotype" w:hAnsi="Palatino Linotype"/>
        </w:rPr>
        <w:t xml:space="preserve"> y, finalmente, el artículo 103, establecía que: </w:t>
      </w:r>
      <w:r w:rsidRPr="00D66245">
        <w:rPr>
          <w:rFonts w:ascii="Palatino Linotype" w:hAnsi="Palatino Linotype"/>
          <w:i/>
        </w:rPr>
        <w:lastRenderedPageBreak/>
        <w:t>“En lo no previsto por esta ley regirán, como supletorios, el Código de Procedimientos Civiles y las disposiciones orgánicas generales del Poder Judicial”</w:t>
      </w:r>
      <w:r w:rsidRPr="00D66245">
        <w:rPr>
          <w:rStyle w:val="Refdenotaalpie"/>
          <w:rFonts w:ascii="Palatino Linotype" w:hAnsi="Palatino Linotype"/>
        </w:rPr>
        <w:footnoteReference w:id="178"/>
      </w:r>
      <w:r w:rsidRPr="00D66245">
        <w:rPr>
          <w:rFonts w:ascii="Palatino Linotype" w:hAnsi="Palatino Linotype"/>
          <w:i/>
        </w:rPr>
        <w:t>.</w:t>
      </w:r>
    </w:p>
    <w:p w14:paraId="176B1A6F" w14:textId="77777777" w:rsidR="00105650" w:rsidRPr="00D66245" w:rsidRDefault="00105650" w:rsidP="00105650">
      <w:pPr>
        <w:spacing w:before="120" w:after="200"/>
        <w:ind w:firstLine="1"/>
        <w:jc w:val="both"/>
        <w:rPr>
          <w:rFonts w:ascii="Palatino Linotype" w:hAnsi="Palatino Linotype"/>
        </w:rPr>
      </w:pPr>
      <w:r w:rsidRPr="00D66245">
        <w:rPr>
          <w:rFonts w:ascii="Palatino Linotype" w:hAnsi="Palatino Linotype"/>
        </w:rPr>
        <w:tab/>
        <w:t xml:space="preserve">Evidentemente, con la promulgación del CPCA en el año 2006 y su entrada en vigencia en enero de 2008, esas remisiones a la normativa procesal civil, se limitaron de manera sustancial, aunque cabe reconocer que no se eliminaron del todo.- </w:t>
      </w:r>
    </w:p>
    <w:p w14:paraId="02E1E121"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Además de lo ya indicado en cuanto al artículo 220 del CPCA, hay otros supuestos, en los que expresamente  se cita el Código Procesal Civil. Tal es el caso de la aplicación de las causales de impedimento, recusación, excusa, su respectiva tramitación y sus recursos, aspectos ampliamente regulados para el proceso civil, pero escasamente abordados en el CPCA; este último, antes bien, indica en su artículo 8, en lo que interesa, que: </w:t>
      </w:r>
      <w:r w:rsidRPr="00D66245">
        <w:rPr>
          <w:rFonts w:ascii="Palatino Linotype" w:hAnsi="Palatino Linotype"/>
          <w:i/>
        </w:rPr>
        <w:t xml:space="preserve">“Además de lo previsto </w:t>
      </w:r>
      <w:r w:rsidRPr="00D66245">
        <w:rPr>
          <w:rFonts w:ascii="Palatino Linotype" w:hAnsi="Palatino Linotype"/>
          <w:i/>
          <w:u w:val="single"/>
        </w:rPr>
        <w:t>en el Código Procesal Civil</w:t>
      </w:r>
      <w:r w:rsidRPr="00D66245">
        <w:rPr>
          <w:rFonts w:ascii="Palatino Linotype" w:hAnsi="Palatino Linotype"/>
          <w:i/>
        </w:rPr>
        <w:t>, los jueces de lo Contencioso-Administrativo y Civil de Hacienda estarán sujetos a las siguientes causas de inhibitoria…”.-</w:t>
      </w:r>
      <w:r w:rsidRPr="00D66245">
        <w:rPr>
          <w:rFonts w:ascii="Palatino Linotype" w:hAnsi="Palatino Linotype"/>
        </w:rPr>
        <w:t xml:space="preserve"> </w:t>
      </w:r>
    </w:p>
    <w:p w14:paraId="2E86696F"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Del mismo modo, en el capítulo sobre la ejecución de las sentencias del CPCA y particularmente en lo relativo al cobro de multas a funcionarios que se muestren renuentes a cumplir con un fallo firme, se remite al trámite del proceso ejecutivo –monitorio- (artículo 160), y en lo relativo al remate, se indica que </w:t>
      </w:r>
      <w:r w:rsidRPr="00D66245">
        <w:rPr>
          <w:rFonts w:ascii="Palatino Linotype" w:hAnsi="Palatino Linotype"/>
          <w:i/>
        </w:rPr>
        <w:t xml:space="preserve">“Los bienes embargados serán puestos a disposición del juez ejecutor, para el respectivo remate, </w:t>
      </w:r>
      <w:r w:rsidRPr="00D66245">
        <w:rPr>
          <w:rFonts w:ascii="Palatino Linotype" w:hAnsi="Palatino Linotype"/>
          <w:i/>
          <w:u w:val="single"/>
        </w:rPr>
        <w:t>siguiendo los procedimientos y requisitos establecidos al efecto en la legislación procesal común”</w:t>
      </w:r>
      <w:r w:rsidRPr="00D66245">
        <w:rPr>
          <w:rFonts w:ascii="Palatino Linotype" w:hAnsi="Palatino Linotype"/>
        </w:rPr>
        <w:t xml:space="preserve"> (artículo 171.2).- </w:t>
      </w:r>
    </w:p>
    <w:p w14:paraId="758794E0" w14:textId="77777777" w:rsidR="00105650" w:rsidRPr="00D66245" w:rsidRDefault="00105650" w:rsidP="00105650">
      <w:pPr>
        <w:spacing w:before="120" w:after="200"/>
        <w:ind w:firstLine="708"/>
        <w:jc w:val="both"/>
        <w:rPr>
          <w:rFonts w:ascii="Palatino Linotype" w:hAnsi="Palatino Linotype"/>
          <w:i/>
        </w:rPr>
      </w:pPr>
      <w:r w:rsidRPr="00D66245">
        <w:rPr>
          <w:rFonts w:ascii="Palatino Linotype" w:hAnsi="Palatino Linotype"/>
        </w:rPr>
        <w:t xml:space="preserve">Algo similar ocurre con el denominado recurso extraordinario de revisión, previsto en el numeral artículo 154 del CPCA, conforme al cual, la revisión será de conocimiento de la Sala Primera de la Corte Suprema de Justicia, </w:t>
      </w:r>
      <w:r w:rsidRPr="00D66245">
        <w:rPr>
          <w:rFonts w:ascii="Palatino Linotype" w:hAnsi="Palatino Linotype"/>
          <w:i/>
          <w:u w:val="single"/>
        </w:rPr>
        <w:t>“en los mismos términos establecidos para el proceso civil”</w:t>
      </w:r>
      <w:r w:rsidRPr="00D66245">
        <w:rPr>
          <w:rFonts w:ascii="Palatino Linotype" w:hAnsi="Palatino Linotype"/>
          <w:i/>
        </w:rPr>
        <w:t>.</w:t>
      </w:r>
    </w:p>
    <w:p w14:paraId="6D674624"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Y el artículo 146 del mismo cuerpo legal, dispone que, estando en trámite el recurso de casación, </w:t>
      </w:r>
      <w:r w:rsidRPr="00D66245">
        <w:rPr>
          <w:rFonts w:ascii="Palatino Linotype" w:hAnsi="Palatino Linotype"/>
          <w:i/>
        </w:rPr>
        <w:t xml:space="preserve">“la parte victoriosa, en cualquier momento, </w:t>
      </w:r>
      <w:r w:rsidRPr="00D66245">
        <w:rPr>
          <w:rFonts w:ascii="Palatino Linotype" w:hAnsi="Palatino Linotype"/>
          <w:i/>
          <w:u w:val="single"/>
        </w:rPr>
        <w:t xml:space="preserve">por vía </w:t>
      </w:r>
      <w:r w:rsidRPr="00D66245">
        <w:rPr>
          <w:rFonts w:ascii="Palatino Linotype" w:hAnsi="Palatino Linotype"/>
          <w:i/>
          <w:u w:val="single"/>
        </w:rPr>
        <w:lastRenderedPageBreak/>
        <w:t>incidental</w:t>
      </w:r>
      <w:r w:rsidRPr="00D66245">
        <w:rPr>
          <w:rFonts w:ascii="Palatino Linotype" w:hAnsi="Palatino Linotype"/>
          <w:i/>
        </w:rPr>
        <w:t>, podrá solicitar al juez ejecutor la ejecución provisional de la sentencia en lo que se encuentre firme”.</w:t>
      </w:r>
      <w:r w:rsidRPr="00D66245">
        <w:rPr>
          <w:rFonts w:ascii="Palatino Linotype" w:hAnsi="Palatino Linotype"/>
        </w:rPr>
        <w:t xml:space="preserve"> La norma hace una clara remisión del Código Procesal Civil, pues los incidentes se regulan en este último y no en el CPCA.-</w:t>
      </w:r>
    </w:p>
    <w:p w14:paraId="2DFABB28"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Finalmente, cabe destacar que durante los 11 años y ya casi 5 meses de vigencia del CPCA, el Código Procesal Civil anterior, ha sido aplicado con bastante regularidad en la Jurisdicción Contencioso Administrativa, ello, en virtud de la autorización establecida en el artículo 220 antes aludido.- </w:t>
      </w:r>
      <w:r w:rsidRPr="00D66245">
        <w:rPr>
          <w:rFonts w:ascii="Palatino Linotype" w:hAnsi="Palatino Linotype"/>
          <w:i/>
        </w:rPr>
        <w:t xml:space="preserve"> </w:t>
      </w:r>
    </w:p>
    <w:p w14:paraId="06EAAC8D"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Ello ha sido así, por cuanto es en la normativa procesal civil, donde aparecen, en sentido amplio, la mayoría de los principios que rigen la actividad jurisdiccional del Estado y por eso, no es de extrañar que los tribunales de lo contencioso administrativo, acudan con frecuencia a dicha normativa, para solventar cuestiones no reguladas expresamente en la Ley 8508.-</w:t>
      </w:r>
    </w:p>
    <w:p w14:paraId="73EA477B"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Ejemplos claros y concretos de la anterior afirmación, lo constituyen el uso, por buena parte de las personas juzgadoras, de la figura de la deserción y sus principios (hoy caducidad), así como de las reglas sobre prejudicialidad; de las disposiciones sobre costas y honorarios; de las normas sobre garantías o cauciones; e incluso de los presupuestos necesarios para la imposición de medidas cautelares típicas, como la anotación de la demanda o el embargo preventivo, respecto de las cuales nada, o casi nada, establece el CPCA.-</w:t>
      </w:r>
    </w:p>
    <w:p w14:paraId="7DC5249A"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 Por todo lo anterior, no resulta extraño que, de cara a la celebración de este IX Congreso Internacional de Derecho Procesal, dedicado en buena parte al impacto del nuevo Código Procesal Civil sobre otra normativa procesal, se haya abierto un espacio para discutir cómo y de qué manera éste podría incidir en el proceso contencioso administrativo y, muy particularmente en el tema objeto de ponencia, que abordará la incidencia de esa nueva legislación, en el recurso de apelación contencioso administrativo.- </w:t>
      </w:r>
    </w:p>
    <w:p w14:paraId="0F1A2FF2" w14:textId="77777777" w:rsidR="00105650" w:rsidRPr="00D66245" w:rsidRDefault="00105650" w:rsidP="00105650">
      <w:pPr>
        <w:numPr>
          <w:ilvl w:val="0"/>
          <w:numId w:val="39"/>
        </w:numPr>
        <w:spacing w:before="120" w:after="200" w:line="276" w:lineRule="auto"/>
        <w:ind w:left="0" w:firstLine="0"/>
        <w:jc w:val="both"/>
        <w:rPr>
          <w:rFonts w:ascii="Palatino Linotype" w:hAnsi="Palatino Linotype"/>
          <w:b/>
        </w:rPr>
      </w:pPr>
      <w:r w:rsidRPr="00D66245">
        <w:rPr>
          <w:rFonts w:ascii="Palatino Linotype" w:hAnsi="Palatino Linotype"/>
          <w:b/>
        </w:rPr>
        <w:lastRenderedPageBreak/>
        <w:t xml:space="preserve">La apelación en el proceso contencioso administrativo y su regulación mínima. </w:t>
      </w:r>
    </w:p>
    <w:p w14:paraId="7AADFE19"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En la sede contencioso administrativa, la apelación aparece regulada en los artículos 132 y 133 del CPCA, normas que se desarrollan en el artículo 52 del Reglamento Autónomo de Organización y de Servicios de la Jurisdicción Contencioso Administrativa.</w:t>
      </w:r>
    </w:p>
    <w:p w14:paraId="7FFA0535"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Las resoluciones susceptibles de alzada, aparecen dispersas a lo largo del Código (artículos 28, 30, 61, 71.4 y 178).-</w:t>
      </w:r>
    </w:p>
    <w:p w14:paraId="35A6B379"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El CPCA, no se ocupó de regular los principios generales de este tipo de impugnaciones; antes bien, contiene una regulación más bien mínima, enfocada en su tramitación concreta y que puede resumirse de la siguiente manera: </w:t>
      </w:r>
    </w:p>
    <w:p w14:paraId="573FEE1D" w14:textId="77777777" w:rsidR="00105650" w:rsidRPr="00D66245" w:rsidRDefault="00105650" w:rsidP="00105650">
      <w:pPr>
        <w:numPr>
          <w:ilvl w:val="0"/>
          <w:numId w:val="43"/>
        </w:numPr>
        <w:spacing w:after="0" w:line="276" w:lineRule="auto"/>
        <w:ind w:left="1060" w:hanging="357"/>
        <w:jc w:val="both"/>
        <w:rPr>
          <w:rFonts w:ascii="Palatino Linotype" w:hAnsi="Palatino Linotype"/>
        </w:rPr>
      </w:pPr>
      <w:r w:rsidRPr="00D66245">
        <w:rPr>
          <w:rFonts w:ascii="Palatino Linotype" w:hAnsi="Palatino Linotype"/>
        </w:rPr>
        <w:t>la apelación cabe únicamente contra los autos, pero sólo si el Código lo dispone así expresamente (artículo 132, inciso 3);</w:t>
      </w:r>
    </w:p>
    <w:p w14:paraId="4A9EC17A" w14:textId="77777777" w:rsidR="00105650" w:rsidRPr="00D66245" w:rsidRDefault="00105650" w:rsidP="00105650">
      <w:pPr>
        <w:numPr>
          <w:ilvl w:val="0"/>
          <w:numId w:val="43"/>
        </w:numPr>
        <w:spacing w:after="0" w:line="276" w:lineRule="auto"/>
        <w:ind w:left="1060" w:hanging="357"/>
        <w:jc w:val="both"/>
        <w:rPr>
          <w:rFonts w:ascii="Palatino Linotype" w:hAnsi="Palatino Linotype"/>
        </w:rPr>
      </w:pPr>
      <w:r w:rsidRPr="00D66245">
        <w:rPr>
          <w:rFonts w:ascii="Palatino Linotype" w:hAnsi="Palatino Linotype"/>
        </w:rPr>
        <w:t>el plazo para su interposición es de tres días (artículo 133.1);</w:t>
      </w:r>
    </w:p>
    <w:p w14:paraId="47713139" w14:textId="77777777" w:rsidR="00105650" w:rsidRPr="00D66245" w:rsidRDefault="00105650" w:rsidP="00105650">
      <w:pPr>
        <w:numPr>
          <w:ilvl w:val="0"/>
          <w:numId w:val="43"/>
        </w:numPr>
        <w:spacing w:after="0" w:line="276" w:lineRule="auto"/>
        <w:ind w:left="1060" w:hanging="357"/>
        <w:jc w:val="both"/>
        <w:rPr>
          <w:rFonts w:ascii="Palatino Linotype" w:hAnsi="Palatino Linotype"/>
        </w:rPr>
      </w:pPr>
      <w:r w:rsidRPr="00D66245">
        <w:rPr>
          <w:rFonts w:ascii="Palatino Linotype" w:hAnsi="Palatino Linotype"/>
        </w:rPr>
        <w:t>se debe interponer directamente ante el Tribunal de Casación –Apelaciones- de lo Contencioso Administrativo y Civil de Hacienda (artículo 133.1);</w:t>
      </w:r>
    </w:p>
    <w:p w14:paraId="5C7A319F" w14:textId="77777777" w:rsidR="00105650" w:rsidRPr="00D66245" w:rsidRDefault="00105650" w:rsidP="00105650">
      <w:pPr>
        <w:numPr>
          <w:ilvl w:val="0"/>
          <w:numId w:val="43"/>
        </w:numPr>
        <w:spacing w:after="0" w:line="276" w:lineRule="auto"/>
        <w:ind w:left="1060" w:hanging="357"/>
        <w:jc w:val="both"/>
        <w:rPr>
          <w:rFonts w:ascii="Palatino Linotype" w:hAnsi="Palatino Linotype"/>
        </w:rPr>
      </w:pPr>
      <w:r w:rsidRPr="00D66245">
        <w:rPr>
          <w:rFonts w:ascii="Palatino Linotype" w:hAnsi="Palatino Linotype"/>
        </w:rPr>
        <w:t>no requiere formalidades esenciales (artículo 133.2);</w:t>
      </w:r>
    </w:p>
    <w:p w14:paraId="56CE7967" w14:textId="77777777" w:rsidR="00105650" w:rsidRPr="00D66245" w:rsidRDefault="00105650" w:rsidP="00105650">
      <w:pPr>
        <w:numPr>
          <w:ilvl w:val="0"/>
          <w:numId w:val="43"/>
        </w:numPr>
        <w:spacing w:after="0" w:line="276" w:lineRule="auto"/>
        <w:ind w:left="1060" w:hanging="357"/>
        <w:jc w:val="both"/>
        <w:rPr>
          <w:rFonts w:ascii="Palatino Linotype" w:hAnsi="Palatino Linotype"/>
        </w:rPr>
      </w:pPr>
      <w:r w:rsidRPr="00D66245">
        <w:rPr>
          <w:rFonts w:ascii="Palatino Linotype" w:hAnsi="Palatino Linotype"/>
        </w:rPr>
        <w:t>se tramita, necesariamente, en una audiencia  oral, en la cual se expresan agravios y conclusiones. La convocatoria a dicha audiencia, debe hacerse con al menos 3 días de anticipación (artículo 133.2);</w:t>
      </w:r>
    </w:p>
    <w:p w14:paraId="4A1439B0" w14:textId="77777777" w:rsidR="00105650" w:rsidRPr="00D66245" w:rsidRDefault="00105650" w:rsidP="00105650">
      <w:pPr>
        <w:numPr>
          <w:ilvl w:val="0"/>
          <w:numId w:val="43"/>
        </w:numPr>
        <w:spacing w:after="0" w:line="276" w:lineRule="auto"/>
        <w:ind w:left="1060" w:hanging="357"/>
        <w:jc w:val="both"/>
        <w:rPr>
          <w:rFonts w:ascii="Palatino Linotype" w:hAnsi="Palatino Linotype"/>
        </w:rPr>
      </w:pPr>
      <w:r w:rsidRPr="00D66245">
        <w:rPr>
          <w:rFonts w:ascii="Palatino Linotype" w:hAnsi="Palatino Linotype"/>
        </w:rPr>
        <w:t>si alguna de las partes o sus representantes tiene n justa causa para no asistir a la audiencia, deberán acreditarlo ante el Tribunal y en tal caso, se realizará un nuevo señalamiento (artículo 133.3); y</w:t>
      </w:r>
    </w:p>
    <w:p w14:paraId="04F5E38B" w14:textId="77777777" w:rsidR="00105650" w:rsidRPr="00D66245" w:rsidRDefault="00105650" w:rsidP="00105650">
      <w:pPr>
        <w:numPr>
          <w:ilvl w:val="0"/>
          <w:numId w:val="43"/>
        </w:numPr>
        <w:spacing w:after="0" w:line="276" w:lineRule="auto"/>
        <w:ind w:left="1060" w:hanging="357"/>
        <w:jc w:val="both"/>
        <w:rPr>
          <w:rFonts w:ascii="Palatino Linotype" w:hAnsi="Palatino Linotype"/>
        </w:rPr>
      </w:pPr>
      <w:r w:rsidRPr="00D66245">
        <w:rPr>
          <w:rFonts w:ascii="Palatino Linotype" w:hAnsi="Palatino Linotype"/>
        </w:rPr>
        <w:t>la inasistencia injustificada a la audiencia, por parte de la persona recurrente, da lugar a que el recurso se tenga por desistido, y por firme la resolución recurrida (artículo 133.4).-</w:t>
      </w:r>
    </w:p>
    <w:p w14:paraId="6826ED5D" w14:textId="77777777" w:rsidR="00105650" w:rsidRPr="00D66245" w:rsidRDefault="00105650" w:rsidP="00105650">
      <w:pPr>
        <w:spacing w:before="120" w:after="200"/>
        <w:ind w:firstLine="705"/>
        <w:jc w:val="both"/>
        <w:rPr>
          <w:rFonts w:ascii="Palatino Linotype" w:hAnsi="Palatino Linotype"/>
        </w:rPr>
      </w:pPr>
      <w:r w:rsidRPr="00D66245">
        <w:rPr>
          <w:rFonts w:ascii="Palatino Linotype" w:hAnsi="Palatino Linotype"/>
        </w:rPr>
        <w:lastRenderedPageBreak/>
        <w:t>Ninguna referencia concreta hay en el Código, sobre la legitimación para recurrir, la renuncia del derecho a apelar o a la posibilidad y efectos del desistimiento del recurso. Tampoco se regulan aspectos como la motivación de la impugnación, la prohibición de reforma en perjuicio, los efectos de la impugnación sobre los plazos, aspectos de orden general, pero de gran relevancia, que deben regirse por la aplicación de principios del Derecho Público y en su caso, Procesal en general.-</w:t>
      </w:r>
    </w:p>
    <w:p w14:paraId="386CE685" w14:textId="77777777" w:rsidR="00105650" w:rsidRPr="00D66245" w:rsidRDefault="00105650" w:rsidP="00105650">
      <w:pPr>
        <w:numPr>
          <w:ilvl w:val="0"/>
          <w:numId w:val="39"/>
        </w:numPr>
        <w:tabs>
          <w:tab w:val="left" w:pos="709"/>
        </w:tabs>
        <w:spacing w:before="120" w:after="200" w:line="276" w:lineRule="auto"/>
        <w:ind w:left="0" w:firstLine="0"/>
        <w:jc w:val="both"/>
        <w:rPr>
          <w:rFonts w:ascii="Palatino Linotype" w:hAnsi="Palatino Linotype"/>
          <w:b/>
        </w:rPr>
      </w:pPr>
      <w:r w:rsidRPr="00D66245">
        <w:rPr>
          <w:rFonts w:ascii="Palatino Linotype" w:hAnsi="Palatino Linotype"/>
          <w:b/>
        </w:rPr>
        <w:t>El recurso de apelación en el contencioso administrativo y en el proceso civil. Análisis comparativo.</w:t>
      </w:r>
    </w:p>
    <w:p w14:paraId="44D45F12"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Un primer acercamiento a la forma como el CPCA y el NCPC abordan el tema de los medios de impugnación de resoluciones judiciales, permite afirmar que existen varias coincidencias entre ambos, aunque también son notables sus diferencias, ello, en lo relativo a la regulación del recurso de apelación; unas y otras se revisarán de seguido, para determinar puntos de encuentro y, sobre todo, cuáles reglas y principios de la legislación procesal civil recién entrada en vigencia, pueden aplicarse –y de hecho se aplican- en el trámite y resolución de este tipo de recursos, en lo contencioso administrativo.</w:t>
      </w:r>
    </w:p>
    <w:p w14:paraId="22501ED1" w14:textId="77777777" w:rsidR="00105650" w:rsidRPr="00D66245" w:rsidRDefault="00105650" w:rsidP="00105650">
      <w:pPr>
        <w:numPr>
          <w:ilvl w:val="0"/>
          <w:numId w:val="41"/>
        </w:numPr>
        <w:spacing w:before="120" w:after="200" w:line="276" w:lineRule="auto"/>
        <w:ind w:left="0" w:firstLine="0"/>
        <w:jc w:val="both"/>
        <w:rPr>
          <w:rFonts w:ascii="Palatino Linotype" w:hAnsi="Palatino Linotype"/>
          <w:b/>
        </w:rPr>
      </w:pPr>
      <w:r w:rsidRPr="00D66245">
        <w:rPr>
          <w:rFonts w:ascii="Palatino Linotype" w:hAnsi="Palatino Linotype"/>
          <w:b/>
        </w:rPr>
        <w:t xml:space="preserve">ASPECTOS COMUNES: </w:t>
      </w:r>
    </w:p>
    <w:p w14:paraId="76BAF344" w14:textId="77777777" w:rsidR="00105650" w:rsidRPr="00D66245" w:rsidRDefault="00105650" w:rsidP="00105650">
      <w:pPr>
        <w:numPr>
          <w:ilvl w:val="0"/>
          <w:numId w:val="42"/>
        </w:numPr>
        <w:spacing w:before="120" w:after="200" w:line="276" w:lineRule="auto"/>
        <w:ind w:left="0" w:firstLine="0"/>
        <w:jc w:val="both"/>
        <w:rPr>
          <w:rFonts w:ascii="Palatino Linotype" w:hAnsi="Palatino Linotype"/>
          <w:b/>
        </w:rPr>
      </w:pPr>
      <w:r w:rsidRPr="00D66245">
        <w:rPr>
          <w:rFonts w:ascii="Palatino Linotype" w:hAnsi="Palatino Linotype"/>
          <w:b/>
        </w:rPr>
        <w:t>Ambos sistemas de impugnación, están fundados en los principios de la oralidad.</w:t>
      </w:r>
    </w:p>
    <w:p w14:paraId="7D137282"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En materia recursiva, el punto de partida de ambos textos normativos, para regular el sistema de los medios de impugnación es, evidentemente, la prevalencia que se otorga a la oralidad dentro del proceso.-</w:t>
      </w:r>
    </w:p>
    <w:p w14:paraId="6E1CDA56"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En los trámites predominantemente orales, por audiencias, regidos por principios como la inmediación y la concentración, la posibilidad de recurrir en alzada se reduce drásticamente y ello resulta muy claro, si se observa cómo tanto el CPCA como el NCPC, limitan a su mínima expresión el número de resoluciones pasibles de alzada, durante la tramitación de un asunto.-</w:t>
      </w:r>
    </w:p>
    <w:p w14:paraId="63F111D9"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lastRenderedPageBreak/>
        <w:t xml:space="preserve">Es en las audiencias, con la presencia de las partes, el juez y demás intervinientes, donde se admite y recibe en su caso la prueba, se discuten las diversas cuestiones, se escuchan alegatos y se decide, en forma oral y debidamente fundada. </w:t>
      </w:r>
    </w:p>
    <w:p w14:paraId="32468E5F"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Por ello, ambos modelos de impugnación, el procesal civil y el contencioso administrativo, potencian más la revocatoria, como medio de impugnación de lo decidido en audiencia, todo, con el fin de evitar que el traslado del expediente al superior, para el conocimiento de una eventual alzada, retarde en forma innecesaria o indebida los procedimientos. Lo que se busca, por supuesto, es evitar la suspensión de las audiencias e impedir la eventual acción dilatoria de las partes.-</w:t>
      </w:r>
    </w:p>
    <w:p w14:paraId="57D09280"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Así lo señala ampliamente el profesor López González</w:t>
      </w:r>
      <w:r w:rsidRPr="00D66245">
        <w:rPr>
          <w:rStyle w:val="Refdenotaalpie"/>
          <w:rFonts w:ascii="Palatino Linotype" w:hAnsi="Palatino Linotype"/>
          <w:vertAlign w:val="baseline"/>
        </w:rPr>
        <w:footnoteReference w:id="179"/>
      </w:r>
      <w:r w:rsidRPr="00D66245">
        <w:rPr>
          <w:rFonts w:ascii="Palatino Linotype" w:hAnsi="Palatino Linotype"/>
        </w:rPr>
        <w:t xml:space="preserve">, quien expresa que el análisis del sistema de impugnación en los procesos influenciados por la oralidad, debe hacerse a partir de su adecuación a los principios de inmediación y concentración. Desde su perspectiva, </w:t>
      </w:r>
    </w:p>
    <w:p w14:paraId="779116FB" w14:textId="77777777" w:rsidR="00105650" w:rsidRPr="00D66245" w:rsidRDefault="00105650" w:rsidP="00105650">
      <w:pPr>
        <w:spacing w:before="120" w:after="200"/>
        <w:ind w:left="708" w:firstLine="708"/>
        <w:jc w:val="both"/>
        <w:rPr>
          <w:rFonts w:ascii="Palatino Linotype" w:hAnsi="Palatino Linotype"/>
        </w:rPr>
      </w:pPr>
      <w:r w:rsidRPr="00D66245">
        <w:rPr>
          <w:rFonts w:ascii="Palatino Linotype" w:hAnsi="Palatino Linotype"/>
        </w:rPr>
        <w:t>“…sería impensable un sistema procesal en el que exista posibilidad de establecer recursos devolutivos contra las resoluciones interlocutorias dictadas en una audiencia oral, que permita la impugnación de las resoluciones con posterioridad a la audiencia, que consienta la interposición de recursos inmotivados, o admita que con el recurso se formulen nuevas alegaciones y se ofrezcan nuevas pruebas (…) esas impugnaciones no pueden tener como efecto que la audiencia oral deba suspenderse para que un órgano superior se pronuncie sobre el aspecto impugnado. De ser así, las audiencias serían interminables ante las innumerables suspensiones que provocarían las impugnaciones”.</w:t>
      </w:r>
    </w:p>
    <w:p w14:paraId="142B9D43"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 En esos aspectos, hay pues una importante coincidencia en ambos textos normativos. El CPCA, en su artículo 85, obliga a las personas juzgadoras a asegurar, durante las audiencias, el pleno respeto a los principios de la oralidad, así como a promover el contradictorio y velar por </w:t>
      </w:r>
      <w:r w:rsidRPr="00D66245">
        <w:rPr>
          <w:rFonts w:ascii="Palatino Linotype" w:hAnsi="Palatino Linotype"/>
        </w:rPr>
        <w:lastRenderedPageBreak/>
        <w:t xml:space="preserve">la concentración de los distintos actos procesales que corresponda celebrar. El numeral 89 ídem, dispone que contra las resoluciones dictadas en las audiencias lo que procede es la revocatoria, que debe interponerse en forma oral y justificada en el mismo acto. Ese recurso, debe resolverse además, de manera inmediata.- La apelación es excepcional.  </w:t>
      </w:r>
    </w:p>
    <w:p w14:paraId="683CD367"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El NCPC, por su parte, establece en su artículo 2.6 el principio de la oralidad, en el 2.7 la inmediación y en el 2.8 la concentración; el numeral 50.1 prevé la concentración de la actividad en las audiencias, y la imposibilidad de suspenderlas, salvo caso fortuito o fuerza mayor, contra los autos dictados en audiencia sólo procede revocatoria y al igual que en el caso anterior, debe interponerse de manera fundada y se resolverá inmediatamente por el Juez o la Jueza encargada de la audiencia. La apelación, es también excepcional.  </w:t>
      </w:r>
    </w:p>
    <w:p w14:paraId="0086FBE0" w14:textId="77777777" w:rsidR="00105650" w:rsidRPr="00D66245" w:rsidRDefault="00105650" w:rsidP="00105650">
      <w:pPr>
        <w:numPr>
          <w:ilvl w:val="0"/>
          <w:numId w:val="42"/>
        </w:numPr>
        <w:spacing w:before="120" w:after="200" w:line="276" w:lineRule="auto"/>
        <w:ind w:left="0" w:firstLine="0"/>
        <w:jc w:val="both"/>
        <w:rPr>
          <w:rFonts w:ascii="Palatino Linotype" w:hAnsi="Palatino Linotype"/>
          <w:b/>
        </w:rPr>
      </w:pPr>
      <w:r w:rsidRPr="00D66245">
        <w:rPr>
          <w:rFonts w:ascii="Palatino Linotype" w:hAnsi="Palatino Linotype"/>
          <w:b/>
        </w:rPr>
        <w:t xml:space="preserve">En ambos sistemas, la apelación se concibe como un remedio ordinario. </w:t>
      </w:r>
    </w:p>
    <w:p w14:paraId="5579719A"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La doctrina y la normativa, como se sabe, diferencian usualmente entre los medios de impugnación ordinarios y los extraordinarios. Dentro de los primeros, están la revocatoria y la apelación; dentro de los segundos, la casación, la casación en interés del ordenamiento jurídico (CPCA), la casación en interés de la ley y la casación en interés de la jurisprudencia (NCPC).- La revisión, por su parte, técnicamente no es un recurso; actualmente se le concibe más bien, como una verdadera demanda de nulidad contra sentencias firmes.-</w:t>
      </w:r>
    </w:p>
    <w:p w14:paraId="2F0807C0"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La apelación, participa de las características de los recursos ordinarios: los motivos que pueden justificar su interposición, no se encuentran en una lista cerrada y además, el órgano que conoce la alzada, no tiene delimitados sus poderes en el legislador</w:t>
      </w:r>
      <w:r w:rsidRPr="00D66245">
        <w:rPr>
          <w:rStyle w:val="Refdenotaalpie"/>
          <w:rFonts w:ascii="Palatino Linotype" w:hAnsi="Palatino Linotype"/>
        </w:rPr>
        <w:footnoteReference w:id="180"/>
      </w:r>
      <w:r w:rsidRPr="00D66245">
        <w:rPr>
          <w:rFonts w:ascii="Palatino Linotype" w:hAnsi="Palatino Linotype"/>
        </w:rPr>
        <w:t xml:space="preserve">.- </w:t>
      </w:r>
    </w:p>
    <w:p w14:paraId="621E17C8"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lastRenderedPageBreak/>
        <w:t>Tanto el CPCA, como el NCPC, coinciden en cuanto a la naturaleza de la apelación, pues el tratamiento que se le da a dicho remedio, es el de un recurso ordinario, con las características indicadas.</w:t>
      </w:r>
    </w:p>
    <w:p w14:paraId="378334FD" w14:textId="77777777" w:rsidR="00105650" w:rsidRPr="00D66245" w:rsidRDefault="00105650" w:rsidP="00105650">
      <w:pPr>
        <w:numPr>
          <w:ilvl w:val="0"/>
          <w:numId w:val="42"/>
        </w:numPr>
        <w:spacing w:before="120" w:after="200" w:line="276" w:lineRule="auto"/>
        <w:ind w:left="0" w:firstLine="0"/>
        <w:jc w:val="both"/>
        <w:rPr>
          <w:rFonts w:ascii="Palatino Linotype" w:hAnsi="Palatino Linotype"/>
          <w:b/>
        </w:rPr>
      </w:pPr>
      <w:r w:rsidRPr="00D66245">
        <w:rPr>
          <w:rFonts w:ascii="Palatino Linotype" w:hAnsi="Palatino Linotype"/>
          <w:b/>
        </w:rPr>
        <w:t>El número de resoluciones apelables se rige, en ambos Códigos, por el principio de taxatividad.</w:t>
      </w:r>
    </w:p>
    <w:p w14:paraId="3F94A5E0"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En el proceso contencioso administrativo, la apelación está prevista únicamente contra los autos, no así contra las sentencias, pues contra éstas, a diferencia de lo que ocurre en el proceso civil, únicamente procede el recurso extraordinario de casación.</w:t>
      </w:r>
    </w:p>
    <w:p w14:paraId="44AC65A8"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Además, no todos los autos son apelables. El principio, es más bien que contra éstos únicamente procede revocatoria, salvo disposición en contrario (artículo 132.2 CPCA).-</w:t>
      </w:r>
    </w:p>
    <w:p w14:paraId="24C4AB5C"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Se establece de este modo, el principio de taxatividad, conforme al cual, sólo hay apelación si el legislador así lo dispone expresamente.- La norma citada es absolutamente clara, de modo que sólo la ley puede ser fuente de creación de ese recurso vertical.-</w:t>
      </w:r>
    </w:p>
    <w:p w14:paraId="27EEAD48"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El CPCA, únicamente prevé 5 supuestos en que procede este recurso, a saber: el auto que fija caución o contracautela en medidas cautelares (artículo 28), el que resuelve la medida cautelar (artículo 30), el que declara inadmisible la demanda por defectos formales no subsanados oportunamente (artículo 61), el que resuelve sobre la integración del Litis consorcio pasivo necesario (artículo 71) y, en fase de ejecución de sentencia, el que decida sobre el embargo (artículo 178).-   </w:t>
      </w:r>
    </w:p>
    <w:p w14:paraId="0A7A7A3A" w14:textId="77777777" w:rsidR="00105650" w:rsidRPr="00D66245" w:rsidRDefault="00105650" w:rsidP="00105650">
      <w:pPr>
        <w:spacing w:before="120" w:after="200"/>
        <w:jc w:val="both"/>
        <w:rPr>
          <w:rFonts w:ascii="Palatino Linotype" w:hAnsi="Palatino Linotype"/>
        </w:rPr>
      </w:pPr>
      <w:r w:rsidRPr="00D66245">
        <w:rPr>
          <w:rFonts w:ascii="Palatino Linotype" w:hAnsi="Palatino Linotype"/>
          <w:b/>
        </w:rPr>
        <w:tab/>
      </w:r>
      <w:r w:rsidRPr="00D66245">
        <w:rPr>
          <w:rFonts w:ascii="Palatino Linotype" w:hAnsi="Palatino Linotype"/>
        </w:rPr>
        <w:t>Sin embargo, luego de once años de vigencia del Código, la experiencia dicta que el número de resoluciones apelables se amplió sustancialmente, en virtud de decisiones de la Sala Primera de la Corte Suprema de Justicia, o bien de los propios Tribunales de lo Contencioso Administrativo.-</w:t>
      </w:r>
    </w:p>
    <w:p w14:paraId="17AFB919" w14:textId="77777777" w:rsidR="00105650" w:rsidRPr="00D66245" w:rsidRDefault="00105650" w:rsidP="00105650">
      <w:pPr>
        <w:spacing w:before="120" w:after="200"/>
        <w:jc w:val="both"/>
        <w:rPr>
          <w:rFonts w:ascii="Palatino Linotype" w:hAnsi="Palatino Linotype"/>
        </w:rPr>
      </w:pPr>
      <w:r w:rsidRPr="00D66245">
        <w:rPr>
          <w:rFonts w:ascii="Palatino Linotype" w:hAnsi="Palatino Linotype"/>
        </w:rPr>
        <w:tab/>
        <w:t xml:space="preserve">Así las cosas, aunque no están reguladas expresamente, admiten además apelación, en esa sede, las resoluciones que: </w:t>
      </w:r>
    </w:p>
    <w:p w14:paraId="4B5CA622" w14:textId="77777777" w:rsidR="00105650" w:rsidRPr="00D66245" w:rsidRDefault="00105650" w:rsidP="00D141D3">
      <w:pPr>
        <w:numPr>
          <w:ilvl w:val="0"/>
          <w:numId w:val="40"/>
        </w:numPr>
        <w:spacing w:after="0" w:line="276" w:lineRule="auto"/>
        <w:ind w:left="714" w:hanging="357"/>
        <w:jc w:val="both"/>
        <w:rPr>
          <w:rFonts w:ascii="Palatino Linotype" w:hAnsi="Palatino Linotype"/>
        </w:rPr>
      </w:pPr>
      <w:r w:rsidRPr="00D66245">
        <w:rPr>
          <w:rFonts w:ascii="Palatino Linotype" w:hAnsi="Palatino Linotype"/>
        </w:rPr>
        <w:lastRenderedPageBreak/>
        <w:t>declaren inadmisible la demanda, por haber sido interpuesta por persona incapaz o que no se haya debidamente representada (artículo 66.b), por falta de agotamiento de la vía administrativa, cuando proceda (artículo 66.c) o cuando el escrito de demanda contenga defectos no subsanados oportunamente, que impidan verter pronunciamiento sobre el fondo (artículo 66.d)</w:t>
      </w:r>
      <w:r w:rsidRPr="00D66245">
        <w:rPr>
          <w:rStyle w:val="Refdenotaalpie"/>
          <w:rFonts w:ascii="Palatino Linotype" w:hAnsi="Palatino Linotype"/>
        </w:rPr>
        <w:footnoteReference w:id="181"/>
      </w:r>
      <w:r w:rsidRPr="00D66245">
        <w:rPr>
          <w:rFonts w:ascii="Palatino Linotype" w:hAnsi="Palatino Linotype"/>
        </w:rPr>
        <w:t>.</w:t>
      </w:r>
    </w:p>
    <w:p w14:paraId="3C5E4D14" w14:textId="77777777" w:rsidR="00105650" w:rsidRPr="00D66245" w:rsidRDefault="00105650" w:rsidP="00D141D3">
      <w:pPr>
        <w:numPr>
          <w:ilvl w:val="0"/>
          <w:numId w:val="40"/>
        </w:numPr>
        <w:spacing w:after="0" w:line="276" w:lineRule="auto"/>
        <w:ind w:left="714" w:hanging="357"/>
        <w:jc w:val="both"/>
        <w:rPr>
          <w:rFonts w:ascii="Palatino Linotype" w:hAnsi="Palatino Linotype"/>
        </w:rPr>
      </w:pPr>
      <w:r w:rsidRPr="00D66245">
        <w:rPr>
          <w:rFonts w:ascii="Palatino Linotype" w:hAnsi="Palatino Linotype"/>
        </w:rPr>
        <w:t>resuelvan sobre liquidaciones de costas</w:t>
      </w:r>
      <w:r w:rsidRPr="00D66245">
        <w:rPr>
          <w:rStyle w:val="Refdenotaalpie"/>
          <w:rFonts w:ascii="Palatino Linotype" w:hAnsi="Palatino Linotype"/>
        </w:rPr>
        <w:footnoteReference w:id="182"/>
      </w:r>
      <w:r w:rsidRPr="00D66245">
        <w:rPr>
          <w:rFonts w:ascii="Palatino Linotype" w:hAnsi="Palatino Linotype"/>
        </w:rPr>
        <w:t>.</w:t>
      </w:r>
    </w:p>
    <w:p w14:paraId="08BFD33B" w14:textId="77777777" w:rsidR="00105650" w:rsidRPr="00D66245" w:rsidRDefault="00105650" w:rsidP="00D141D3">
      <w:pPr>
        <w:numPr>
          <w:ilvl w:val="0"/>
          <w:numId w:val="40"/>
        </w:numPr>
        <w:spacing w:after="0" w:line="276" w:lineRule="auto"/>
        <w:ind w:left="714" w:hanging="357"/>
        <w:jc w:val="both"/>
        <w:rPr>
          <w:rFonts w:ascii="Palatino Linotype" w:hAnsi="Palatino Linotype"/>
        </w:rPr>
      </w:pPr>
      <w:r w:rsidRPr="00D66245">
        <w:rPr>
          <w:rFonts w:ascii="Palatino Linotype" w:hAnsi="Palatino Linotype"/>
        </w:rPr>
        <w:t>decidan sobre el fondo los procesos de ejecución de acto firme y favorable, previsto en el numeral 176 del CPCA, en relación con el numeral 228 de la Ley General de la Administración Pública (LGAP)</w:t>
      </w:r>
      <w:r w:rsidRPr="00D66245">
        <w:rPr>
          <w:rStyle w:val="Refdenotaalpie"/>
          <w:rFonts w:ascii="Palatino Linotype" w:hAnsi="Palatino Linotype"/>
        </w:rPr>
        <w:footnoteReference w:id="183"/>
      </w:r>
    </w:p>
    <w:p w14:paraId="4217458A" w14:textId="77777777" w:rsidR="00105650" w:rsidRPr="00D66245" w:rsidRDefault="00105650" w:rsidP="00D141D3">
      <w:pPr>
        <w:numPr>
          <w:ilvl w:val="0"/>
          <w:numId w:val="40"/>
        </w:numPr>
        <w:spacing w:after="0" w:line="276" w:lineRule="auto"/>
        <w:ind w:left="714" w:hanging="357"/>
        <w:jc w:val="both"/>
        <w:rPr>
          <w:rFonts w:ascii="Palatino Linotype" w:hAnsi="Palatino Linotype"/>
        </w:rPr>
      </w:pPr>
      <w:r w:rsidRPr="00D66245">
        <w:rPr>
          <w:rFonts w:ascii="Palatino Linotype" w:hAnsi="Palatino Linotype"/>
        </w:rPr>
        <w:t>se pronuncien sobre las liquidaciones de intereses</w:t>
      </w:r>
      <w:r w:rsidRPr="00D66245">
        <w:rPr>
          <w:rStyle w:val="Refdenotaalpie"/>
          <w:rFonts w:ascii="Palatino Linotype" w:hAnsi="Palatino Linotype"/>
        </w:rPr>
        <w:footnoteReference w:id="184"/>
      </w:r>
    </w:p>
    <w:p w14:paraId="11D3A770" w14:textId="77777777" w:rsidR="00105650" w:rsidRPr="00D66245" w:rsidRDefault="00105650" w:rsidP="00D141D3">
      <w:pPr>
        <w:numPr>
          <w:ilvl w:val="0"/>
          <w:numId w:val="40"/>
        </w:numPr>
        <w:spacing w:after="0" w:line="276" w:lineRule="auto"/>
        <w:ind w:left="714" w:hanging="357"/>
        <w:jc w:val="both"/>
        <w:rPr>
          <w:rFonts w:ascii="Palatino Linotype" w:hAnsi="Palatino Linotype"/>
          <w:lang w:val="es-MX"/>
        </w:rPr>
      </w:pPr>
      <w:r w:rsidRPr="00D66245">
        <w:rPr>
          <w:rFonts w:ascii="Palatino Linotype" w:hAnsi="Palatino Linotype"/>
        </w:rPr>
        <w:t>resuelvan sobre liquidación de daños y perjuicios, si las bases de la ejecución están fijadas en la sentencia</w:t>
      </w:r>
      <w:r w:rsidRPr="00D66245">
        <w:rPr>
          <w:rStyle w:val="Refdenotaalpie"/>
          <w:rFonts w:ascii="Palatino Linotype" w:hAnsi="Palatino Linotype"/>
        </w:rPr>
        <w:footnoteReference w:id="185"/>
      </w:r>
    </w:p>
    <w:p w14:paraId="7FCB212A" w14:textId="77777777" w:rsidR="00105650" w:rsidRPr="00D66245" w:rsidRDefault="00105650" w:rsidP="00D141D3">
      <w:pPr>
        <w:numPr>
          <w:ilvl w:val="0"/>
          <w:numId w:val="40"/>
        </w:numPr>
        <w:spacing w:after="0" w:line="276" w:lineRule="auto"/>
        <w:ind w:left="714" w:hanging="357"/>
        <w:jc w:val="both"/>
        <w:rPr>
          <w:rFonts w:ascii="Palatino Linotype" w:hAnsi="Palatino Linotype"/>
          <w:lang w:val="es-MX"/>
        </w:rPr>
      </w:pPr>
      <w:r w:rsidRPr="00D66245">
        <w:rPr>
          <w:rFonts w:ascii="Palatino Linotype" w:hAnsi="Palatino Linotype"/>
          <w:lang w:val="es-MX"/>
        </w:rPr>
        <w:t>decidan, en amparos de legalidad, sobre costas</w:t>
      </w:r>
      <w:r w:rsidRPr="00D66245">
        <w:rPr>
          <w:rStyle w:val="Refdenotaalpie"/>
          <w:rFonts w:ascii="Palatino Linotype" w:hAnsi="Palatino Linotype"/>
          <w:lang w:val="es-MX"/>
        </w:rPr>
        <w:footnoteReference w:id="186"/>
      </w:r>
      <w:r w:rsidRPr="00D66245">
        <w:rPr>
          <w:rFonts w:ascii="Palatino Linotype" w:hAnsi="Palatino Linotype"/>
          <w:lang w:val="es-MX"/>
        </w:rPr>
        <w:t>.</w:t>
      </w:r>
    </w:p>
    <w:p w14:paraId="2EC45247" w14:textId="77777777" w:rsidR="00105650" w:rsidRPr="00D66245" w:rsidRDefault="00105650" w:rsidP="00D141D3">
      <w:pPr>
        <w:numPr>
          <w:ilvl w:val="0"/>
          <w:numId w:val="40"/>
        </w:numPr>
        <w:spacing w:after="0" w:line="276" w:lineRule="auto"/>
        <w:ind w:left="714" w:hanging="357"/>
        <w:jc w:val="both"/>
        <w:rPr>
          <w:rFonts w:ascii="Palatino Linotype" w:hAnsi="Palatino Linotype"/>
        </w:rPr>
      </w:pPr>
      <w:r w:rsidRPr="00D66245">
        <w:rPr>
          <w:rFonts w:ascii="Palatino Linotype" w:hAnsi="Palatino Linotype"/>
        </w:rPr>
        <w:t>disponen el archivo del expediente, por caducidad del proceso</w:t>
      </w:r>
      <w:r w:rsidRPr="00D66245">
        <w:rPr>
          <w:rStyle w:val="Refdenotaalpie"/>
          <w:rFonts w:ascii="Palatino Linotype" w:hAnsi="Palatino Linotype"/>
        </w:rPr>
        <w:footnoteReference w:id="187"/>
      </w:r>
    </w:p>
    <w:p w14:paraId="3C9537BF"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 xml:space="preserve">Ahora bien, en relación con este principio de taxatividad, el NCPC, es igual de determinante. En cuanto a los medios de impugnación en general, su artículo 65.1, dispone que </w:t>
      </w:r>
      <w:r w:rsidRPr="00D66245">
        <w:rPr>
          <w:rFonts w:ascii="Palatino Linotype" w:hAnsi="Palatino Linotype"/>
          <w:i/>
        </w:rPr>
        <w:t xml:space="preserve">“Las resoluciones judiciales solo se podrán impugnar por los medios y en los casos expresamente establecidos” </w:t>
      </w:r>
      <w:r w:rsidRPr="00D66245">
        <w:rPr>
          <w:rFonts w:ascii="Palatino Linotype" w:hAnsi="Palatino Linotype"/>
        </w:rPr>
        <w:t xml:space="preserve">y al regular la apelación establece que ésta procederá </w:t>
      </w:r>
      <w:r w:rsidRPr="00D66245">
        <w:rPr>
          <w:rFonts w:ascii="Palatino Linotype" w:hAnsi="Palatino Linotype"/>
          <w:i/>
        </w:rPr>
        <w:t xml:space="preserve">“únicamente contra las resoluciones que expresamente se disponga …” </w:t>
      </w:r>
      <w:r w:rsidRPr="00D66245">
        <w:rPr>
          <w:rFonts w:ascii="Palatino Linotype" w:hAnsi="Palatino Linotype"/>
        </w:rPr>
        <w:t xml:space="preserve">(artículo 67.1).- </w:t>
      </w:r>
    </w:p>
    <w:p w14:paraId="43887EF1"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lastRenderedPageBreak/>
        <w:t xml:space="preserve">El NCPC, al definir cuáles resoluciones tienen apelación, optó por establecer una única norma al respecto, lo que otorga mayor orden y seguridad que el CPCA, que como se acaba de constatar, obliga a revisar toda su normativa, en busca de los autos apelables.- </w:t>
      </w:r>
    </w:p>
    <w:p w14:paraId="667AB43F"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El artículo 67, ya citado, establece que la apelación procede contra autos y contra sentencias dictadas en procesos de menor cuantía. En cuanto a los autos, el numeral 67.3, establece una lista cerrada de 32 supuestos concretos, fuera de los cuales, la interposición de la alzada, no resulta posible.-</w:t>
      </w:r>
    </w:p>
    <w:p w14:paraId="0C61C6C8" w14:textId="77777777" w:rsidR="00105650" w:rsidRPr="00D66245" w:rsidRDefault="00105650" w:rsidP="00105650">
      <w:pPr>
        <w:spacing w:before="120" w:after="200"/>
        <w:jc w:val="both"/>
        <w:rPr>
          <w:rFonts w:ascii="Palatino Linotype" w:hAnsi="Palatino Linotype"/>
          <w:b/>
        </w:rPr>
      </w:pPr>
      <w:r w:rsidRPr="00D66245">
        <w:rPr>
          <w:rFonts w:ascii="Palatino Linotype" w:hAnsi="Palatino Linotype"/>
          <w:b/>
        </w:rPr>
        <w:t>2) ASPECTOS DIFERENCIADORES:</w:t>
      </w:r>
    </w:p>
    <w:p w14:paraId="1E139DBB" w14:textId="77777777" w:rsidR="00105650" w:rsidRPr="00D66245" w:rsidRDefault="00105650" w:rsidP="00105650">
      <w:pPr>
        <w:spacing w:before="120" w:after="200"/>
        <w:jc w:val="both"/>
        <w:rPr>
          <w:rFonts w:ascii="Palatino Linotype" w:hAnsi="Palatino Linotype"/>
          <w:b/>
        </w:rPr>
      </w:pPr>
      <w:r w:rsidRPr="00D66245">
        <w:rPr>
          <w:rFonts w:ascii="Palatino Linotype" w:hAnsi="Palatino Linotype"/>
          <w:b/>
        </w:rPr>
        <w:t>a) Órgano ante el que se debe interponer la apelación.</w:t>
      </w:r>
    </w:p>
    <w:p w14:paraId="7196D5D0"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La primera diferencia notable que se advierte en la regulación de ambas normativas, se refiere justamente al órgano ante el cual se debe interponer la apelación.-</w:t>
      </w:r>
    </w:p>
    <w:p w14:paraId="42958652"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En el contencioso administrativo, el recurso se interpone directamente ante el superior, valga decir ante el Tribunal de Casación –Apelaciones- de lo Contencioso Administrativo (artículo 133.1 CPCA).- En el proceso civil, en cambio, la alzada debe formularse ante el Tribunal que dictó la resolución que se recurre (artículo 67.1 NCPC).-</w:t>
      </w:r>
    </w:p>
    <w:p w14:paraId="7D4ED812"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Esta distinción resulta importante, sobre todo por los efectos que ello tiene en cuanto al trámite que debe darse a los recursos en uno y otro caso.-</w:t>
      </w:r>
    </w:p>
    <w:p w14:paraId="54C4140A"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 xml:space="preserve">En el contencioso administrativo, el Tribunal de Apelaciones, una vez recibido el recurso, solicita el expediente al a quo y luego dicta la resolución sobre la admisión –en cuyo caso convoca a audiencia oral-, o inadmisión (artículo 133).- </w:t>
      </w:r>
    </w:p>
    <w:p w14:paraId="014193E3"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 xml:space="preserve">En el proceso civil, por el contrario, es el a quo el que recibe el recurso y quien debe decidir sobre su admisión o rechazo; si lo admite, envía al expediente al superior y ese pronunciamiento implica automáticamente el emplazamiento ante el superior, ante el cual deben apersonarse dentro de quinto día (artículo 67.1 NCPC).- </w:t>
      </w:r>
    </w:p>
    <w:p w14:paraId="4BD30D2F" w14:textId="77777777" w:rsidR="00105650" w:rsidRPr="00D66245" w:rsidRDefault="00105650" w:rsidP="00105650">
      <w:pPr>
        <w:spacing w:before="120" w:after="200"/>
        <w:jc w:val="both"/>
        <w:rPr>
          <w:rFonts w:ascii="Palatino Linotype" w:hAnsi="Palatino Linotype"/>
          <w:b/>
        </w:rPr>
      </w:pPr>
      <w:r w:rsidRPr="00D66245">
        <w:rPr>
          <w:rFonts w:ascii="Palatino Linotype" w:hAnsi="Palatino Linotype"/>
          <w:b/>
        </w:rPr>
        <w:lastRenderedPageBreak/>
        <w:t xml:space="preserve">b) Recursos contra la admisión o rechazo del recurso. </w:t>
      </w:r>
    </w:p>
    <w:p w14:paraId="7AAD93DF"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Un segundo aspecto que diferencia ambos sistemas recursivos, es el tema de los recursos contra la admisión o rechazo del recurso.-</w:t>
      </w:r>
    </w:p>
    <w:p w14:paraId="700EC879"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Conforme al CPCA, la admisión o rechazo del recurso es asunto que compete decidir directamente al Tribunal de alzada, y lo que procede en ambos casos es únicamente la revocatoria, que debe interponerse dentro de tercero día (artículo 152).-</w:t>
      </w:r>
    </w:p>
    <w:p w14:paraId="022DAA8B"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En el NCPC, la situación es distinta, pues como se acaba de analizar, se mantuvo el sistema anterior, conforme al cual es el inferior el que recibe y admite, o en su caso rechaza, el recurso de apelación.- En estos casos, si se deniega indebidamente una apelación, se prevé la figura de la apelación por inadmisión (artículo 68), mecanismo este último que ya no es de aplicación al proceso contencioso administrativo.-</w:t>
      </w:r>
    </w:p>
    <w:p w14:paraId="2CF44F38" w14:textId="77777777" w:rsidR="00105650" w:rsidRPr="00D66245" w:rsidRDefault="00105650" w:rsidP="00105650">
      <w:pPr>
        <w:numPr>
          <w:ilvl w:val="0"/>
          <w:numId w:val="44"/>
        </w:numPr>
        <w:spacing w:before="120" w:after="200" w:line="276" w:lineRule="auto"/>
        <w:ind w:left="0" w:firstLine="0"/>
        <w:jc w:val="both"/>
        <w:rPr>
          <w:rFonts w:ascii="Palatino Linotype" w:hAnsi="Palatino Linotype"/>
          <w:b/>
        </w:rPr>
      </w:pPr>
      <w:r w:rsidRPr="00D66245">
        <w:rPr>
          <w:rFonts w:ascii="Palatino Linotype" w:hAnsi="Palatino Linotype"/>
          <w:b/>
        </w:rPr>
        <w:t>Naturaleza del trámite y de la resolución (oral o escrito).</w:t>
      </w:r>
    </w:p>
    <w:p w14:paraId="338FDE14" w14:textId="77777777" w:rsidR="00105650" w:rsidRPr="00D66245" w:rsidRDefault="00105650" w:rsidP="00105650">
      <w:pPr>
        <w:spacing w:before="120" w:after="200"/>
        <w:jc w:val="both"/>
        <w:rPr>
          <w:rFonts w:ascii="Palatino Linotype" w:hAnsi="Palatino Linotype"/>
        </w:rPr>
      </w:pPr>
      <w:r w:rsidRPr="00D66245">
        <w:rPr>
          <w:rFonts w:ascii="Palatino Linotype" w:hAnsi="Palatino Linotype"/>
          <w:b/>
        </w:rPr>
        <w:t xml:space="preserve"> </w:t>
      </w:r>
      <w:r w:rsidRPr="00D66245">
        <w:rPr>
          <w:rFonts w:ascii="Palatino Linotype" w:hAnsi="Palatino Linotype"/>
          <w:b/>
        </w:rPr>
        <w:tab/>
      </w:r>
      <w:r w:rsidRPr="00D66245">
        <w:rPr>
          <w:rFonts w:ascii="Palatino Linotype" w:hAnsi="Palatino Linotype"/>
        </w:rPr>
        <w:t>El recurso de apelación en el contencioso administrativo, se tramita en forma oral, mediante una audiencia, en la cual, las partes exponen sus agravios y conclusiones y en donde, en la inmensa mayoría de los casos, la resolución es igualmente oral (artículo 133 CPCA).-</w:t>
      </w:r>
    </w:p>
    <w:p w14:paraId="314781BA" w14:textId="77777777" w:rsidR="00105650" w:rsidRPr="00D66245" w:rsidRDefault="00105650" w:rsidP="00105650">
      <w:pPr>
        <w:spacing w:before="120" w:after="200"/>
        <w:jc w:val="both"/>
        <w:rPr>
          <w:rFonts w:ascii="Palatino Linotype" w:hAnsi="Palatino Linotype"/>
        </w:rPr>
      </w:pPr>
      <w:r w:rsidRPr="00D66245">
        <w:rPr>
          <w:rFonts w:ascii="Palatino Linotype" w:hAnsi="Palatino Linotype"/>
        </w:rPr>
        <w:tab/>
        <w:t>En el proceso civil, sólo se señala para audiencia oral, si se admite prueba o alguna de las partes lo solicita y el Tribunal lo estima pertinente (artículo 67.7 NCPC).- Es decir, la audiencia es facultativa, de modo que, por regla, una vez vencido el plazo de cinco días del emplazamiento, se procede a dictar la resolución del recurso, normalmente de manera escrita.-</w:t>
      </w:r>
    </w:p>
    <w:p w14:paraId="228FC63A" w14:textId="77777777" w:rsidR="00105650" w:rsidRPr="00D66245" w:rsidRDefault="00105650" w:rsidP="00105650">
      <w:pPr>
        <w:numPr>
          <w:ilvl w:val="0"/>
          <w:numId w:val="44"/>
        </w:numPr>
        <w:spacing w:before="120" w:after="200" w:line="276" w:lineRule="auto"/>
        <w:ind w:left="0" w:firstLine="0"/>
        <w:jc w:val="both"/>
        <w:rPr>
          <w:rFonts w:ascii="Palatino Linotype" w:hAnsi="Palatino Linotype"/>
          <w:b/>
        </w:rPr>
      </w:pPr>
      <w:r w:rsidRPr="00D66245">
        <w:rPr>
          <w:rFonts w:ascii="Palatino Linotype" w:hAnsi="Palatino Linotype"/>
          <w:b/>
        </w:rPr>
        <w:t xml:space="preserve">Resoluciones apelables: las sentencias. </w:t>
      </w:r>
    </w:p>
    <w:p w14:paraId="00B462A9" w14:textId="77777777" w:rsidR="00105650" w:rsidRPr="00D66245" w:rsidRDefault="00105650" w:rsidP="00105650">
      <w:pPr>
        <w:spacing w:before="120" w:after="200"/>
        <w:ind w:left="360" w:firstLine="348"/>
        <w:jc w:val="both"/>
        <w:rPr>
          <w:rFonts w:ascii="Palatino Linotype" w:hAnsi="Palatino Linotype"/>
        </w:rPr>
      </w:pPr>
      <w:r w:rsidRPr="00D66245">
        <w:rPr>
          <w:rFonts w:ascii="Palatino Linotype" w:hAnsi="Palatino Linotype"/>
        </w:rPr>
        <w:t xml:space="preserve">Dentro del proceso contencioso administrativo no procede, en ningún caso, la apelación contra las sentencias, pues el fallo únicamente admite el recurso extraordinario de casación (artículo 134 CPCA). </w:t>
      </w:r>
    </w:p>
    <w:p w14:paraId="23399ABA" w14:textId="4483EEC6" w:rsidR="00105650" w:rsidRPr="00D66245" w:rsidRDefault="00105650" w:rsidP="00105650">
      <w:pPr>
        <w:spacing w:before="120" w:after="200"/>
        <w:jc w:val="both"/>
        <w:rPr>
          <w:rFonts w:ascii="Palatino Linotype" w:hAnsi="Palatino Linotype"/>
        </w:rPr>
      </w:pPr>
      <w:r w:rsidRPr="00D66245">
        <w:rPr>
          <w:rFonts w:ascii="Palatino Linotype" w:hAnsi="Palatino Linotype"/>
        </w:rPr>
        <w:t xml:space="preserve"> </w:t>
      </w:r>
      <w:r w:rsidRPr="00D66245">
        <w:rPr>
          <w:rFonts w:ascii="Palatino Linotype" w:hAnsi="Palatino Linotype"/>
        </w:rPr>
        <w:tab/>
        <w:t xml:space="preserve">En el proceso civil, por su lado, las sentencias sí tienen apelación, salvo las que se dicten en procesos ordinarios de mayor cuantía. Y las que se </w:t>
      </w:r>
      <w:r w:rsidRPr="00D66245">
        <w:rPr>
          <w:rFonts w:ascii="Palatino Linotype" w:hAnsi="Palatino Linotype"/>
        </w:rPr>
        <w:lastRenderedPageBreak/>
        <w:t>dicten en ejecución de sentencia únicamente tendrán apelación (artículo 67.5 NCPC).</w:t>
      </w:r>
    </w:p>
    <w:p w14:paraId="73F1A749" w14:textId="77777777" w:rsidR="00105650" w:rsidRPr="00D66245" w:rsidRDefault="00105650" w:rsidP="00105650">
      <w:pPr>
        <w:numPr>
          <w:ilvl w:val="0"/>
          <w:numId w:val="44"/>
        </w:numPr>
        <w:tabs>
          <w:tab w:val="left" w:pos="360"/>
        </w:tabs>
        <w:spacing w:before="120" w:after="200" w:line="276" w:lineRule="auto"/>
        <w:ind w:left="0" w:firstLine="0"/>
        <w:jc w:val="both"/>
        <w:rPr>
          <w:rFonts w:ascii="Palatino Linotype" w:hAnsi="Palatino Linotype"/>
        </w:rPr>
      </w:pPr>
      <w:r w:rsidRPr="00D66245">
        <w:rPr>
          <w:rFonts w:ascii="Palatino Linotype" w:hAnsi="Palatino Linotype"/>
          <w:b/>
        </w:rPr>
        <w:t xml:space="preserve">Otros aspectos </w:t>
      </w:r>
      <w:r w:rsidRPr="00D66245">
        <w:rPr>
          <w:rFonts w:ascii="Palatino Linotype" w:hAnsi="Palatino Linotype"/>
          <w:b/>
          <w:u w:val="single"/>
        </w:rPr>
        <w:t>no</w:t>
      </w:r>
      <w:r w:rsidRPr="00D66245">
        <w:rPr>
          <w:rFonts w:ascii="Palatino Linotype" w:hAnsi="Palatino Linotype"/>
          <w:b/>
        </w:rPr>
        <w:t xml:space="preserve"> regulados en el CPCA. Disposiciones generalidades sobre la apelación.</w:t>
      </w:r>
    </w:p>
    <w:p w14:paraId="18AB9F6F"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El NCPC, es mucho más amplio que el CPCA, en lo tocante a la regulación de disposiciones generales del recurso.- En efecto, en el primero, aparecen los siguientes aspectos, que no encuentran parangón en el Código contencioso administrativo:</w:t>
      </w:r>
    </w:p>
    <w:p w14:paraId="0B102398" w14:textId="77777777" w:rsidR="00105650" w:rsidRPr="00D66245" w:rsidRDefault="00105650" w:rsidP="00D141D3">
      <w:pPr>
        <w:numPr>
          <w:ilvl w:val="0"/>
          <w:numId w:val="45"/>
        </w:numPr>
        <w:spacing w:after="0" w:line="276" w:lineRule="auto"/>
        <w:ind w:left="1423"/>
        <w:jc w:val="both"/>
        <w:rPr>
          <w:rFonts w:ascii="Palatino Linotype" w:hAnsi="Palatino Linotype"/>
        </w:rPr>
      </w:pPr>
      <w:r w:rsidRPr="00D66245">
        <w:rPr>
          <w:rFonts w:ascii="Palatino Linotype" w:hAnsi="Palatino Linotype"/>
          <w:b/>
        </w:rPr>
        <w:t>La legitimación para impugnar</w:t>
      </w:r>
      <w:r w:rsidRPr="00D66245">
        <w:rPr>
          <w:rFonts w:ascii="Palatino Linotype" w:hAnsi="Palatino Linotype"/>
        </w:rPr>
        <w:t>: Únicamente pueden apelar quienes sean perjudicados por las resoluciones (artículo 65.2);</w:t>
      </w:r>
    </w:p>
    <w:p w14:paraId="05322F87" w14:textId="77777777" w:rsidR="00105650" w:rsidRPr="00D66245" w:rsidRDefault="00105650" w:rsidP="00D141D3">
      <w:pPr>
        <w:numPr>
          <w:ilvl w:val="0"/>
          <w:numId w:val="45"/>
        </w:numPr>
        <w:spacing w:after="0" w:line="276" w:lineRule="auto"/>
        <w:ind w:left="1423"/>
        <w:jc w:val="both"/>
        <w:rPr>
          <w:rFonts w:ascii="Palatino Linotype" w:hAnsi="Palatino Linotype"/>
          <w:b/>
        </w:rPr>
      </w:pPr>
      <w:r w:rsidRPr="00D66245">
        <w:rPr>
          <w:rFonts w:ascii="Palatino Linotype" w:hAnsi="Palatino Linotype"/>
          <w:b/>
        </w:rPr>
        <w:t xml:space="preserve">Renuncia al derecho a impugnar: </w:t>
      </w:r>
      <w:r w:rsidRPr="00D66245">
        <w:rPr>
          <w:rFonts w:ascii="Palatino Linotype" w:hAnsi="Palatino Linotype"/>
        </w:rPr>
        <w:t>La parte legitimada para apelar puede renunciar a ese derecho en el acto de la notificación o en el plazo para recurrir (artículo 65.3)</w:t>
      </w:r>
    </w:p>
    <w:p w14:paraId="7155EF15" w14:textId="77777777" w:rsidR="00105650" w:rsidRPr="00D66245" w:rsidRDefault="00105650" w:rsidP="00D141D3">
      <w:pPr>
        <w:numPr>
          <w:ilvl w:val="0"/>
          <w:numId w:val="45"/>
        </w:numPr>
        <w:spacing w:after="0" w:line="276" w:lineRule="auto"/>
        <w:ind w:left="1423"/>
        <w:jc w:val="both"/>
        <w:rPr>
          <w:rFonts w:ascii="Palatino Linotype" w:hAnsi="Palatino Linotype"/>
          <w:b/>
        </w:rPr>
      </w:pPr>
      <w:r w:rsidRPr="00D66245">
        <w:rPr>
          <w:rFonts w:ascii="Palatino Linotype" w:hAnsi="Palatino Linotype"/>
          <w:b/>
        </w:rPr>
        <w:t xml:space="preserve">Efectos de la impugnación sobre los plazos: </w:t>
      </w:r>
      <w:r w:rsidRPr="00D66245">
        <w:rPr>
          <w:rFonts w:ascii="Palatino Linotype" w:hAnsi="Palatino Linotype"/>
        </w:rPr>
        <w:t>La interposición del recurso de apelación, no interrumpe ni suspende los plazos concedidos en la resolución impugnada, para la realización o el cumplimiento de los actos procesales (artículo 65.4).</w:t>
      </w:r>
    </w:p>
    <w:p w14:paraId="08C1FCCE" w14:textId="77777777" w:rsidR="00105650" w:rsidRPr="00D66245" w:rsidRDefault="00105650" w:rsidP="00D141D3">
      <w:pPr>
        <w:numPr>
          <w:ilvl w:val="0"/>
          <w:numId w:val="45"/>
        </w:numPr>
        <w:spacing w:after="0" w:line="276" w:lineRule="auto"/>
        <w:ind w:left="1423"/>
        <w:jc w:val="both"/>
        <w:rPr>
          <w:rFonts w:ascii="Palatino Linotype" w:hAnsi="Palatino Linotype"/>
          <w:b/>
        </w:rPr>
      </w:pPr>
      <w:r w:rsidRPr="00D66245">
        <w:rPr>
          <w:rFonts w:ascii="Palatino Linotype" w:hAnsi="Palatino Linotype"/>
          <w:b/>
        </w:rPr>
        <w:t xml:space="preserve">Motivación de la impugnación: </w:t>
      </w:r>
      <w:r w:rsidRPr="00D66245">
        <w:rPr>
          <w:rFonts w:ascii="Palatino Linotype" w:hAnsi="Palatino Linotype"/>
        </w:rPr>
        <w:t>La apelación debe interponerse, bajo pena de inadmisibilidad, debidamente fundamentada, con exposición clara y precisa de las razones que justifican la modificación o nulidad de lo resuelto. Debe exponerse, primero, los motivos procesales y luego los de fondo (artículo 65.5).</w:t>
      </w:r>
    </w:p>
    <w:p w14:paraId="150C2E33" w14:textId="77777777" w:rsidR="00105650" w:rsidRPr="00D66245" w:rsidRDefault="00105650" w:rsidP="00D141D3">
      <w:pPr>
        <w:numPr>
          <w:ilvl w:val="0"/>
          <w:numId w:val="45"/>
        </w:numPr>
        <w:spacing w:after="0" w:line="276" w:lineRule="auto"/>
        <w:ind w:left="1423"/>
        <w:jc w:val="both"/>
        <w:rPr>
          <w:rFonts w:ascii="Palatino Linotype" w:hAnsi="Palatino Linotype"/>
          <w:b/>
        </w:rPr>
      </w:pPr>
      <w:r w:rsidRPr="00D66245">
        <w:rPr>
          <w:rFonts w:ascii="Palatino Linotype" w:hAnsi="Palatino Linotype"/>
          <w:b/>
        </w:rPr>
        <w:t xml:space="preserve">Prohibición de reforma en perjuicio: </w:t>
      </w:r>
      <w:r w:rsidRPr="00D66245">
        <w:rPr>
          <w:rFonts w:ascii="Palatino Linotype" w:hAnsi="Palatino Linotype"/>
        </w:rPr>
        <w:t>En general, la apelación sólo se considera en lo favorable al recurrente y únicamente en lo que sea objeto de disconformidad (artículo 65.6).</w:t>
      </w:r>
    </w:p>
    <w:p w14:paraId="0F551952" w14:textId="77777777" w:rsidR="00105650" w:rsidRPr="00D66245" w:rsidRDefault="00105650" w:rsidP="00D141D3">
      <w:pPr>
        <w:numPr>
          <w:ilvl w:val="0"/>
          <w:numId w:val="45"/>
        </w:numPr>
        <w:spacing w:after="0" w:line="276" w:lineRule="auto"/>
        <w:ind w:left="1423"/>
        <w:jc w:val="both"/>
        <w:rPr>
          <w:rFonts w:ascii="Palatino Linotype" w:hAnsi="Palatino Linotype"/>
          <w:b/>
        </w:rPr>
      </w:pPr>
      <w:r w:rsidRPr="00D66245">
        <w:rPr>
          <w:rFonts w:ascii="Palatino Linotype" w:hAnsi="Palatino Linotype"/>
          <w:b/>
        </w:rPr>
        <w:t xml:space="preserve">Desistimiento de la impugnación: </w:t>
      </w:r>
      <w:r w:rsidRPr="00D66245">
        <w:rPr>
          <w:rFonts w:ascii="Palatino Linotype" w:hAnsi="Palatino Linotype"/>
        </w:rPr>
        <w:t xml:space="preserve">El desistimiento procede, antes de que la impugnación sea resuelta (artículo 65.8). </w:t>
      </w:r>
    </w:p>
    <w:p w14:paraId="2E3ABE27" w14:textId="77777777" w:rsidR="00105650" w:rsidRPr="00D66245" w:rsidRDefault="00105650" w:rsidP="00105650">
      <w:pPr>
        <w:numPr>
          <w:ilvl w:val="0"/>
          <w:numId w:val="39"/>
        </w:numPr>
        <w:spacing w:before="120" w:after="200" w:line="276" w:lineRule="auto"/>
        <w:ind w:left="0" w:firstLine="0"/>
        <w:jc w:val="both"/>
        <w:rPr>
          <w:rFonts w:ascii="Palatino Linotype" w:hAnsi="Palatino Linotype"/>
          <w:b/>
        </w:rPr>
      </w:pPr>
      <w:r w:rsidRPr="00D66245">
        <w:rPr>
          <w:rFonts w:ascii="Palatino Linotype" w:hAnsi="Palatino Linotype"/>
          <w:b/>
        </w:rPr>
        <w:lastRenderedPageBreak/>
        <w:t xml:space="preserve">Finalmente, sobre el impacto de las reglas de la apelación del Nuevo Código Procesal Civil en la Jurisdicción Contencioso Administrativa. </w:t>
      </w:r>
    </w:p>
    <w:p w14:paraId="1E9D983D"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Llegados a este punto, una vez que han quedado patentes las diferencias y los puntos de encuentro existentes entre ambos cuerpos procesales, el CPCA y el NCPC, cabe analizar si la más amplia regulación que contiene este último, se puede aplicar al contencioso administrativo y en qué términos.-</w:t>
      </w:r>
    </w:p>
    <w:p w14:paraId="1EE62D3C"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ab/>
        <w:t>Lo primero que cabe señalar, en concordancia con lo ya expuesto, es que tal aplicación sí resulta posible, empero, de previo a cualquier consideración sobre la aplicación del NCPC, el operador jurídico habrá de acudir a las reglas y principios del ordenamiento jurídico administrativo.-</w:t>
      </w:r>
    </w:p>
    <w:p w14:paraId="7F621ECD"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Esto es,  sólo ha de acudirse a los principios del proceso civil, cuando los aspectos no previstos en el CPCA, no encuentren solución en las normas y principios del orden jurídico público, algunas de cuyas reglas resuelven adecuadamente aspectos no previstos en el CPCA y que deben aplicarse incluso por encima del NCPC.-</w:t>
      </w:r>
    </w:p>
    <w:p w14:paraId="72448DAA"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ab/>
        <w:t>Baste por lo pronto mencionar los siguientes aspectos, no regulados en el CPCA, que encuentran solución en principios citados en las normas sobre procedimiento administrativo del Libro II de la LGAP, cuyo contenido hace innecesario acudir como primera opción a las reglas del proceso civil.</w:t>
      </w:r>
    </w:p>
    <w:p w14:paraId="4AFBA1E0" w14:textId="77777777" w:rsidR="00105650" w:rsidRPr="00D66245" w:rsidRDefault="00105650" w:rsidP="00105650">
      <w:pPr>
        <w:numPr>
          <w:ilvl w:val="0"/>
          <w:numId w:val="50"/>
        </w:numPr>
        <w:spacing w:before="120" w:after="200" w:line="276" w:lineRule="auto"/>
        <w:jc w:val="both"/>
        <w:rPr>
          <w:rFonts w:ascii="Palatino Linotype" w:hAnsi="Palatino Linotype"/>
          <w:b/>
        </w:rPr>
      </w:pPr>
      <w:r w:rsidRPr="00D66245">
        <w:rPr>
          <w:rFonts w:ascii="Palatino Linotype" w:hAnsi="Palatino Linotype"/>
          <w:b/>
        </w:rPr>
        <w:t>Sobre la renuncia del derecho a apelar una resolución.</w:t>
      </w:r>
    </w:p>
    <w:p w14:paraId="327DF69A"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 xml:space="preserve">El CPCA nada dice, acerca del derecho de la parte a renunciar del recurso de apelación contra una resolución que le afecta. </w:t>
      </w:r>
    </w:p>
    <w:p w14:paraId="256A3ED3"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La facultad de formular esa renuncia, es un principio general aplicable a todo proceso, que por lo demás,  sí tiene una regulación expresa en el numeral 65.2 del NCPC.-</w:t>
      </w:r>
    </w:p>
    <w:p w14:paraId="77F8E610"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 xml:space="preserve">La cuestión a dilucidar es ¿qué ocurre si en un proceso contencioso administrativo, en el acto de la notificación de una resolución, o bien, dentro </w:t>
      </w:r>
      <w:r w:rsidRPr="00D66245">
        <w:rPr>
          <w:rFonts w:ascii="Palatino Linotype" w:hAnsi="Palatino Linotype"/>
        </w:rPr>
        <w:lastRenderedPageBreak/>
        <w:t>del plazo para recurrir, la parte afectada renuncia expresamente a interponer el recurso?, ¿cómo llenar la laguna?, ¿se acude de una vez al NCPC?.</w:t>
      </w:r>
    </w:p>
    <w:p w14:paraId="229EE39C"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 xml:space="preserve">El primer ejercicio que debe hacerse es –como se dijo-, buscar una solución en el ordenamiento administrativo; y basta con revisar el numeral 337 de la LGAP, para resolver esta situación. Esa norma, establece la posibilidad de todo interesado de desistir de su petición, instancia o recurso, lo mismo que de renunciar a su derecho, cuando sea renunciable.- </w:t>
      </w:r>
    </w:p>
    <w:p w14:paraId="448E8B73"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Existe entonces, un principio de Derecho Público, consistente en denominada renunciabilidad de los derechos, entre ellos el de apelar una decisión que le es desfavorable a una parte, dentro de un procedimiento –o proceso- con la Administración.-</w:t>
      </w:r>
    </w:p>
    <w:p w14:paraId="2B8881F6"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 xml:space="preserve">Nótese, que la renuncia es admisible, tanto si se aplica la LGAP, como si se aplica el NCPCA, no obstante, la integración normativa debe hacerse con el primer cuerpo legal, por tratarse de una norma que rige aspectos procedimentales, en asuntos que vinculan a una Administración Pública.-  </w:t>
      </w:r>
    </w:p>
    <w:p w14:paraId="2EEE8346" w14:textId="77777777" w:rsidR="00105650" w:rsidRPr="00D66245" w:rsidRDefault="00105650" w:rsidP="00105650">
      <w:pPr>
        <w:pStyle w:val="Prrafodelista"/>
        <w:numPr>
          <w:ilvl w:val="0"/>
          <w:numId w:val="50"/>
        </w:numPr>
        <w:spacing w:before="120" w:after="200" w:line="276" w:lineRule="auto"/>
        <w:jc w:val="both"/>
        <w:rPr>
          <w:rFonts w:ascii="Palatino Linotype" w:hAnsi="Palatino Linotype"/>
          <w:b/>
        </w:rPr>
      </w:pPr>
      <w:r w:rsidRPr="00D66245">
        <w:rPr>
          <w:rFonts w:ascii="Palatino Linotype" w:hAnsi="Palatino Linotype"/>
          <w:b/>
        </w:rPr>
        <w:t xml:space="preserve">Sobre el derecho de desistir de una apelación y los efectos económicos del desistimiento. </w:t>
      </w:r>
    </w:p>
    <w:p w14:paraId="0F2EE428"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Al igual que ocurre con la renuncia del derecho a apelar, tampoco prevé el CPCA, expresamente, la facultad del recurrente de desistir de un recurso de apelación.-</w:t>
      </w:r>
    </w:p>
    <w:p w14:paraId="14F39033"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Lo que se establece es únicamente un desistimiento tácito, que se configura conforme al artículo 133.4 de ese cuerpo legal, cuando la parte recurrente no asiste, injustificadamente a la audiencia oral prevista para conocer su recurso.- El desistimiento expreso, por su parte, está previsto únicamente para el proceso (artículo 113), no así para los recursos.-</w:t>
      </w:r>
    </w:p>
    <w:p w14:paraId="5EEFBACF" w14:textId="77777777" w:rsidR="00105650" w:rsidRPr="00D66245" w:rsidRDefault="00105650" w:rsidP="00105650">
      <w:pPr>
        <w:spacing w:before="120" w:after="200"/>
        <w:jc w:val="both"/>
        <w:rPr>
          <w:rFonts w:ascii="Palatino Linotype" w:hAnsi="Palatino Linotype"/>
        </w:rPr>
      </w:pPr>
      <w:r w:rsidRPr="00D66245">
        <w:rPr>
          <w:rFonts w:ascii="Palatino Linotype" w:hAnsi="Palatino Linotype"/>
        </w:rPr>
        <w:tab/>
        <w:t xml:space="preserve">En este caso, antes de aplicar el numeral 65.8 del NCPC, debe acudirse a la solución del artículo 337 dela LGAP, ya citado, que como se analizó, sí regula expresamente la facultad de la parte de desistir de su recurso. </w:t>
      </w:r>
    </w:p>
    <w:p w14:paraId="2DDE7F93"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lastRenderedPageBreak/>
        <w:t>En este caso, del mismo modo, en cuanto a los efectos económicos del desistimiento, es decir, si genera costas o no, la aplicación de la LGAP lleva por el camino de la exoneración, en virtud del principio de gratuidad (artículo 327), de modo que no es necesario acudir al NCPC, aunque éste prevé igualmente que el desistimiento no genera costas al recurrente en ningún caso.-</w:t>
      </w:r>
    </w:p>
    <w:p w14:paraId="4BD10537" w14:textId="77777777" w:rsidR="00105650" w:rsidRPr="00D66245" w:rsidRDefault="00105650" w:rsidP="00D141D3">
      <w:pPr>
        <w:numPr>
          <w:ilvl w:val="0"/>
          <w:numId w:val="50"/>
        </w:numPr>
        <w:spacing w:after="0" w:line="240" w:lineRule="auto"/>
        <w:ind w:left="714" w:hanging="357"/>
        <w:jc w:val="both"/>
        <w:rPr>
          <w:rFonts w:ascii="Palatino Linotype" w:hAnsi="Palatino Linotype"/>
        </w:rPr>
      </w:pPr>
      <w:r w:rsidRPr="00BC4AB5">
        <w:rPr>
          <w:rFonts w:ascii="Palatino Linotype" w:hAnsi="Palatino Linotype"/>
          <w:b/>
        </w:rPr>
        <w:t xml:space="preserve">Sobre </w:t>
      </w:r>
      <w:r w:rsidRPr="00D66245">
        <w:rPr>
          <w:rFonts w:ascii="Palatino Linotype" w:hAnsi="Palatino Linotype"/>
          <w:b/>
        </w:rPr>
        <w:t>el deber de presentar la apelación debidamente fundamentada.-</w:t>
      </w:r>
    </w:p>
    <w:p w14:paraId="2CC1EE84"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 xml:space="preserve">Sobre las formalidades del recurso de apelación, el CPCA se limita a establecer que </w:t>
      </w:r>
      <w:r w:rsidRPr="00D66245">
        <w:rPr>
          <w:rFonts w:ascii="Palatino Linotype" w:hAnsi="Palatino Linotype"/>
          <w:i/>
        </w:rPr>
        <w:t xml:space="preserve">“Dicho recurso no requiere formalidades especiales” </w:t>
      </w:r>
      <w:r w:rsidRPr="00D66245">
        <w:rPr>
          <w:rFonts w:ascii="Palatino Linotype" w:hAnsi="Palatino Linotype"/>
        </w:rPr>
        <w:t>(artículo 133.2), lo cual ha dado lugar a la apertura de debate sobre si es exigible o no que desde su interposición, el recurso sea debidamente fundamentado.-</w:t>
      </w:r>
    </w:p>
    <w:p w14:paraId="26E80822"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El NCPC es muy claro y establece el deber de fundamentar el recurso, bajo pena de inadmisibilidad (artículo 65.5).- </w:t>
      </w:r>
    </w:p>
    <w:p w14:paraId="2E8CD373"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En el contencioso administrativo, la práctica ha sido la de admitir el recurso sin la exigencia de fundamentación. Basta en este sentido, con la sola manifestación de la parte legitimada para recurrir, sobre su inconformidad con lo resuelto, para que el recurso se admita y se convoque a audiencia oral, en donde puede plantear ampliamente sus agravios.-</w:t>
      </w:r>
    </w:p>
    <w:p w14:paraId="6B98A71C"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La tesis que se plasmó en el NCPC, que sí es exigente en cuanto a la necesidad de expresar desde la interposición, los motivos del recurso, se funda en la necesidad de garantizar la celeridad del proceso, la igualdad procesal y la seguridad, en cuanto a lo que será objeto de pronunciamiento por el Superior</w:t>
      </w:r>
      <w:r w:rsidRPr="00D66245">
        <w:rPr>
          <w:rStyle w:val="Refdenotaalpie"/>
          <w:rFonts w:ascii="Palatino Linotype" w:hAnsi="Palatino Linotype"/>
          <w:vertAlign w:val="baseline"/>
        </w:rPr>
        <w:footnoteReference w:id="188"/>
      </w:r>
      <w:r w:rsidRPr="00D66245">
        <w:rPr>
          <w:rFonts w:ascii="Palatino Linotype" w:hAnsi="Palatino Linotype"/>
        </w:rPr>
        <w:t>; sin embargo, no ha sido acogida en sede contencioso administrativa.-</w:t>
      </w:r>
    </w:p>
    <w:p w14:paraId="5A4FD02F"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En realidad, la integración normativa, en relación con este requisito, se hizo desde el inicio de la puesta en vigencia del Código, en virtud de lo dispuesto en el artículo 348 de la LGAP, conforme al cual: </w:t>
      </w:r>
      <w:r w:rsidRPr="00D66245">
        <w:rPr>
          <w:rFonts w:ascii="Palatino Linotype" w:hAnsi="Palatino Linotype"/>
          <w:i/>
        </w:rPr>
        <w:t xml:space="preserve">“Los recursos no requieren una redacción ni una pretensión especiales y bastará para su correcta formulación que de su texto se infiera claramente la petición de revisión” </w:t>
      </w:r>
      <w:r w:rsidRPr="00D66245">
        <w:rPr>
          <w:rFonts w:ascii="Palatino Linotype" w:hAnsi="Palatino Linotype"/>
        </w:rPr>
        <w:t xml:space="preserve">y de allí </w:t>
      </w:r>
      <w:r w:rsidRPr="00D66245">
        <w:rPr>
          <w:rFonts w:ascii="Palatino Linotype" w:hAnsi="Palatino Linotype"/>
        </w:rPr>
        <w:lastRenderedPageBreak/>
        <w:t xml:space="preserve">que no se exija la formulación de agravios inicialmente, sino en la audiencia oral en que se conoce el recurso. </w:t>
      </w:r>
    </w:p>
    <w:p w14:paraId="42F29462"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En una Jurisdicción como la de lo contencioso administrativo, en donde prima la necesidad de proteger las situaciones jurídicas subjetivas, frente a la extralimitación de la acción estatal, esta última interpretación es mucho más favorable al recurso y permite a todas las partes –no sólo al administrado- recurrir de lo resuelto, cuando así proceda conforme a la ley, con amplia flexibilidad e informalidad.-</w:t>
      </w:r>
    </w:p>
    <w:p w14:paraId="6F33505C"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Hasta la fecha, no ha habido reclamos por retardo en la resolución de los recursos, ni por algún tipo de violación a la igualdad o al derecho de defensa. Las apelaciones se resuelven en plazos cortos; las partes exponen sus agravios –y la contraparte sus argumentos-, dentro de la audiencia oral, sin que se haya establecido desequilibrio alguno por esa forma de admitir y recibir las inconformidades de las partes.  </w:t>
      </w:r>
    </w:p>
    <w:p w14:paraId="1E9ED4AE"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En este caso, el ordenamiento administrativo, resuelve de manera más garantista y bajo la aplicación del principio “pro recurso”, el tema de las formalidades de la apelación, por lo que no cabe aplicar la normativa procesal civil.</w:t>
      </w:r>
    </w:p>
    <w:p w14:paraId="4E51E968" w14:textId="77777777" w:rsidR="00105650" w:rsidRPr="00D66245" w:rsidRDefault="00105650" w:rsidP="00105650">
      <w:pPr>
        <w:numPr>
          <w:ilvl w:val="0"/>
          <w:numId w:val="50"/>
        </w:numPr>
        <w:spacing w:before="120" w:after="200" w:line="276" w:lineRule="auto"/>
        <w:jc w:val="both"/>
        <w:rPr>
          <w:rFonts w:ascii="Palatino Linotype" w:hAnsi="Palatino Linotype"/>
          <w:b/>
        </w:rPr>
      </w:pPr>
      <w:r w:rsidRPr="00D66245">
        <w:rPr>
          <w:rFonts w:ascii="Palatino Linotype" w:hAnsi="Palatino Linotype"/>
          <w:b/>
        </w:rPr>
        <w:t>Sobre la prohibición</w:t>
      </w:r>
      <w:r w:rsidRPr="00D66245">
        <w:rPr>
          <w:rFonts w:ascii="Palatino Linotype" w:hAnsi="Palatino Linotype"/>
        </w:rPr>
        <w:t xml:space="preserve"> </w:t>
      </w:r>
      <w:r w:rsidRPr="00D66245">
        <w:rPr>
          <w:rFonts w:ascii="Palatino Linotype" w:hAnsi="Palatino Linotype"/>
          <w:b/>
        </w:rPr>
        <w:t>de</w:t>
      </w:r>
      <w:r w:rsidRPr="00D66245">
        <w:rPr>
          <w:rFonts w:ascii="Palatino Linotype" w:hAnsi="Palatino Linotype"/>
        </w:rPr>
        <w:t xml:space="preserve"> </w:t>
      </w:r>
      <w:r w:rsidRPr="00D66245">
        <w:rPr>
          <w:rFonts w:ascii="Palatino Linotype" w:hAnsi="Palatino Linotype"/>
          <w:b/>
        </w:rPr>
        <w:t xml:space="preserve">la reforma en perjuicio de la persona apelante. </w:t>
      </w:r>
    </w:p>
    <w:p w14:paraId="37741E96"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La prohibición de la </w:t>
      </w:r>
      <w:r w:rsidRPr="00D66245">
        <w:rPr>
          <w:rFonts w:ascii="Palatino Linotype" w:hAnsi="Palatino Linotype"/>
          <w:i/>
        </w:rPr>
        <w:t>reformatio in peius</w:t>
      </w:r>
      <w:r w:rsidRPr="00D66245">
        <w:rPr>
          <w:rFonts w:ascii="Palatino Linotype" w:hAnsi="Palatino Linotype"/>
        </w:rPr>
        <w:t>, está avalada en todos los ordenamientos procesales, incluido el de lo contencioso administrativo, ello, aunque el CPCA no establezca regla o principio alguno al respecto.</w:t>
      </w:r>
    </w:p>
    <w:p w14:paraId="7CC6383B"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Es el NCPC, el que regula el tema. La impugnación, reza el numeral 65.6, </w:t>
      </w:r>
      <w:r w:rsidRPr="00D66245">
        <w:rPr>
          <w:rFonts w:ascii="Palatino Linotype" w:hAnsi="Palatino Linotype"/>
          <w:i/>
        </w:rPr>
        <w:t>“se considerará sólo en lo desfavorable al recurrente. No se podrá enmendar o revocar la resolución en lo que no sea objeto de disconformidad, salvo que la variación, en la parte impugnada, requiera necesariamente modificar otros puntos de la resolución apelada o si fuera necesario para corregir incongruencias, ambigüedades, oscuridades o errores materiales”</w:t>
      </w:r>
      <w:r w:rsidRPr="00D66245">
        <w:rPr>
          <w:rFonts w:ascii="Palatino Linotype" w:hAnsi="Palatino Linotype"/>
        </w:rPr>
        <w:t>.-</w:t>
      </w:r>
    </w:p>
    <w:p w14:paraId="5B68242C"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lastRenderedPageBreak/>
        <w:t xml:space="preserve">Estas reglas encuentran plena aplicación, en el marco de la resolución de las apelaciones en la sede contencioso administrativa, en donde no resulta posible, agravar en virtud del recurso, la situación del recurrente, quien tiene derecho, con las salvedades que expresa el NCPC, a que su impugnación sólo se conozca en lo que le es desfavorable. </w:t>
      </w:r>
    </w:p>
    <w:p w14:paraId="454085D3" w14:textId="528CDE9D" w:rsidR="00105650" w:rsidRPr="00D66245" w:rsidRDefault="00105650" w:rsidP="00105650">
      <w:pPr>
        <w:spacing w:before="120" w:after="200"/>
        <w:ind w:firstLine="708"/>
        <w:jc w:val="both"/>
        <w:rPr>
          <w:rFonts w:ascii="Palatino Linotype" w:hAnsi="Palatino Linotype"/>
          <w:i/>
        </w:rPr>
      </w:pPr>
      <w:r w:rsidRPr="00D66245">
        <w:rPr>
          <w:rFonts w:ascii="Palatino Linotype" w:hAnsi="Palatino Linotype"/>
        </w:rPr>
        <w:t xml:space="preserve">Empero, cabe notar que el ordenamiento administrativo contiene un principio especial en materia de  nulidades absolutas, pues la LGAP dispone, en su artículo 351.2 que </w:t>
      </w:r>
      <w:r w:rsidRPr="00D66245">
        <w:rPr>
          <w:rFonts w:ascii="Palatino Linotype" w:hAnsi="Palatino Linotype"/>
          <w:i/>
        </w:rPr>
        <w:t xml:space="preserve">“El recurso podrá ser resuelto aún en perjuicio del recurrente cuando se trate de nulidad absoluta”. </w:t>
      </w:r>
    </w:p>
    <w:p w14:paraId="575AC153" w14:textId="77777777" w:rsidR="00105650" w:rsidRPr="00D66245" w:rsidRDefault="00105650" w:rsidP="00105650">
      <w:pPr>
        <w:numPr>
          <w:ilvl w:val="0"/>
          <w:numId w:val="50"/>
        </w:numPr>
        <w:spacing w:before="120" w:after="200" w:line="276" w:lineRule="auto"/>
        <w:jc w:val="both"/>
        <w:rPr>
          <w:rFonts w:ascii="Palatino Linotype" w:hAnsi="Palatino Linotype"/>
          <w:b/>
        </w:rPr>
      </w:pPr>
      <w:r w:rsidRPr="00D66245">
        <w:rPr>
          <w:rFonts w:ascii="Palatino Linotype" w:hAnsi="Palatino Linotype"/>
          <w:b/>
        </w:rPr>
        <w:t>Sobre las reglas de la legitimación para apelar.</w:t>
      </w:r>
    </w:p>
    <w:p w14:paraId="4FB7668B"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Un principio general de todo régimen de impugnación de resoluciones es este: la apelación sólo puede ser formulada por aquél a quien la decisión apelable le ocasiona un perjuicio. </w:t>
      </w:r>
    </w:p>
    <w:p w14:paraId="49E5B0B9"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Puede tratarse de las partes, o incluso de terceras personas, a condición que lo decidido afecte de algún modo su situación jurídica. </w:t>
      </w:r>
    </w:p>
    <w:p w14:paraId="0BB974F7" w14:textId="77777777" w:rsidR="00105650" w:rsidRPr="00D66245" w:rsidRDefault="00105650" w:rsidP="00105650">
      <w:pPr>
        <w:spacing w:before="120" w:after="200"/>
        <w:ind w:firstLine="708"/>
        <w:jc w:val="both"/>
        <w:rPr>
          <w:rFonts w:ascii="Palatino Linotype" w:hAnsi="Palatino Linotype"/>
        </w:rPr>
      </w:pPr>
      <w:r w:rsidRPr="00D66245">
        <w:rPr>
          <w:rFonts w:ascii="Palatino Linotype" w:hAnsi="Palatino Linotype"/>
        </w:rPr>
        <w:t xml:space="preserve">El CPCA, no establece nada al respecto y ello obliga a acudir al principio general, que esta vez aparece claramente regulado en el numeral 65.2 del NCPC, conforme al cual, </w:t>
      </w:r>
      <w:r w:rsidRPr="00D66245">
        <w:rPr>
          <w:rFonts w:ascii="Palatino Linotype" w:hAnsi="Palatino Linotype"/>
          <w:i/>
        </w:rPr>
        <w:t>“Sólo podrán impugnar quienes sean perjudicados por las resoluciones, según los términos y las condiciones dispuestos por ley”</w:t>
      </w:r>
      <w:r w:rsidRPr="00D66245">
        <w:rPr>
          <w:rFonts w:ascii="Palatino Linotype" w:hAnsi="Palatino Linotype"/>
        </w:rPr>
        <w:t xml:space="preserve">.- </w:t>
      </w:r>
    </w:p>
    <w:p w14:paraId="64C8CD58" w14:textId="77777777" w:rsidR="00105650" w:rsidRPr="00D66245" w:rsidRDefault="00105650" w:rsidP="00105650">
      <w:pPr>
        <w:spacing w:before="120" w:after="200"/>
        <w:jc w:val="both"/>
        <w:rPr>
          <w:rFonts w:ascii="Palatino Linotype" w:hAnsi="Palatino Linotype"/>
        </w:rPr>
      </w:pPr>
      <w:r w:rsidRPr="00D66245">
        <w:rPr>
          <w:rFonts w:ascii="Palatino Linotype" w:hAnsi="Palatino Linotype"/>
        </w:rPr>
        <w:tab/>
        <w:t xml:space="preserve">En este caso, a falta de norma en el ordenamiento jurídico administrativo sí es aplicable la regla del NCPC y así ha ocurrido en forma recurrente en la Jurisdicción contencioso administrativa.- </w:t>
      </w:r>
    </w:p>
    <w:p w14:paraId="067A89DB" w14:textId="77777777" w:rsidR="00105650" w:rsidRPr="00D66245" w:rsidRDefault="00105650" w:rsidP="00105650">
      <w:pPr>
        <w:numPr>
          <w:ilvl w:val="0"/>
          <w:numId w:val="50"/>
        </w:numPr>
        <w:spacing w:before="120" w:after="200" w:line="276" w:lineRule="auto"/>
        <w:jc w:val="both"/>
        <w:rPr>
          <w:rFonts w:ascii="Palatino Linotype" w:hAnsi="Palatino Linotype"/>
          <w:b/>
        </w:rPr>
      </w:pPr>
      <w:r w:rsidRPr="00D66245">
        <w:rPr>
          <w:rFonts w:ascii="Palatino Linotype" w:hAnsi="Palatino Linotype"/>
          <w:b/>
        </w:rPr>
        <w:t>Por último, reglas sobre la prueba en segunda instancia.</w:t>
      </w:r>
    </w:p>
    <w:p w14:paraId="260744B7"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 xml:space="preserve">Como en otros temas, el CPCA también es omiso al respecto, pues nada se indica sobre la prueba en etapa de alzada, en el capítulo sobre la apelación.- </w:t>
      </w:r>
    </w:p>
    <w:p w14:paraId="7FE3F61F"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 xml:space="preserve">En este caso, en aras de garantizar el pleno cumplimiento de los principios de la oralidad, el artículo 67.2 del NCPC establece el carácter </w:t>
      </w:r>
      <w:r w:rsidRPr="00D66245">
        <w:rPr>
          <w:rFonts w:ascii="Palatino Linotype" w:hAnsi="Palatino Linotype"/>
        </w:rPr>
        <w:lastRenderedPageBreak/>
        <w:t xml:space="preserve">restrictivo y excepcional de la prueba en segunda instancia; no obstante, en la apelación contencioso administrativa, la posibilidad de recibir prueba se hace  con fundamento en las reglas de la prueba del juicio oral y público, en el sentido que el Tribunal puede admitir aquellas que considere indispensables, incluso si las partes se oponen, todo en aras de verificar la verdad real (artículo 110 CPCA). </w:t>
      </w:r>
    </w:p>
    <w:p w14:paraId="6765F4B3" w14:textId="77777777" w:rsidR="00105650" w:rsidRPr="00D66245" w:rsidRDefault="00105650" w:rsidP="00105650">
      <w:pPr>
        <w:spacing w:before="120" w:after="200"/>
        <w:ind w:firstLine="360"/>
        <w:jc w:val="both"/>
        <w:rPr>
          <w:rFonts w:ascii="Palatino Linotype" w:hAnsi="Palatino Linotype"/>
        </w:rPr>
      </w:pPr>
      <w:r w:rsidRPr="00D66245">
        <w:rPr>
          <w:rFonts w:ascii="Palatino Linotype" w:hAnsi="Palatino Linotype"/>
        </w:rPr>
        <w:t>Recuérdese que el CPCA autoriza la recepción de pruebas incluso en el trámite del recurso extraordinario de casación (artículo 145), de modo que se ha entendido que la posibilidad de evacuar prueba novedosa en la apelación sí se encuentra debidamente autorizada y se ha actuado en consecuencia.</w:t>
      </w:r>
    </w:p>
    <w:p w14:paraId="4D697787" w14:textId="77777777" w:rsidR="00105650" w:rsidRPr="00D66245" w:rsidRDefault="00105650" w:rsidP="00105650">
      <w:pPr>
        <w:spacing w:before="120" w:after="200"/>
        <w:jc w:val="both"/>
        <w:rPr>
          <w:rFonts w:ascii="Palatino Linotype" w:hAnsi="Palatino Linotype"/>
        </w:rPr>
      </w:pPr>
      <w:r w:rsidRPr="00D66245">
        <w:rPr>
          <w:rFonts w:ascii="Palatino Linotype" w:hAnsi="Palatino Linotype"/>
        </w:rPr>
        <w:tab/>
        <w:t xml:space="preserve">Se integra acá la laguna, con las reglas del propio CPCA, sin necesidad de acudir a otros cuerpos normativos, incluido el NCPC. </w:t>
      </w:r>
    </w:p>
    <w:p w14:paraId="4FC860C3" w14:textId="77777777" w:rsidR="00105650" w:rsidRPr="00D66245" w:rsidRDefault="00105650" w:rsidP="00105650">
      <w:pPr>
        <w:numPr>
          <w:ilvl w:val="0"/>
          <w:numId w:val="39"/>
        </w:numPr>
        <w:spacing w:before="120" w:after="200" w:line="276" w:lineRule="auto"/>
        <w:ind w:left="0" w:firstLine="0"/>
        <w:jc w:val="both"/>
        <w:rPr>
          <w:rFonts w:ascii="Palatino Linotype" w:hAnsi="Palatino Linotype"/>
          <w:b/>
        </w:rPr>
      </w:pPr>
      <w:r w:rsidRPr="00D66245">
        <w:rPr>
          <w:rFonts w:ascii="Palatino Linotype" w:hAnsi="Palatino Linotype"/>
          <w:b/>
        </w:rPr>
        <w:t>Conclusiones:</w:t>
      </w:r>
    </w:p>
    <w:p w14:paraId="5534E890" w14:textId="77777777" w:rsidR="00105650" w:rsidRPr="00D66245" w:rsidRDefault="00105650" w:rsidP="00105650">
      <w:pPr>
        <w:spacing w:before="120" w:after="200" w:line="240" w:lineRule="auto"/>
        <w:ind w:firstLine="708"/>
        <w:jc w:val="both"/>
        <w:rPr>
          <w:rFonts w:ascii="Palatino Linotype" w:hAnsi="Palatino Linotype"/>
        </w:rPr>
      </w:pPr>
      <w:r w:rsidRPr="00D66245">
        <w:rPr>
          <w:rFonts w:ascii="Palatino Linotype" w:hAnsi="Palatino Linotype"/>
        </w:rPr>
        <w:t>La conclusión más importante que se desprende de las líneas precedentes, es la existencia de una autorización legal, para la aplicación de la normativa procesal civil, en orden a la resolución de aquellos aspectos procesales que no están expresamente previstos en el Código Procesal Contencioso Administrativo.</w:t>
      </w:r>
    </w:p>
    <w:p w14:paraId="69CAC057" w14:textId="77777777" w:rsidR="00105650" w:rsidRPr="00D66245" w:rsidRDefault="00105650" w:rsidP="00105650">
      <w:pPr>
        <w:spacing w:before="120" w:after="200" w:line="240" w:lineRule="auto"/>
        <w:ind w:firstLine="708"/>
        <w:jc w:val="both"/>
        <w:rPr>
          <w:rFonts w:ascii="Palatino Linotype" w:hAnsi="Palatino Linotype"/>
        </w:rPr>
      </w:pPr>
      <w:r w:rsidRPr="00D66245">
        <w:rPr>
          <w:rFonts w:ascii="Palatino Linotype" w:hAnsi="Palatino Linotype"/>
        </w:rPr>
        <w:t>La utilización del NCPC está supeditada sin embargo, a que se determine que no existen otras normas o principios en el ordenamiento jurídico administrativo, que permitan hacer la integración normativa correspondiente.-</w:t>
      </w:r>
    </w:p>
    <w:p w14:paraId="2241B641" w14:textId="77777777" w:rsidR="00105650" w:rsidRPr="00D66245" w:rsidRDefault="00105650" w:rsidP="00105650">
      <w:pPr>
        <w:spacing w:before="120" w:after="200" w:line="240" w:lineRule="auto"/>
        <w:ind w:firstLine="708"/>
        <w:jc w:val="both"/>
        <w:rPr>
          <w:rFonts w:ascii="Palatino Linotype" w:hAnsi="Palatino Linotype"/>
        </w:rPr>
      </w:pPr>
      <w:r w:rsidRPr="00D66245">
        <w:rPr>
          <w:rFonts w:ascii="Palatino Linotype" w:hAnsi="Palatino Linotype"/>
        </w:rPr>
        <w:t>En caso que coexistan normas en el ordenamiento administrativo y en el NCPC, sobre un mismo tema que no esté expresamente previsto en el CPCA, prevalecerán las primeras y sólo en caso de ser necesario, para completar la decisión, se acudirá a la normativa del orden común.-</w:t>
      </w:r>
    </w:p>
    <w:p w14:paraId="4DF99DA0" w14:textId="77777777" w:rsidR="00105650" w:rsidRPr="00D66245" w:rsidRDefault="00105650" w:rsidP="00105650">
      <w:pPr>
        <w:spacing w:before="120" w:after="200" w:line="240" w:lineRule="auto"/>
        <w:ind w:firstLine="708"/>
        <w:jc w:val="both"/>
        <w:rPr>
          <w:rFonts w:ascii="Palatino Linotype" w:hAnsi="Palatino Linotype"/>
        </w:rPr>
      </w:pPr>
      <w:r w:rsidRPr="00D66245">
        <w:rPr>
          <w:rFonts w:ascii="Palatino Linotype" w:hAnsi="Palatino Linotype"/>
        </w:rPr>
        <w:t>Dada la regulación de diversos temas procedimentales, previstos por el orden jurídico público y, muy particularmente en el Libro II de la LGAP, puede afirmarse que el impacto del CPCA, en lo relativo a la apelación contencioso administrativa es, según lo expuesto, de moderado a bajo.-</w:t>
      </w:r>
    </w:p>
    <w:p w14:paraId="7C20DDEF" w14:textId="77777777" w:rsidR="00105650" w:rsidRPr="00D66245" w:rsidRDefault="00105650" w:rsidP="00105650">
      <w:pPr>
        <w:spacing w:before="120" w:after="200" w:line="240" w:lineRule="auto"/>
        <w:jc w:val="both"/>
        <w:rPr>
          <w:rFonts w:ascii="Palatino Linotype" w:hAnsi="Palatino Linotype"/>
        </w:rPr>
      </w:pPr>
    </w:p>
    <w:p w14:paraId="13EF1FB9" w14:textId="77777777" w:rsidR="00105650" w:rsidRPr="00D66245" w:rsidRDefault="00105650" w:rsidP="00105650">
      <w:pPr>
        <w:spacing w:before="120" w:after="200" w:line="360" w:lineRule="auto"/>
        <w:jc w:val="center"/>
        <w:rPr>
          <w:rFonts w:ascii="Palatino Linotype" w:hAnsi="Palatino Linotype"/>
          <w:b/>
        </w:rPr>
      </w:pPr>
      <w:r w:rsidRPr="00D66245">
        <w:rPr>
          <w:rFonts w:ascii="Palatino Linotype" w:hAnsi="Palatino Linotype"/>
          <w:b/>
        </w:rPr>
        <w:br w:type="page"/>
      </w:r>
      <w:r w:rsidRPr="00D66245">
        <w:rPr>
          <w:rFonts w:ascii="Palatino Linotype" w:hAnsi="Palatino Linotype"/>
          <w:b/>
        </w:rPr>
        <w:lastRenderedPageBreak/>
        <w:t>BIBLIOGRAFÍA CONSULTADA:</w:t>
      </w:r>
    </w:p>
    <w:p w14:paraId="57A0C676" w14:textId="77777777" w:rsidR="00105650" w:rsidRPr="00D66245" w:rsidRDefault="00105650" w:rsidP="00105650">
      <w:pPr>
        <w:spacing w:before="120" w:after="200" w:line="240" w:lineRule="auto"/>
        <w:jc w:val="both"/>
        <w:rPr>
          <w:rFonts w:ascii="Palatino Linotype" w:hAnsi="Palatino Linotype"/>
          <w:b/>
          <w:lang w:val="es-MX"/>
        </w:rPr>
      </w:pPr>
      <w:r w:rsidRPr="00D66245">
        <w:rPr>
          <w:rFonts w:ascii="Palatino Linotype" w:hAnsi="Palatino Linotype"/>
          <w:b/>
          <w:lang w:val="es-MX"/>
        </w:rPr>
        <w:t>LIBROS Y ENSAYOS:</w:t>
      </w:r>
    </w:p>
    <w:p w14:paraId="4DEA76EE" w14:textId="77777777" w:rsidR="00105650" w:rsidRPr="00D66245" w:rsidRDefault="00105650" w:rsidP="00105650">
      <w:pPr>
        <w:spacing w:after="0" w:line="240" w:lineRule="auto"/>
        <w:jc w:val="both"/>
        <w:rPr>
          <w:rFonts w:ascii="Palatino Linotype" w:hAnsi="Palatino Linotype"/>
          <w:u w:val="single"/>
          <w:lang w:val="es-MX"/>
        </w:rPr>
      </w:pPr>
      <w:r w:rsidRPr="00D66245">
        <w:rPr>
          <w:rFonts w:ascii="Palatino Linotype" w:hAnsi="Palatino Linotype"/>
          <w:lang w:val="es-MX"/>
        </w:rPr>
        <w:t xml:space="preserve">Aragón Cambronero, Yazmín. </w:t>
      </w:r>
      <w:r w:rsidRPr="00D66245">
        <w:rPr>
          <w:rFonts w:ascii="Palatino Linotype" w:hAnsi="Palatino Linotype"/>
          <w:u w:val="single"/>
          <w:lang w:val="es-MX"/>
        </w:rPr>
        <w:t xml:space="preserve">La garantía de la doble instancia en el proceso contencioso administrativo costarricense. </w:t>
      </w:r>
      <w:r w:rsidRPr="00D66245">
        <w:rPr>
          <w:rFonts w:ascii="Palatino Linotype" w:hAnsi="Palatino Linotype"/>
          <w:lang w:val="es-MX"/>
        </w:rPr>
        <w:t>En: III Congreso de Derecho Procesal, “Garantías constitucionales en el proceso” San José, CR, 2015. Págs. 519-554.</w:t>
      </w:r>
    </w:p>
    <w:p w14:paraId="36E16F0A" w14:textId="77777777" w:rsidR="00105650" w:rsidRPr="00D66245" w:rsidRDefault="00105650" w:rsidP="00105650">
      <w:pPr>
        <w:spacing w:after="0" w:line="240" w:lineRule="auto"/>
        <w:jc w:val="both"/>
        <w:rPr>
          <w:rFonts w:ascii="Palatino Linotype" w:hAnsi="Palatino Linotype"/>
          <w:lang w:val="es-MX"/>
        </w:rPr>
      </w:pPr>
      <w:r w:rsidRPr="00D66245">
        <w:rPr>
          <w:rFonts w:ascii="Palatino Linotype" w:hAnsi="Palatino Linotype"/>
          <w:lang w:val="es-MX"/>
        </w:rPr>
        <w:t xml:space="preserve">Bolaños Salas, Irene. </w:t>
      </w:r>
      <w:r w:rsidRPr="00D66245">
        <w:rPr>
          <w:rFonts w:ascii="Palatino Linotype" w:hAnsi="Palatino Linotype"/>
          <w:u w:val="single"/>
          <w:lang w:val="es-MX"/>
        </w:rPr>
        <w:t>Los recursos en el Proceso Contencioso Administrativo: Análisis comparativo entre la LRJCA y el CPCA”</w:t>
      </w:r>
      <w:r w:rsidRPr="00D66245">
        <w:rPr>
          <w:rFonts w:ascii="Palatino Linotype" w:hAnsi="Palatino Linotype"/>
          <w:lang w:val="es-MX"/>
        </w:rPr>
        <w:t>. En: Código Procesal Contencioso Administrativo comentado. 1ª. Ed. San José, CR, JURITEXTO, 2008, pág. 417-505</w:t>
      </w:r>
    </w:p>
    <w:p w14:paraId="016D9FAA" w14:textId="77777777" w:rsidR="00105650" w:rsidRPr="00D66245" w:rsidRDefault="00105650" w:rsidP="00105650">
      <w:pPr>
        <w:spacing w:after="0" w:line="240" w:lineRule="auto"/>
        <w:jc w:val="both"/>
        <w:rPr>
          <w:rFonts w:ascii="Palatino Linotype" w:hAnsi="Palatino Linotype"/>
          <w:lang w:val="es-MX"/>
        </w:rPr>
      </w:pPr>
      <w:r w:rsidRPr="00D66245">
        <w:rPr>
          <w:rFonts w:ascii="Palatino Linotype" w:hAnsi="Palatino Linotype"/>
          <w:lang w:val="es-MX"/>
        </w:rPr>
        <w:t xml:space="preserve">Código Procesal Contencioso Administrativo: texto oficial. </w:t>
      </w:r>
      <w:r w:rsidRPr="00D66245">
        <w:rPr>
          <w:rFonts w:ascii="Palatino Linotype" w:hAnsi="Palatino Linotype"/>
          <w:lang w:val="en-US"/>
        </w:rPr>
        <w:t xml:space="preserve">1ª. Ed. San José, CR. </w:t>
      </w:r>
      <w:r w:rsidRPr="00D66245">
        <w:rPr>
          <w:rFonts w:ascii="Palatino Linotype" w:hAnsi="Palatino Linotype"/>
          <w:lang w:val="es-MX"/>
        </w:rPr>
        <w:t xml:space="preserve">Colegio de Abogados de Costa Rica (editor), PGR (coeditor), 2007, 952 p. </w:t>
      </w:r>
    </w:p>
    <w:p w14:paraId="6592E5BE" w14:textId="77777777" w:rsidR="00105650" w:rsidRPr="00D66245" w:rsidRDefault="00105650" w:rsidP="00105650">
      <w:pPr>
        <w:spacing w:after="0" w:line="240" w:lineRule="auto"/>
        <w:jc w:val="both"/>
        <w:rPr>
          <w:rFonts w:ascii="Palatino Linotype" w:hAnsi="Palatino Linotype"/>
          <w:b/>
        </w:rPr>
      </w:pPr>
      <w:r w:rsidRPr="00D66245">
        <w:rPr>
          <w:rFonts w:ascii="Palatino Linotype" w:hAnsi="Palatino Linotype"/>
          <w:lang w:val="es-MX"/>
        </w:rPr>
        <w:t xml:space="preserve">Córdoba O. Jorge y Fernández A. Hubert. </w:t>
      </w:r>
      <w:r w:rsidRPr="00D66245">
        <w:rPr>
          <w:rFonts w:ascii="Palatino Linotype" w:hAnsi="Palatino Linotype"/>
          <w:u w:val="single"/>
          <w:lang w:val="es-MX"/>
        </w:rPr>
        <w:t>Ley Reguladora de la Jurisdicción Contencioso Administrativa (con jurisprudencia contencioso administrativa y constitucional)</w:t>
      </w:r>
      <w:r w:rsidRPr="00D66245">
        <w:rPr>
          <w:rFonts w:ascii="Palatino Linotype" w:hAnsi="Palatino Linotype"/>
          <w:lang w:val="es-MX"/>
        </w:rPr>
        <w:t>. 4ª. Ed. San José, Cr. IJSA, 2006. 572 p.</w:t>
      </w:r>
    </w:p>
    <w:p w14:paraId="4F849193" w14:textId="77777777" w:rsidR="00105650" w:rsidRPr="00D66245" w:rsidRDefault="00105650" w:rsidP="00105650">
      <w:pPr>
        <w:spacing w:after="0" w:line="240" w:lineRule="auto"/>
        <w:rPr>
          <w:rFonts w:ascii="Palatino Linotype" w:hAnsi="Palatino Linotype"/>
        </w:rPr>
      </w:pPr>
      <w:r w:rsidRPr="00D66245">
        <w:rPr>
          <w:rFonts w:ascii="Palatino Linotype" w:hAnsi="Palatino Linotype"/>
        </w:rPr>
        <w:t xml:space="preserve">Herrera, Luis Guillermo. </w:t>
      </w:r>
      <w:r w:rsidRPr="00D66245">
        <w:rPr>
          <w:rFonts w:ascii="Palatino Linotype" w:hAnsi="Palatino Linotype"/>
          <w:u w:val="single"/>
        </w:rPr>
        <w:t>Los recursos en el Código Procesal  Contencioso Administrativo</w:t>
      </w:r>
      <w:r w:rsidRPr="00D66245">
        <w:rPr>
          <w:rFonts w:ascii="Palatino Linotype" w:hAnsi="Palatino Linotype"/>
        </w:rPr>
        <w:t>. En: Jornadas de Análisis sobre el Código Procesal Contencioso Administrativo1a. ed. San José, CR, págs. 388-436.</w:t>
      </w:r>
    </w:p>
    <w:p w14:paraId="2BD19AC2" w14:textId="77777777" w:rsidR="00105650" w:rsidRPr="00D66245" w:rsidRDefault="00105650" w:rsidP="00105650">
      <w:pPr>
        <w:spacing w:after="0" w:line="240" w:lineRule="auto"/>
        <w:rPr>
          <w:rFonts w:ascii="Palatino Linotype" w:hAnsi="Palatino Linotype"/>
        </w:rPr>
      </w:pPr>
      <w:r w:rsidRPr="00D66245">
        <w:rPr>
          <w:rFonts w:ascii="Palatino Linotype" w:hAnsi="Palatino Linotype"/>
        </w:rPr>
        <w:t xml:space="preserve">Jiménez Meza y otros. </w:t>
      </w:r>
      <w:r w:rsidRPr="00D66245">
        <w:rPr>
          <w:rFonts w:ascii="Palatino Linotype" w:hAnsi="Palatino Linotype"/>
          <w:u w:val="single"/>
        </w:rPr>
        <w:t>El nuevo proceso contencioso administrativo.</w:t>
      </w:r>
      <w:r w:rsidRPr="00D66245">
        <w:rPr>
          <w:rFonts w:ascii="Palatino Linotype" w:hAnsi="Palatino Linotype"/>
        </w:rPr>
        <w:t xml:space="preserve"> 1ª. Ed. San José, CR, Poder Judicial. Depto de Artes Gráficas. 2006, 664 p.</w:t>
      </w:r>
    </w:p>
    <w:p w14:paraId="232ABC9A" w14:textId="77777777" w:rsidR="00105650" w:rsidRPr="00D66245" w:rsidRDefault="00105650" w:rsidP="00105650">
      <w:pPr>
        <w:spacing w:after="0" w:line="240" w:lineRule="auto"/>
        <w:jc w:val="both"/>
        <w:rPr>
          <w:rFonts w:ascii="Palatino Linotype" w:hAnsi="Palatino Linotype"/>
        </w:rPr>
      </w:pPr>
      <w:r w:rsidRPr="00D66245">
        <w:rPr>
          <w:rFonts w:ascii="Palatino Linotype" w:hAnsi="Palatino Linotype"/>
        </w:rPr>
        <w:t xml:space="preserve">Jinesta Lobo, Ernesto. </w:t>
      </w:r>
      <w:r w:rsidRPr="00D66245">
        <w:rPr>
          <w:rFonts w:ascii="Palatino Linotype" w:hAnsi="Palatino Linotype"/>
          <w:u w:val="single"/>
        </w:rPr>
        <w:t>Manual del Proceso Contencioso Administrativo.</w:t>
      </w:r>
      <w:r w:rsidRPr="00D66245">
        <w:rPr>
          <w:rFonts w:ascii="Palatino Linotype" w:hAnsi="Palatino Linotype"/>
        </w:rPr>
        <w:t xml:space="preserve"> San José CR. Editorial Jurídica Continental, 2008. 302 p. </w:t>
      </w:r>
    </w:p>
    <w:p w14:paraId="3992154C" w14:textId="77777777" w:rsidR="00105650" w:rsidRPr="00D66245" w:rsidRDefault="00105650" w:rsidP="00105650">
      <w:pPr>
        <w:spacing w:after="0" w:line="240" w:lineRule="auto"/>
        <w:jc w:val="both"/>
        <w:rPr>
          <w:rFonts w:ascii="Palatino Linotype" w:hAnsi="Palatino Linotype"/>
        </w:rPr>
      </w:pPr>
      <w:r w:rsidRPr="00D66245">
        <w:rPr>
          <w:rFonts w:ascii="Palatino Linotype" w:hAnsi="Palatino Linotype"/>
        </w:rPr>
        <w:t xml:space="preserve">López González, Jorge Alberto. </w:t>
      </w:r>
      <w:r w:rsidRPr="00D66245">
        <w:rPr>
          <w:rFonts w:ascii="Palatino Linotype" w:hAnsi="Palatino Linotype"/>
          <w:u w:val="single"/>
        </w:rPr>
        <w:t xml:space="preserve">Curso de Derecho Procesal Civil Costarricense I. </w:t>
      </w:r>
      <w:r w:rsidRPr="00D66245">
        <w:rPr>
          <w:rFonts w:ascii="Palatino Linotype" w:hAnsi="Palatino Linotype"/>
        </w:rPr>
        <w:t xml:space="preserve">1ª. Ed. San José, CR, EdiNexo, 2017, 564 p. </w:t>
      </w:r>
    </w:p>
    <w:p w14:paraId="3447C4AD" w14:textId="77777777" w:rsidR="00105650" w:rsidRPr="00D66245" w:rsidRDefault="00105650" w:rsidP="00105650">
      <w:pPr>
        <w:spacing w:after="0" w:line="240" w:lineRule="auto"/>
        <w:jc w:val="both"/>
        <w:rPr>
          <w:rFonts w:ascii="Palatino Linotype" w:hAnsi="Palatino Linotype"/>
        </w:rPr>
      </w:pPr>
      <w:r w:rsidRPr="00D66245">
        <w:rPr>
          <w:rFonts w:ascii="Palatino Linotype" w:hAnsi="Palatino Linotype"/>
        </w:rPr>
        <w:t xml:space="preserve">Núñez Quesada, Alonso y Rojas Ortega Alex. </w:t>
      </w:r>
      <w:r w:rsidRPr="00D66245">
        <w:rPr>
          <w:rFonts w:ascii="Palatino Linotype" w:hAnsi="Palatino Linotype"/>
          <w:u w:val="single"/>
        </w:rPr>
        <w:t>La impugnación de la liquidación de costas, intereses e indexación, en el proceso de ejecución de sentencia contencioso administrativo</w:t>
      </w:r>
      <w:r w:rsidRPr="00D66245">
        <w:rPr>
          <w:rFonts w:ascii="Palatino Linotype" w:hAnsi="Palatino Linotype"/>
        </w:rPr>
        <w:t xml:space="preserve">. En: 10 años de vigencia del Código Procesal Contencioso: Reflexiones y Reformas necesarias. 1ª. Ed. San José, CR. ISOLMA, 2019.  364 p. </w:t>
      </w:r>
    </w:p>
    <w:p w14:paraId="4050DFF0" w14:textId="47BAEFC9" w:rsidR="00105650" w:rsidRDefault="00105650" w:rsidP="00105650">
      <w:pPr>
        <w:spacing w:after="0" w:line="240" w:lineRule="auto"/>
        <w:rPr>
          <w:rFonts w:ascii="Palatino Linotype" w:hAnsi="Palatino Linotype"/>
        </w:rPr>
      </w:pPr>
      <w:r w:rsidRPr="00D66245">
        <w:rPr>
          <w:rFonts w:ascii="Palatino Linotype" w:hAnsi="Palatino Linotype"/>
        </w:rPr>
        <w:t xml:space="preserve">Villalobos Soto, José Joaquín. </w:t>
      </w:r>
      <w:r w:rsidRPr="00D66245">
        <w:rPr>
          <w:rFonts w:ascii="Palatino Linotype" w:hAnsi="Palatino Linotype"/>
          <w:u w:val="single"/>
        </w:rPr>
        <w:t>Guía para litigar en el proceso contencioso administrativo.</w:t>
      </w:r>
      <w:r w:rsidRPr="00D66245">
        <w:rPr>
          <w:rFonts w:ascii="Palatino Linotype" w:hAnsi="Palatino Linotype"/>
        </w:rPr>
        <w:t xml:space="preserve">1ª. ed. San José, CR. IJSA, 2008, 264 p. </w:t>
      </w:r>
    </w:p>
    <w:p w14:paraId="698DE03D" w14:textId="02E0656C" w:rsidR="00D141D3" w:rsidRDefault="00D141D3" w:rsidP="00105650">
      <w:pPr>
        <w:spacing w:after="0" w:line="240" w:lineRule="auto"/>
        <w:rPr>
          <w:rFonts w:ascii="Palatino Linotype" w:hAnsi="Palatino Linotype"/>
        </w:rPr>
      </w:pPr>
    </w:p>
    <w:p w14:paraId="759F8ADE" w14:textId="049F4E0E" w:rsidR="00D141D3" w:rsidRDefault="00D141D3" w:rsidP="00105650">
      <w:pPr>
        <w:spacing w:after="0" w:line="240" w:lineRule="auto"/>
        <w:rPr>
          <w:rFonts w:ascii="Palatino Linotype" w:hAnsi="Palatino Linotype"/>
        </w:rPr>
      </w:pPr>
    </w:p>
    <w:p w14:paraId="6E822CC0" w14:textId="77777777" w:rsidR="00D141D3" w:rsidRPr="00D66245" w:rsidRDefault="00D141D3" w:rsidP="00105650">
      <w:pPr>
        <w:spacing w:after="0" w:line="240" w:lineRule="auto"/>
        <w:rPr>
          <w:rFonts w:ascii="Palatino Linotype" w:hAnsi="Palatino Linotype"/>
        </w:rPr>
      </w:pPr>
    </w:p>
    <w:p w14:paraId="79ABD1C7" w14:textId="77777777" w:rsidR="00105650" w:rsidRPr="00D66245" w:rsidRDefault="00105650" w:rsidP="00D141D3">
      <w:pPr>
        <w:spacing w:after="0" w:line="360" w:lineRule="auto"/>
        <w:rPr>
          <w:rFonts w:ascii="Palatino Linotype" w:hAnsi="Palatino Linotype"/>
          <w:b/>
        </w:rPr>
      </w:pPr>
      <w:r w:rsidRPr="00D66245">
        <w:rPr>
          <w:rFonts w:ascii="Palatino Linotype" w:hAnsi="Palatino Linotype"/>
          <w:b/>
        </w:rPr>
        <w:lastRenderedPageBreak/>
        <w:t>JURISPRUDENCIA:</w:t>
      </w:r>
    </w:p>
    <w:p w14:paraId="4F9BA618" w14:textId="77777777" w:rsidR="00105650" w:rsidRPr="00D66245" w:rsidRDefault="00105650" w:rsidP="00D141D3">
      <w:pPr>
        <w:pStyle w:val="Textonotapie"/>
        <w:rPr>
          <w:rFonts w:ascii="Palatino Linotype" w:hAnsi="Palatino Linotype"/>
          <w:sz w:val="22"/>
          <w:szCs w:val="22"/>
          <w:lang w:val="es-MX"/>
        </w:rPr>
      </w:pPr>
      <w:r w:rsidRPr="00D66245">
        <w:rPr>
          <w:rFonts w:ascii="Palatino Linotype" w:hAnsi="Palatino Linotype"/>
          <w:sz w:val="22"/>
          <w:szCs w:val="22"/>
          <w:lang w:val="es-MX"/>
        </w:rPr>
        <w:t xml:space="preserve">Sala Primera de la Corte Suprema de Justicia, N°585-A-S1-2017 de las 11:13 horas del 17 de mayo de 2017. </w:t>
      </w:r>
    </w:p>
    <w:p w14:paraId="213FC8A7" w14:textId="77777777" w:rsidR="00105650" w:rsidRPr="00D66245" w:rsidRDefault="00105650" w:rsidP="00D141D3">
      <w:pPr>
        <w:pStyle w:val="Textonotapie"/>
        <w:jc w:val="both"/>
        <w:rPr>
          <w:rFonts w:ascii="Palatino Linotype" w:hAnsi="Palatino Linotype"/>
          <w:sz w:val="22"/>
          <w:szCs w:val="22"/>
          <w:lang w:val="es-MX"/>
        </w:rPr>
      </w:pPr>
    </w:p>
    <w:p w14:paraId="270171A8" w14:textId="77777777" w:rsidR="00105650" w:rsidRPr="00D66245" w:rsidRDefault="00105650" w:rsidP="00D141D3">
      <w:pPr>
        <w:pStyle w:val="Textonotapie"/>
        <w:jc w:val="both"/>
        <w:rPr>
          <w:rFonts w:ascii="Palatino Linotype" w:hAnsi="Palatino Linotype"/>
          <w:sz w:val="22"/>
          <w:szCs w:val="22"/>
          <w:lang w:val="es-MX"/>
        </w:rPr>
      </w:pPr>
      <w:r w:rsidRPr="00D66245">
        <w:rPr>
          <w:rFonts w:ascii="Palatino Linotype" w:hAnsi="Palatino Linotype"/>
          <w:sz w:val="22"/>
          <w:szCs w:val="22"/>
          <w:lang w:val="es-MX"/>
        </w:rPr>
        <w:t>Sala Primera de la Corte Suprema de Justicia, N° 649-A-S1-2015 de las 09:42 horas del 04-06-2015</w:t>
      </w:r>
    </w:p>
    <w:p w14:paraId="7D71FC57" w14:textId="77777777" w:rsidR="00105650" w:rsidRPr="00D66245" w:rsidRDefault="00105650" w:rsidP="00D141D3">
      <w:pPr>
        <w:pStyle w:val="Textonotapie"/>
        <w:jc w:val="both"/>
        <w:rPr>
          <w:rFonts w:ascii="Palatino Linotype" w:hAnsi="Palatino Linotype"/>
          <w:sz w:val="22"/>
          <w:szCs w:val="22"/>
          <w:lang w:val="es-MX"/>
        </w:rPr>
      </w:pPr>
    </w:p>
    <w:p w14:paraId="18EA8C4B" w14:textId="77777777" w:rsidR="00105650" w:rsidRPr="00D66245" w:rsidRDefault="00105650" w:rsidP="00D141D3">
      <w:pPr>
        <w:pStyle w:val="Textonotapie"/>
        <w:jc w:val="both"/>
        <w:rPr>
          <w:rFonts w:ascii="Palatino Linotype" w:hAnsi="Palatino Linotype"/>
          <w:sz w:val="22"/>
          <w:szCs w:val="22"/>
          <w:lang w:val="es-MX"/>
        </w:rPr>
      </w:pPr>
      <w:r w:rsidRPr="00D66245">
        <w:rPr>
          <w:rFonts w:ascii="Palatino Linotype" w:hAnsi="Palatino Linotype"/>
          <w:sz w:val="22"/>
          <w:szCs w:val="22"/>
          <w:lang w:val="es-MX"/>
        </w:rPr>
        <w:t xml:space="preserve">Sala Primera de la Corte Suprema de Justicia, N° 76-S1-2016 de las 11:26 horas del 05-02-2016. </w:t>
      </w:r>
    </w:p>
    <w:p w14:paraId="7914E84B" w14:textId="77777777" w:rsidR="00105650" w:rsidRPr="00D66245" w:rsidRDefault="00105650" w:rsidP="00D141D3">
      <w:pPr>
        <w:autoSpaceDE w:val="0"/>
        <w:autoSpaceDN w:val="0"/>
        <w:adjustRightInd w:val="0"/>
        <w:spacing w:after="0" w:line="240" w:lineRule="auto"/>
        <w:jc w:val="both"/>
        <w:rPr>
          <w:rFonts w:ascii="Palatino Linotype" w:hAnsi="Palatino Linotype"/>
          <w:lang w:val="es-MX"/>
        </w:rPr>
      </w:pPr>
    </w:p>
    <w:p w14:paraId="3220774A" w14:textId="77777777" w:rsidR="00105650" w:rsidRPr="00D66245" w:rsidRDefault="00105650" w:rsidP="00D141D3">
      <w:pPr>
        <w:autoSpaceDE w:val="0"/>
        <w:autoSpaceDN w:val="0"/>
        <w:adjustRightInd w:val="0"/>
        <w:spacing w:after="0" w:line="240" w:lineRule="auto"/>
        <w:jc w:val="both"/>
        <w:rPr>
          <w:rFonts w:ascii="Palatino Linotype" w:hAnsi="Palatino Linotype"/>
          <w:lang w:val="es-MX"/>
        </w:rPr>
      </w:pPr>
      <w:r w:rsidRPr="00D66245">
        <w:rPr>
          <w:rFonts w:ascii="Palatino Linotype" w:hAnsi="Palatino Linotype"/>
          <w:lang w:val="es-MX"/>
        </w:rPr>
        <w:t>Sala Primera de la Corte Suprema de Justicia, N°</w:t>
      </w:r>
      <w:r w:rsidRPr="00D66245">
        <w:rPr>
          <w:rFonts w:ascii="Palatino Linotype" w:hAnsi="Palatino Linotype"/>
          <w:lang w:val="es-MX" w:eastAsia="es-MX"/>
        </w:rPr>
        <w:t xml:space="preserve"> 1278-A-S1-2016 de las 15:57 horas del 02-12-2016.</w:t>
      </w:r>
    </w:p>
    <w:p w14:paraId="228D170B" w14:textId="77777777" w:rsidR="00105650" w:rsidRPr="00D66245" w:rsidRDefault="00105650" w:rsidP="00D141D3">
      <w:pPr>
        <w:pStyle w:val="Textonotapie"/>
        <w:jc w:val="both"/>
        <w:rPr>
          <w:rFonts w:ascii="Palatino Linotype" w:hAnsi="Palatino Linotype"/>
          <w:sz w:val="22"/>
          <w:szCs w:val="22"/>
          <w:lang w:val="es-MX"/>
        </w:rPr>
      </w:pPr>
    </w:p>
    <w:p w14:paraId="19B9CD93" w14:textId="77777777" w:rsidR="00105650" w:rsidRPr="00D66245" w:rsidRDefault="00105650" w:rsidP="00D141D3">
      <w:pPr>
        <w:pStyle w:val="Textonotapie"/>
        <w:rPr>
          <w:rFonts w:ascii="Palatino Linotype" w:hAnsi="Palatino Linotype"/>
          <w:sz w:val="22"/>
          <w:szCs w:val="22"/>
          <w:lang w:val="es-MX"/>
        </w:rPr>
      </w:pPr>
      <w:r w:rsidRPr="00D66245">
        <w:rPr>
          <w:rFonts w:ascii="Palatino Linotype" w:hAnsi="Palatino Linotype"/>
          <w:sz w:val="22"/>
          <w:szCs w:val="22"/>
          <w:lang w:val="es-MX"/>
        </w:rPr>
        <w:t xml:space="preserve">Sala Primera de la Corte Suprema de Justicia, N°223-A-S1-2017 de las 11:00 del 02-03-2017. </w:t>
      </w:r>
    </w:p>
    <w:p w14:paraId="08104C4F" w14:textId="77777777" w:rsidR="00105650" w:rsidRPr="00D66245" w:rsidRDefault="00105650" w:rsidP="00D141D3">
      <w:pPr>
        <w:pStyle w:val="Textonotapie"/>
        <w:rPr>
          <w:rFonts w:ascii="Palatino Linotype" w:hAnsi="Palatino Linotype"/>
          <w:sz w:val="22"/>
          <w:szCs w:val="22"/>
          <w:lang w:val="es-MX"/>
        </w:rPr>
      </w:pPr>
    </w:p>
    <w:p w14:paraId="744C263F" w14:textId="77777777" w:rsidR="00105650" w:rsidRPr="00D66245" w:rsidRDefault="00105650" w:rsidP="00D141D3">
      <w:pPr>
        <w:pStyle w:val="Textonotapie"/>
        <w:rPr>
          <w:rFonts w:ascii="Palatino Linotype" w:hAnsi="Palatino Linotype"/>
          <w:sz w:val="22"/>
          <w:szCs w:val="22"/>
          <w:lang w:val="es-MX"/>
        </w:rPr>
      </w:pPr>
      <w:r w:rsidRPr="00D66245">
        <w:rPr>
          <w:rFonts w:ascii="Palatino Linotype" w:hAnsi="Palatino Linotype"/>
          <w:sz w:val="22"/>
          <w:szCs w:val="22"/>
          <w:lang w:val="es-MX"/>
        </w:rPr>
        <w:t>Tribunal de Casación de lo Contencioso Administrativo y Civil de Hacienda. Resolución N°</w:t>
      </w:r>
      <w:r w:rsidRPr="00D66245">
        <w:rPr>
          <w:rFonts w:ascii="Palatino Linotype" w:hAnsi="Palatino Linotype"/>
          <w:sz w:val="22"/>
          <w:szCs w:val="22"/>
        </w:rPr>
        <w:t xml:space="preserve"> 105-A-TC-09 de 10:00 h. de 04-06-2009</w:t>
      </w:r>
      <w:r w:rsidRPr="00D66245">
        <w:rPr>
          <w:rFonts w:ascii="Palatino Linotype" w:hAnsi="Palatino Linotype"/>
          <w:sz w:val="22"/>
          <w:szCs w:val="22"/>
          <w:lang w:val="es-MX"/>
        </w:rPr>
        <w:t>.-</w:t>
      </w:r>
    </w:p>
    <w:p w14:paraId="28643DE4" w14:textId="77777777" w:rsidR="00105650" w:rsidRPr="00D66245" w:rsidRDefault="00105650" w:rsidP="00D141D3">
      <w:pPr>
        <w:pStyle w:val="Textonotapie"/>
        <w:jc w:val="both"/>
        <w:rPr>
          <w:rFonts w:ascii="Palatino Linotype" w:hAnsi="Palatino Linotype"/>
          <w:sz w:val="22"/>
          <w:szCs w:val="22"/>
          <w:lang w:val="es-MX"/>
        </w:rPr>
      </w:pPr>
    </w:p>
    <w:p w14:paraId="28A7292C" w14:textId="77777777" w:rsidR="00105650" w:rsidRPr="00D66245" w:rsidRDefault="00105650" w:rsidP="00D141D3">
      <w:pPr>
        <w:numPr>
          <w:ilvl w:val="0"/>
          <w:numId w:val="28"/>
        </w:numPr>
        <w:tabs>
          <w:tab w:val="num" w:pos="0"/>
        </w:tabs>
        <w:spacing w:after="0" w:line="240" w:lineRule="auto"/>
        <w:rPr>
          <w:rFonts w:ascii="Palatino Linotype" w:hAnsi="Palatino Linotype"/>
          <w:b/>
        </w:rPr>
      </w:pPr>
      <w:r w:rsidRPr="00D66245">
        <w:rPr>
          <w:rFonts w:ascii="Palatino Linotype" w:hAnsi="Palatino Linotype"/>
        </w:rPr>
        <w:t xml:space="preserve">Tribunal de Apelaciones de lo Contencioso Administrativo. Sección I. </w:t>
      </w:r>
      <w:r w:rsidRPr="00D66245">
        <w:rPr>
          <w:rFonts w:ascii="Palatino Linotype" w:hAnsi="Palatino Linotype"/>
          <w:lang w:val="es-MX"/>
        </w:rPr>
        <w:t>N° 574-2011 de las 11:00 horas del 08-12-2011 y N°057-2013 de las 15:00 horas del 30-01-2013.</w:t>
      </w:r>
    </w:p>
    <w:p w14:paraId="3EE2D5B2" w14:textId="77777777" w:rsidR="00105650" w:rsidRPr="00D66245" w:rsidRDefault="00105650" w:rsidP="00105650">
      <w:pPr>
        <w:numPr>
          <w:ilvl w:val="0"/>
          <w:numId w:val="28"/>
        </w:numPr>
        <w:tabs>
          <w:tab w:val="num" w:pos="0"/>
        </w:tabs>
        <w:spacing w:before="120" w:after="200" w:line="360" w:lineRule="auto"/>
        <w:ind w:left="432" w:hanging="432"/>
        <w:rPr>
          <w:rFonts w:ascii="Palatino Linotype" w:hAnsi="Palatino Linotype"/>
          <w:b/>
        </w:rPr>
      </w:pPr>
      <w:r w:rsidRPr="00D66245">
        <w:rPr>
          <w:rFonts w:ascii="Palatino Linotype" w:hAnsi="Palatino Linotype"/>
          <w:b/>
        </w:rPr>
        <w:t>NORMATIVA:</w:t>
      </w:r>
    </w:p>
    <w:p w14:paraId="1F2CEBC7" w14:textId="77777777" w:rsidR="00105650" w:rsidRPr="00D66245" w:rsidRDefault="00105650" w:rsidP="00105650">
      <w:pPr>
        <w:numPr>
          <w:ilvl w:val="0"/>
          <w:numId w:val="28"/>
        </w:numPr>
        <w:tabs>
          <w:tab w:val="num" w:pos="0"/>
        </w:tabs>
        <w:spacing w:before="120" w:after="200" w:line="240" w:lineRule="auto"/>
        <w:jc w:val="both"/>
        <w:rPr>
          <w:rFonts w:ascii="Palatino Linotype" w:hAnsi="Palatino Linotype"/>
        </w:rPr>
      </w:pPr>
      <w:r w:rsidRPr="00D66245">
        <w:rPr>
          <w:rFonts w:ascii="Palatino Linotype" w:hAnsi="Palatino Linotype"/>
        </w:rPr>
        <w:t>Código Procesal Civil (concordado e índice analítico) Artavia Barrantes, Sergio y otro (compiladores) 1ª. Edición. San José. IJSA, enero 2016. 311 p.</w:t>
      </w:r>
    </w:p>
    <w:p w14:paraId="42ED21ED" w14:textId="77777777" w:rsidR="00105650" w:rsidRPr="00D66245" w:rsidRDefault="00105650" w:rsidP="00105650">
      <w:pPr>
        <w:spacing w:before="120" w:after="200" w:line="240" w:lineRule="auto"/>
        <w:jc w:val="both"/>
        <w:rPr>
          <w:rFonts w:ascii="Palatino Linotype" w:hAnsi="Palatino Linotype"/>
        </w:rPr>
      </w:pPr>
      <w:r w:rsidRPr="00D66245">
        <w:rPr>
          <w:rFonts w:ascii="Palatino Linotype" w:hAnsi="Palatino Linotype"/>
        </w:rPr>
        <w:t xml:space="preserve">Córdoba Ortega, Jorge. </w:t>
      </w:r>
      <w:r w:rsidRPr="00D66245">
        <w:rPr>
          <w:rFonts w:ascii="Palatino Linotype" w:hAnsi="Palatino Linotype"/>
          <w:u w:val="single"/>
        </w:rPr>
        <w:t>Ley General de la Administración Pública (6227/ 1978)</w:t>
      </w:r>
      <w:r w:rsidRPr="00D66245">
        <w:rPr>
          <w:rFonts w:ascii="Palatino Linotype" w:hAnsi="Palatino Linotype"/>
        </w:rPr>
        <w:t>. 1ª. Ed. San José, CR, IJSA, 1998. 676 p.</w:t>
      </w:r>
    </w:p>
    <w:p w14:paraId="1E3B64AE" w14:textId="77777777" w:rsidR="00105650" w:rsidRPr="00D66245" w:rsidRDefault="00105650" w:rsidP="00105650">
      <w:pPr>
        <w:spacing w:before="120" w:after="200" w:line="240" w:lineRule="auto"/>
        <w:ind w:firstLine="708"/>
        <w:jc w:val="center"/>
        <w:rPr>
          <w:rFonts w:ascii="Palatino Linotype" w:hAnsi="Palatino Linotype"/>
          <w:b/>
        </w:rPr>
      </w:pPr>
      <w:r w:rsidRPr="00D66245">
        <w:rPr>
          <w:rFonts w:ascii="Palatino Linotype" w:hAnsi="Palatino Linotype"/>
          <w:b/>
        </w:rPr>
        <w:br w:type="page"/>
      </w:r>
    </w:p>
    <w:p w14:paraId="67922A0B" w14:textId="77777777" w:rsidR="00105650" w:rsidRPr="00D66245" w:rsidRDefault="00105650" w:rsidP="00105650">
      <w:pPr>
        <w:spacing w:before="120" w:after="200" w:line="240" w:lineRule="auto"/>
        <w:ind w:firstLine="708"/>
        <w:jc w:val="center"/>
        <w:rPr>
          <w:rFonts w:ascii="Palatino Linotype" w:hAnsi="Palatino Linotype"/>
          <w:b/>
        </w:rPr>
      </w:pPr>
      <w:r w:rsidRPr="00D66245">
        <w:rPr>
          <w:rFonts w:ascii="Palatino Linotype" w:hAnsi="Palatino Linotype"/>
          <w:b/>
        </w:rPr>
        <w:lastRenderedPageBreak/>
        <w:t>ANEXO 1.</w:t>
      </w:r>
    </w:p>
    <w:p w14:paraId="6D63E918" w14:textId="77777777" w:rsidR="00105650" w:rsidRPr="00D66245" w:rsidRDefault="00105650" w:rsidP="00105650">
      <w:pPr>
        <w:spacing w:before="120" w:after="200" w:line="240" w:lineRule="auto"/>
        <w:ind w:firstLine="708"/>
        <w:jc w:val="center"/>
        <w:rPr>
          <w:rFonts w:ascii="Palatino Linotype" w:hAnsi="Palatino Linotype"/>
          <w:b/>
        </w:rPr>
      </w:pPr>
      <w:r w:rsidRPr="00D66245">
        <w:rPr>
          <w:rFonts w:ascii="Palatino Linotype" w:hAnsi="Palatino Linotype"/>
          <w:b/>
        </w:rPr>
        <w:t>CUADRO RESUMEN. LA REGULACIÓN DE LA APELACIÓN EN EL CPCA Y EN EL NCPC</w:t>
      </w:r>
    </w:p>
    <w:tbl>
      <w:tblPr>
        <w:tblW w:w="73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977"/>
        <w:gridCol w:w="2551"/>
      </w:tblGrid>
      <w:tr w:rsidR="00105650" w:rsidRPr="00D66245" w14:paraId="3548518B" w14:textId="77777777" w:rsidTr="00D141D3">
        <w:tc>
          <w:tcPr>
            <w:tcW w:w="1843" w:type="dxa"/>
          </w:tcPr>
          <w:p w14:paraId="2CF23CA6" w14:textId="77777777" w:rsidR="00105650" w:rsidRPr="00D66245" w:rsidRDefault="00105650" w:rsidP="006D6B49">
            <w:pPr>
              <w:spacing w:before="120" w:after="200" w:line="240" w:lineRule="auto"/>
              <w:jc w:val="center"/>
              <w:rPr>
                <w:rFonts w:ascii="Palatino Linotype" w:hAnsi="Palatino Linotype"/>
                <w:b/>
              </w:rPr>
            </w:pPr>
            <w:r w:rsidRPr="00D66245">
              <w:rPr>
                <w:rFonts w:ascii="Palatino Linotype" w:hAnsi="Palatino Linotype"/>
                <w:b/>
              </w:rPr>
              <w:t>RECURSO DE APELACIÓN</w:t>
            </w:r>
          </w:p>
        </w:tc>
        <w:tc>
          <w:tcPr>
            <w:tcW w:w="2977" w:type="dxa"/>
          </w:tcPr>
          <w:p w14:paraId="640D7AC1" w14:textId="77777777" w:rsidR="00105650" w:rsidRPr="00D66245" w:rsidRDefault="00105650" w:rsidP="006D6B49">
            <w:pPr>
              <w:spacing w:before="120" w:after="200" w:line="240" w:lineRule="auto"/>
              <w:jc w:val="center"/>
              <w:rPr>
                <w:rFonts w:ascii="Palatino Linotype" w:hAnsi="Palatino Linotype"/>
                <w:b/>
              </w:rPr>
            </w:pPr>
            <w:r w:rsidRPr="00D66245">
              <w:rPr>
                <w:rFonts w:ascii="Palatino Linotype" w:hAnsi="Palatino Linotype"/>
                <w:b/>
              </w:rPr>
              <w:t>CPCA (Ley 8508)</w:t>
            </w:r>
          </w:p>
        </w:tc>
        <w:tc>
          <w:tcPr>
            <w:tcW w:w="2551" w:type="dxa"/>
          </w:tcPr>
          <w:p w14:paraId="742B1EC5" w14:textId="77777777" w:rsidR="00105650" w:rsidRPr="00D66245" w:rsidRDefault="00105650" w:rsidP="006D6B49">
            <w:pPr>
              <w:spacing w:before="120" w:after="200" w:line="240" w:lineRule="auto"/>
              <w:jc w:val="center"/>
              <w:rPr>
                <w:rFonts w:ascii="Palatino Linotype" w:hAnsi="Palatino Linotype"/>
                <w:b/>
              </w:rPr>
            </w:pPr>
            <w:r w:rsidRPr="00D66245">
              <w:rPr>
                <w:rFonts w:ascii="Palatino Linotype" w:hAnsi="Palatino Linotype"/>
                <w:b/>
              </w:rPr>
              <w:t>NCPC (Ley 9342)</w:t>
            </w:r>
          </w:p>
        </w:tc>
      </w:tr>
      <w:tr w:rsidR="00105650" w:rsidRPr="00D66245" w14:paraId="0A566A96" w14:textId="77777777" w:rsidTr="00D141D3">
        <w:tc>
          <w:tcPr>
            <w:tcW w:w="1843" w:type="dxa"/>
          </w:tcPr>
          <w:p w14:paraId="326D2394" w14:textId="77777777" w:rsidR="00105650" w:rsidRPr="00D66245" w:rsidRDefault="00105650" w:rsidP="006D6B49">
            <w:pPr>
              <w:spacing w:before="120" w:after="200" w:line="240" w:lineRule="auto"/>
              <w:jc w:val="both"/>
              <w:rPr>
                <w:rFonts w:ascii="Palatino Linotype" w:hAnsi="Palatino Linotype"/>
                <w:b/>
              </w:rPr>
            </w:pPr>
            <w:r w:rsidRPr="00D66245">
              <w:rPr>
                <w:rFonts w:ascii="Palatino Linotype" w:hAnsi="Palatino Linotype"/>
                <w:b/>
              </w:rPr>
              <w:t xml:space="preserve">NATURALEZA </w:t>
            </w:r>
          </w:p>
        </w:tc>
        <w:tc>
          <w:tcPr>
            <w:tcW w:w="2977" w:type="dxa"/>
          </w:tcPr>
          <w:p w14:paraId="1FFAB5B1"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 xml:space="preserve">Recurso ordinario </w:t>
            </w:r>
          </w:p>
        </w:tc>
        <w:tc>
          <w:tcPr>
            <w:tcW w:w="2551" w:type="dxa"/>
          </w:tcPr>
          <w:p w14:paraId="7019015E"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 xml:space="preserve">Recurso ordinario </w:t>
            </w:r>
          </w:p>
        </w:tc>
      </w:tr>
      <w:tr w:rsidR="00105650" w:rsidRPr="00D66245" w14:paraId="5A46F3FB" w14:textId="77777777" w:rsidTr="00D141D3">
        <w:tc>
          <w:tcPr>
            <w:tcW w:w="1843" w:type="dxa"/>
          </w:tcPr>
          <w:p w14:paraId="3043C4A6" w14:textId="77777777" w:rsidR="00105650" w:rsidRPr="00D66245" w:rsidRDefault="00105650" w:rsidP="006D6B49">
            <w:pPr>
              <w:spacing w:before="120" w:after="200" w:line="240" w:lineRule="auto"/>
              <w:jc w:val="both"/>
              <w:rPr>
                <w:rFonts w:ascii="Palatino Linotype" w:hAnsi="Palatino Linotype"/>
                <w:b/>
              </w:rPr>
            </w:pPr>
            <w:r w:rsidRPr="00D66245">
              <w:rPr>
                <w:rFonts w:ascii="Palatino Linotype" w:hAnsi="Palatino Linotype"/>
                <w:b/>
              </w:rPr>
              <w:t>RESOLUCIONES APELABLES</w:t>
            </w:r>
          </w:p>
        </w:tc>
        <w:tc>
          <w:tcPr>
            <w:tcW w:w="2977" w:type="dxa"/>
          </w:tcPr>
          <w:p w14:paraId="32DBEB13"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 xml:space="preserve">Taxatividad </w:t>
            </w:r>
          </w:p>
          <w:p w14:paraId="39D5F86B"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Sólo contra autos.</w:t>
            </w:r>
          </w:p>
          <w:p w14:paraId="60A7E368"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 xml:space="preserve">Siempre en efecto devolutivo. </w:t>
            </w:r>
          </w:p>
          <w:p w14:paraId="23CBF203"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 xml:space="preserve">Supuestos (artículos 28, 30, 61, 71.4 y 178). </w:t>
            </w:r>
          </w:p>
        </w:tc>
        <w:tc>
          <w:tcPr>
            <w:tcW w:w="2551" w:type="dxa"/>
          </w:tcPr>
          <w:p w14:paraId="62101FC6"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Taxatividad</w:t>
            </w:r>
          </w:p>
          <w:p w14:paraId="1F9FE219"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Contra autos y sentencias</w:t>
            </w:r>
          </w:p>
          <w:p w14:paraId="53B19386"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En efecto devolutivo o suspensivo, según el caso.</w:t>
            </w:r>
          </w:p>
          <w:p w14:paraId="5E756F98"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Supuestos (art. 67.3)</w:t>
            </w:r>
          </w:p>
        </w:tc>
      </w:tr>
      <w:tr w:rsidR="00105650" w:rsidRPr="00D66245" w14:paraId="4B32C093" w14:textId="77777777" w:rsidTr="00D141D3">
        <w:tc>
          <w:tcPr>
            <w:tcW w:w="1843" w:type="dxa"/>
          </w:tcPr>
          <w:p w14:paraId="6F0AD53F" w14:textId="77777777" w:rsidR="00105650" w:rsidRPr="00D66245" w:rsidRDefault="00105650" w:rsidP="006D6B49">
            <w:pPr>
              <w:spacing w:before="120" w:after="200" w:line="240" w:lineRule="auto"/>
              <w:jc w:val="both"/>
              <w:rPr>
                <w:rFonts w:ascii="Palatino Linotype" w:hAnsi="Palatino Linotype"/>
                <w:b/>
              </w:rPr>
            </w:pPr>
            <w:r w:rsidRPr="00D66245">
              <w:rPr>
                <w:rFonts w:ascii="Palatino Linotype" w:hAnsi="Palatino Linotype"/>
                <w:b/>
              </w:rPr>
              <w:t>LEGITIMACIÓN PARA RECURRIR</w:t>
            </w:r>
          </w:p>
        </w:tc>
        <w:tc>
          <w:tcPr>
            <w:tcW w:w="2977" w:type="dxa"/>
          </w:tcPr>
          <w:p w14:paraId="0DA3D5C4"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No se regula expresamente</w:t>
            </w:r>
          </w:p>
        </w:tc>
        <w:tc>
          <w:tcPr>
            <w:tcW w:w="2551" w:type="dxa"/>
          </w:tcPr>
          <w:p w14:paraId="614C67B0"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Las personas perjudicadas con la resolución.</w:t>
            </w:r>
          </w:p>
        </w:tc>
      </w:tr>
      <w:tr w:rsidR="00105650" w:rsidRPr="00D66245" w14:paraId="24710410" w14:textId="77777777" w:rsidTr="00D141D3">
        <w:tc>
          <w:tcPr>
            <w:tcW w:w="1843" w:type="dxa"/>
          </w:tcPr>
          <w:p w14:paraId="7512A7FB" w14:textId="77777777" w:rsidR="00105650" w:rsidRPr="00D66245" w:rsidRDefault="00105650" w:rsidP="006D6B49">
            <w:pPr>
              <w:spacing w:before="120" w:after="200" w:line="240" w:lineRule="auto"/>
              <w:jc w:val="both"/>
              <w:rPr>
                <w:rFonts w:ascii="Palatino Linotype" w:hAnsi="Palatino Linotype"/>
                <w:b/>
              </w:rPr>
            </w:pPr>
            <w:r w:rsidRPr="00D66245">
              <w:rPr>
                <w:rFonts w:ascii="Palatino Linotype" w:hAnsi="Palatino Linotype"/>
                <w:b/>
              </w:rPr>
              <w:t>RENUNCIA DEL DERECHO A RECURRIR</w:t>
            </w:r>
          </w:p>
        </w:tc>
        <w:tc>
          <w:tcPr>
            <w:tcW w:w="2977" w:type="dxa"/>
          </w:tcPr>
          <w:p w14:paraId="67C34D8E"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No se regula expresamente</w:t>
            </w:r>
          </w:p>
        </w:tc>
        <w:tc>
          <w:tcPr>
            <w:tcW w:w="2551" w:type="dxa"/>
          </w:tcPr>
          <w:p w14:paraId="4A8326B6"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Se admite.</w:t>
            </w:r>
          </w:p>
        </w:tc>
      </w:tr>
      <w:tr w:rsidR="00105650" w:rsidRPr="00D66245" w14:paraId="68054638" w14:textId="77777777" w:rsidTr="00D141D3">
        <w:tc>
          <w:tcPr>
            <w:tcW w:w="1843" w:type="dxa"/>
          </w:tcPr>
          <w:p w14:paraId="1EB59B87" w14:textId="77777777" w:rsidR="00105650" w:rsidRPr="00D66245" w:rsidRDefault="00105650" w:rsidP="006D6B49">
            <w:pPr>
              <w:spacing w:before="120" w:after="200" w:line="240" w:lineRule="auto"/>
              <w:jc w:val="both"/>
              <w:rPr>
                <w:rFonts w:ascii="Palatino Linotype" w:hAnsi="Palatino Linotype"/>
                <w:b/>
              </w:rPr>
            </w:pPr>
            <w:r w:rsidRPr="00D66245">
              <w:rPr>
                <w:rFonts w:ascii="Palatino Linotype" w:hAnsi="Palatino Linotype"/>
                <w:b/>
              </w:rPr>
              <w:t>ÓRGANO ANTE EL QUE SE PRESENTA</w:t>
            </w:r>
          </w:p>
        </w:tc>
        <w:tc>
          <w:tcPr>
            <w:tcW w:w="2977" w:type="dxa"/>
          </w:tcPr>
          <w:p w14:paraId="381C48FC"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 xml:space="preserve">Directamente ante el Tribunal de Casación –Apelaciones- de lo Contencioso Administrativo. </w:t>
            </w:r>
          </w:p>
        </w:tc>
        <w:tc>
          <w:tcPr>
            <w:tcW w:w="2551" w:type="dxa"/>
          </w:tcPr>
          <w:p w14:paraId="3028B534"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 xml:space="preserve">Ante el órgano que dictó la resolución recurrida </w:t>
            </w:r>
          </w:p>
          <w:p w14:paraId="24BC5493"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A quo admite recurso, partes se apersonan al Tribunal de alzada.</w:t>
            </w:r>
          </w:p>
        </w:tc>
      </w:tr>
      <w:tr w:rsidR="00105650" w:rsidRPr="00D66245" w14:paraId="171B9D8E" w14:textId="77777777" w:rsidTr="00D141D3">
        <w:tc>
          <w:tcPr>
            <w:tcW w:w="1843" w:type="dxa"/>
          </w:tcPr>
          <w:p w14:paraId="2D63C2BD" w14:textId="77777777" w:rsidR="00105650" w:rsidRPr="00D66245" w:rsidRDefault="00105650" w:rsidP="006D6B49">
            <w:pPr>
              <w:spacing w:before="120" w:after="200" w:line="240" w:lineRule="auto"/>
              <w:jc w:val="both"/>
              <w:rPr>
                <w:rFonts w:ascii="Palatino Linotype" w:hAnsi="Palatino Linotype"/>
                <w:b/>
              </w:rPr>
            </w:pPr>
            <w:r w:rsidRPr="00D66245">
              <w:rPr>
                <w:rFonts w:ascii="Palatino Linotype" w:hAnsi="Palatino Linotype"/>
                <w:b/>
              </w:rPr>
              <w:lastRenderedPageBreak/>
              <w:t>ÓRGANO QUE RESUELVE</w:t>
            </w:r>
          </w:p>
        </w:tc>
        <w:tc>
          <w:tcPr>
            <w:tcW w:w="2977" w:type="dxa"/>
          </w:tcPr>
          <w:p w14:paraId="673291D1"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Tribunal de Casación –apelación- de lo Contencioso Administrativo.</w:t>
            </w:r>
          </w:p>
        </w:tc>
        <w:tc>
          <w:tcPr>
            <w:tcW w:w="2551" w:type="dxa"/>
          </w:tcPr>
          <w:p w14:paraId="1A10F1DE"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Tribunales colegiados de apelación civil.</w:t>
            </w:r>
          </w:p>
        </w:tc>
      </w:tr>
      <w:tr w:rsidR="00105650" w:rsidRPr="00D66245" w14:paraId="4592E721" w14:textId="77777777" w:rsidTr="00D141D3">
        <w:tc>
          <w:tcPr>
            <w:tcW w:w="1843" w:type="dxa"/>
          </w:tcPr>
          <w:p w14:paraId="19780424" w14:textId="77777777" w:rsidR="00105650" w:rsidRPr="00D66245" w:rsidRDefault="00105650" w:rsidP="006D6B49">
            <w:pPr>
              <w:spacing w:before="120" w:after="200" w:line="240" w:lineRule="auto"/>
              <w:jc w:val="both"/>
              <w:rPr>
                <w:rFonts w:ascii="Palatino Linotype" w:hAnsi="Palatino Linotype"/>
                <w:b/>
              </w:rPr>
            </w:pPr>
            <w:r w:rsidRPr="00D66245">
              <w:rPr>
                <w:rFonts w:ascii="Palatino Linotype" w:hAnsi="Palatino Linotype"/>
                <w:b/>
              </w:rPr>
              <w:t>PLAZO PARA APELAR</w:t>
            </w:r>
          </w:p>
          <w:p w14:paraId="2C438B5B" w14:textId="77777777" w:rsidR="00105650" w:rsidRPr="00D66245" w:rsidRDefault="00105650" w:rsidP="006D6B49">
            <w:pPr>
              <w:spacing w:before="120" w:after="200" w:line="240" w:lineRule="auto"/>
              <w:jc w:val="both"/>
              <w:rPr>
                <w:rFonts w:ascii="Palatino Linotype" w:hAnsi="Palatino Linotype"/>
                <w:b/>
              </w:rPr>
            </w:pPr>
          </w:p>
        </w:tc>
        <w:tc>
          <w:tcPr>
            <w:tcW w:w="2977" w:type="dxa"/>
          </w:tcPr>
          <w:p w14:paraId="3645F754"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3 días</w:t>
            </w:r>
          </w:p>
        </w:tc>
        <w:tc>
          <w:tcPr>
            <w:tcW w:w="2551" w:type="dxa"/>
          </w:tcPr>
          <w:p w14:paraId="352E201E"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 xml:space="preserve">3 días para los autos y 5 días para las sentencias. </w:t>
            </w:r>
          </w:p>
        </w:tc>
      </w:tr>
      <w:tr w:rsidR="00105650" w:rsidRPr="00D66245" w14:paraId="4CADB3F7" w14:textId="77777777" w:rsidTr="00D141D3">
        <w:tc>
          <w:tcPr>
            <w:tcW w:w="1843" w:type="dxa"/>
          </w:tcPr>
          <w:p w14:paraId="2FB9BABA" w14:textId="77777777" w:rsidR="00105650" w:rsidRPr="00D66245" w:rsidRDefault="00105650" w:rsidP="006D6B49">
            <w:pPr>
              <w:spacing w:before="120" w:after="200" w:line="240" w:lineRule="auto"/>
              <w:jc w:val="both"/>
              <w:rPr>
                <w:rFonts w:ascii="Palatino Linotype" w:hAnsi="Palatino Linotype"/>
                <w:b/>
              </w:rPr>
            </w:pPr>
            <w:r w:rsidRPr="00D66245">
              <w:rPr>
                <w:rFonts w:ascii="Palatino Linotype" w:hAnsi="Palatino Linotype"/>
                <w:b/>
              </w:rPr>
              <w:t>REQUISITOS FORMALES</w:t>
            </w:r>
          </w:p>
        </w:tc>
        <w:tc>
          <w:tcPr>
            <w:tcW w:w="2977" w:type="dxa"/>
          </w:tcPr>
          <w:p w14:paraId="033D2DF7"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No tiene formalidades esenciales.</w:t>
            </w:r>
          </w:p>
          <w:p w14:paraId="5D191FA4" w14:textId="77777777" w:rsidR="00105650" w:rsidRPr="00D66245" w:rsidRDefault="00105650" w:rsidP="006D6B49">
            <w:pPr>
              <w:spacing w:before="120" w:after="200" w:line="240" w:lineRule="auto"/>
              <w:jc w:val="both"/>
              <w:rPr>
                <w:rFonts w:ascii="Palatino Linotype" w:hAnsi="Palatino Linotype"/>
              </w:rPr>
            </w:pPr>
          </w:p>
        </w:tc>
        <w:tc>
          <w:tcPr>
            <w:tcW w:w="2551" w:type="dxa"/>
          </w:tcPr>
          <w:p w14:paraId="27DFB84A"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Debe estar fundamentado, bajo pena de inadmisibilidad.</w:t>
            </w:r>
          </w:p>
        </w:tc>
      </w:tr>
      <w:tr w:rsidR="00105650" w:rsidRPr="00D66245" w14:paraId="458E9385" w14:textId="77777777" w:rsidTr="00D141D3">
        <w:tc>
          <w:tcPr>
            <w:tcW w:w="1843" w:type="dxa"/>
          </w:tcPr>
          <w:p w14:paraId="3EDDF6B4" w14:textId="77777777" w:rsidR="00105650" w:rsidRPr="00D66245" w:rsidRDefault="00105650" w:rsidP="006D6B49">
            <w:pPr>
              <w:spacing w:before="120" w:after="200" w:line="240" w:lineRule="auto"/>
              <w:jc w:val="both"/>
              <w:rPr>
                <w:rFonts w:ascii="Palatino Linotype" w:hAnsi="Palatino Linotype"/>
                <w:b/>
              </w:rPr>
            </w:pPr>
            <w:r w:rsidRPr="00D66245">
              <w:rPr>
                <w:rFonts w:ascii="Palatino Linotype" w:hAnsi="Palatino Linotype"/>
                <w:b/>
              </w:rPr>
              <w:t>PROHIBICIÓN DE REFORMA EN PERJUICIO</w:t>
            </w:r>
          </w:p>
        </w:tc>
        <w:tc>
          <w:tcPr>
            <w:tcW w:w="2977" w:type="dxa"/>
          </w:tcPr>
          <w:p w14:paraId="644E276A"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No se regula</w:t>
            </w:r>
          </w:p>
        </w:tc>
        <w:tc>
          <w:tcPr>
            <w:tcW w:w="2551" w:type="dxa"/>
          </w:tcPr>
          <w:p w14:paraId="254AE70D"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La apelación se considerará sólo en lo desfavorable al recurrente.</w:t>
            </w:r>
          </w:p>
        </w:tc>
      </w:tr>
      <w:tr w:rsidR="00105650" w:rsidRPr="00D66245" w14:paraId="1B7E72C7" w14:textId="77777777" w:rsidTr="00D141D3">
        <w:tc>
          <w:tcPr>
            <w:tcW w:w="1843" w:type="dxa"/>
          </w:tcPr>
          <w:p w14:paraId="09BE3F32" w14:textId="77777777" w:rsidR="00105650" w:rsidRPr="00D66245" w:rsidRDefault="00105650" w:rsidP="006D6B49">
            <w:pPr>
              <w:spacing w:before="120" w:after="200" w:line="240" w:lineRule="auto"/>
              <w:jc w:val="both"/>
              <w:rPr>
                <w:rFonts w:ascii="Palatino Linotype" w:hAnsi="Palatino Linotype"/>
                <w:b/>
              </w:rPr>
            </w:pPr>
            <w:r w:rsidRPr="00D66245">
              <w:rPr>
                <w:rFonts w:ascii="Palatino Linotype" w:hAnsi="Palatino Linotype"/>
                <w:b/>
              </w:rPr>
              <w:t xml:space="preserve">TRAMITE </w:t>
            </w:r>
          </w:p>
        </w:tc>
        <w:tc>
          <w:tcPr>
            <w:tcW w:w="2977" w:type="dxa"/>
          </w:tcPr>
          <w:p w14:paraId="628B0787"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En audiencia oral, obligatoriamente.</w:t>
            </w:r>
          </w:p>
        </w:tc>
        <w:tc>
          <w:tcPr>
            <w:tcW w:w="2551" w:type="dxa"/>
          </w:tcPr>
          <w:p w14:paraId="0AAC9FE3"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 xml:space="preserve">Por escrito. Audiencia oral es facultativa, sólo cuando se admita prueba que deba evacuarse, si las partes lo solicitan y el Tribunal lo estima pertinente. </w:t>
            </w:r>
          </w:p>
        </w:tc>
      </w:tr>
      <w:tr w:rsidR="00105650" w:rsidRPr="00D66245" w14:paraId="1231F13C" w14:textId="77777777" w:rsidTr="00D141D3">
        <w:tc>
          <w:tcPr>
            <w:tcW w:w="1843" w:type="dxa"/>
          </w:tcPr>
          <w:p w14:paraId="5D05EF51" w14:textId="77777777" w:rsidR="00105650" w:rsidRPr="00D66245" w:rsidRDefault="00105650" w:rsidP="006D6B49">
            <w:pPr>
              <w:spacing w:before="120" w:after="200" w:line="240" w:lineRule="auto"/>
              <w:jc w:val="both"/>
              <w:rPr>
                <w:rFonts w:ascii="Palatino Linotype" w:hAnsi="Palatino Linotype"/>
                <w:b/>
              </w:rPr>
            </w:pPr>
            <w:r w:rsidRPr="00D66245">
              <w:rPr>
                <w:rFonts w:ascii="Palatino Linotype" w:hAnsi="Palatino Linotype"/>
                <w:b/>
              </w:rPr>
              <w:t>PRUEBA EN SEGUNDA INSTANCIA</w:t>
            </w:r>
          </w:p>
        </w:tc>
        <w:tc>
          <w:tcPr>
            <w:tcW w:w="2977" w:type="dxa"/>
          </w:tcPr>
          <w:p w14:paraId="47BAEB04"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Se admite y valora como PPMP</w:t>
            </w:r>
          </w:p>
        </w:tc>
        <w:tc>
          <w:tcPr>
            <w:tcW w:w="2551" w:type="dxa"/>
          </w:tcPr>
          <w:p w14:paraId="68D6C434"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Se admite con limitaciones.</w:t>
            </w:r>
          </w:p>
        </w:tc>
      </w:tr>
      <w:tr w:rsidR="00105650" w:rsidRPr="00D66245" w14:paraId="7D8C9606" w14:textId="77777777" w:rsidTr="00D141D3">
        <w:tc>
          <w:tcPr>
            <w:tcW w:w="1843" w:type="dxa"/>
          </w:tcPr>
          <w:p w14:paraId="21004551" w14:textId="77777777" w:rsidR="00105650" w:rsidRPr="00D66245" w:rsidRDefault="00105650" w:rsidP="006D6B49">
            <w:pPr>
              <w:spacing w:before="120" w:after="200" w:line="240" w:lineRule="auto"/>
              <w:jc w:val="both"/>
              <w:rPr>
                <w:rFonts w:ascii="Palatino Linotype" w:hAnsi="Palatino Linotype"/>
                <w:b/>
              </w:rPr>
            </w:pPr>
            <w:r w:rsidRPr="00D66245">
              <w:rPr>
                <w:rFonts w:ascii="Palatino Linotype" w:hAnsi="Palatino Linotype"/>
                <w:b/>
              </w:rPr>
              <w:t>DESISTIMIENTO DE LA APELACIÓN</w:t>
            </w:r>
          </w:p>
        </w:tc>
        <w:tc>
          <w:tcPr>
            <w:tcW w:w="2977" w:type="dxa"/>
          </w:tcPr>
          <w:p w14:paraId="227008F2"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No se regula expresamente.</w:t>
            </w:r>
          </w:p>
        </w:tc>
        <w:tc>
          <w:tcPr>
            <w:tcW w:w="2551" w:type="dxa"/>
          </w:tcPr>
          <w:p w14:paraId="3F14018F"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Se admite.</w:t>
            </w:r>
          </w:p>
        </w:tc>
      </w:tr>
      <w:tr w:rsidR="00105650" w:rsidRPr="00D66245" w14:paraId="7934CBCF" w14:textId="77777777" w:rsidTr="00D141D3">
        <w:tc>
          <w:tcPr>
            <w:tcW w:w="1843" w:type="dxa"/>
          </w:tcPr>
          <w:p w14:paraId="15646489"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b/>
              </w:rPr>
              <w:lastRenderedPageBreak/>
              <w:t>RESOLUCIÓN</w:t>
            </w:r>
          </w:p>
        </w:tc>
        <w:tc>
          <w:tcPr>
            <w:tcW w:w="2977" w:type="dxa"/>
          </w:tcPr>
          <w:p w14:paraId="47719517"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Oral, excepcionalmente escrita.</w:t>
            </w:r>
          </w:p>
        </w:tc>
        <w:tc>
          <w:tcPr>
            <w:tcW w:w="2551" w:type="dxa"/>
          </w:tcPr>
          <w:p w14:paraId="6B716B78"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No indica.</w:t>
            </w:r>
          </w:p>
        </w:tc>
      </w:tr>
      <w:tr w:rsidR="00105650" w:rsidRPr="00D66245" w14:paraId="7BF05B68" w14:textId="77777777" w:rsidTr="00D141D3">
        <w:tc>
          <w:tcPr>
            <w:tcW w:w="1843" w:type="dxa"/>
          </w:tcPr>
          <w:p w14:paraId="797BAFB8" w14:textId="77777777" w:rsidR="00105650" w:rsidRPr="00D66245" w:rsidRDefault="00105650" w:rsidP="006D6B49">
            <w:pPr>
              <w:spacing w:before="120" w:after="200" w:line="240" w:lineRule="auto"/>
              <w:jc w:val="both"/>
              <w:rPr>
                <w:rFonts w:ascii="Palatino Linotype" w:hAnsi="Palatino Linotype"/>
                <w:b/>
              </w:rPr>
            </w:pPr>
            <w:r w:rsidRPr="00D66245">
              <w:rPr>
                <w:rFonts w:ascii="Palatino Linotype" w:hAnsi="Palatino Linotype"/>
                <w:b/>
              </w:rPr>
              <w:t xml:space="preserve">RECURSOS </w:t>
            </w:r>
          </w:p>
        </w:tc>
        <w:tc>
          <w:tcPr>
            <w:tcW w:w="2977" w:type="dxa"/>
          </w:tcPr>
          <w:p w14:paraId="191118DD"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Contra lo resuelto, no procede recurso alguno</w:t>
            </w:r>
          </w:p>
        </w:tc>
        <w:tc>
          <w:tcPr>
            <w:tcW w:w="2551" w:type="dxa"/>
          </w:tcPr>
          <w:p w14:paraId="3FF382DE"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 xml:space="preserve">Contra lo resuelto no procede recurso alguno. </w:t>
            </w:r>
          </w:p>
        </w:tc>
      </w:tr>
      <w:tr w:rsidR="00105650" w:rsidRPr="00D66245" w14:paraId="7A0E1107" w14:textId="77777777" w:rsidTr="00D141D3">
        <w:tc>
          <w:tcPr>
            <w:tcW w:w="1843" w:type="dxa"/>
          </w:tcPr>
          <w:p w14:paraId="4EEFA00A" w14:textId="77777777" w:rsidR="00105650" w:rsidRPr="00D66245" w:rsidRDefault="00105650" w:rsidP="006D6B49">
            <w:pPr>
              <w:spacing w:before="120" w:after="200" w:line="240" w:lineRule="auto"/>
              <w:jc w:val="both"/>
              <w:rPr>
                <w:rFonts w:ascii="Palatino Linotype" w:hAnsi="Palatino Linotype"/>
                <w:b/>
              </w:rPr>
            </w:pPr>
            <w:r w:rsidRPr="00D66245">
              <w:rPr>
                <w:rFonts w:ascii="Palatino Linotype" w:hAnsi="Palatino Linotype"/>
                <w:b/>
              </w:rPr>
              <w:t>APELACIÓN POR INADMISIÓN</w:t>
            </w:r>
          </w:p>
        </w:tc>
        <w:tc>
          <w:tcPr>
            <w:tcW w:w="2977" w:type="dxa"/>
          </w:tcPr>
          <w:p w14:paraId="59DB71D4"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 xml:space="preserve">No se regula </w:t>
            </w:r>
          </w:p>
        </w:tc>
        <w:tc>
          <w:tcPr>
            <w:tcW w:w="2551" w:type="dxa"/>
          </w:tcPr>
          <w:p w14:paraId="52AAB5D2"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Se regula expresamente</w:t>
            </w:r>
          </w:p>
        </w:tc>
      </w:tr>
      <w:tr w:rsidR="00105650" w:rsidRPr="00D66245" w14:paraId="1F197917" w14:textId="77777777" w:rsidTr="00D141D3">
        <w:tc>
          <w:tcPr>
            <w:tcW w:w="1843" w:type="dxa"/>
          </w:tcPr>
          <w:p w14:paraId="08B02E49" w14:textId="77777777" w:rsidR="00105650" w:rsidRPr="00D66245" w:rsidRDefault="00105650" w:rsidP="006D6B49">
            <w:pPr>
              <w:spacing w:before="120" w:after="200" w:line="240" w:lineRule="auto"/>
              <w:jc w:val="both"/>
              <w:rPr>
                <w:rFonts w:ascii="Palatino Linotype" w:hAnsi="Palatino Linotype"/>
                <w:b/>
              </w:rPr>
            </w:pPr>
            <w:r w:rsidRPr="00D66245">
              <w:rPr>
                <w:rFonts w:ascii="Palatino Linotype" w:hAnsi="Palatino Linotype"/>
                <w:b/>
              </w:rPr>
              <w:t>APELACIÓN ADHESIVA</w:t>
            </w:r>
          </w:p>
        </w:tc>
        <w:tc>
          <w:tcPr>
            <w:tcW w:w="2977" w:type="dxa"/>
          </w:tcPr>
          <w:p w14:paraId="69EC59FE"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No se regula</w:t>
            </w:r>
          </w:p>
        </w:tc>
        <w:tc>
          <w:tcPr>
            <w:tcW w:w="2551" w:type="dxa"/>
          </w:tcPr>
          <w:p w14:paraId="2B455D4F" w14:textId="77777777" w:rsidR="00105650" w:rsidRPr="00D66245" w:rsidRDefault="00105650" w:rsidP="006D6B49">
            <w:pPr>
              <w:spacing w:before="120" w:after="200" w:line="240" w:lineRule="auto"/>
              <w:jc w:val="both"/>
              <w:rPr>
                <w:rFonts w:ascii="Palatino Linotype" w:hAnsi="Palatino Linotype"/>
              </w:rPr>
            </w:pPr>
            <w:r w:rsidRPr="00D66245">
              <w:rPr>
                <w:rFonts w:ascii="Palatino Linotype" w:hAnsi="Palatino Linotype"/>
              </w:rPr>
              <w:t>Se elimina</w:t>
            </w:r>
          </w:p>
        </w:tc>
      </w:tr>
    </w:tbl>
    <w:p w14:paraId="2F473595" w14:textId="77777777" w:rsidR="00105650" w:rsidRPr="00D66245" w:rsidRDefault="00105650" w:rsidP="00105650">
      <w:pPr>
        <w:spacing w:before="120" w:after="200" w:line="240" w:lineRule="auto"/>
        <w:jc w:val="both"/>
        <w:rPr>
          <w:rFonts w:ascii="Palatino Linotype" w:hAnsi="Palatino Linotype"/>
        </w:rPr>
      </w:pPr>
    </w:p>
    <w:p w14:paraId="410BB943" w14:textId="77777777" w:rsidR="000B2F75" w:rsidRDefault="000B2F75" w:rsidP="00BE6A34">
      <w:pPr>
        <w:spacing w:before="120" w:after="200"/>
        <w:jc w:val="both"/>
        <w:rPr>
          <w:rFonts w:ascii="Palatino Linotype" w:eastAsia="Times New Roman" w:hAnsi="Palatino Linotype" w:cs="Arial"/>
          <w:b/>
          <w:bCs/>
          <w:lang w:val="es-CR" w:eastAsia="es-ES"/>
        </w:rPr>
      </w:pPr>
    </w:p>
    <w:p w14:paraId="198A0570" w14:textId="77777777" w:rsidR="00BC4AB5" w:rsidRDefault="00BC4AB5" w:rsidP="00BE6A34">
      <w:pPr>
        <w:spacing w:before="120" w:after="200"/>
        <w:jc w:val="both"/>
        <w:rPr>
          <w:rFonts w:ascii="Palatino Linotype" w:eastAsia="Times New Roman" w:hAnsi="Palatino Linotype" w:cs="Arial"/>
          <w:b/>
          <w:bCs/>
          <w:lang w:val="es-CR" w:eastAsia="es-ES"/>
        </w:rPr>
      </w:pPr>
    </w:p>
    <w:p w14:paraId="2B7F73D0" w14:textId="77777777" w:rsidR="00132111" w:rsidRDefault="00132111" w:rsidP="000B2F75">
      <w:pPr>
        <w:spacing w:line="240" w:lineRule="auto"/>
        <w:jc w:val="center"/>
        <w:rPr>
          <w:rFonts w:ascii="Palatino Linotype" w:hAnsi="Palatino Linotype" w:cs="Arial"/>
          <w:b/>
        </w:rPr>
        <w:sectPr w:rsidR="00132111" w:rsidSect="00C50ADE">
          <w:headerReference w:type="even" r:id="rId56"/>
          <w:type w:val="oddPage"/>
          <w:pgSz w:w="12242" w:h="15842" w:code="1"/>
          <w:pgMar w:top="1474" w:right="2098" w:bottom="1021" w:left="2778" w:header="851" w:footer="2835" w:gutter="0"/>
          <w:cols w:space="708"/>
          <w:titlePg/>
          <w:docGrid w:linePitch="360"/>
        </w:sectPr>
      </w:pPr>
      <w:bookmarkStart w:id="58" w:name="_Hlk8652643"/>
    </w:p>
    <w:p w14:paraId="0638124A" w14:textId="00B143B7" w:rsidR="00BC4AB5" w:rsidRDefault="00BC4AB5" w:rsidP="000B2F75">
      <w:pPr>
        <w:spacing w:line="240" w:lineRule="auto"/>
        <w:jc w:val="center"/>
        <w:rPr>
          <w:rFonts w:ascii="Palatino Linotype" w:hAnsi="Palatino Linotype" w:cs="Arial"/>
          <w:b/>
        </w:rPr>
      </w:pPr>
    </w:p>
    <w:p w14:paraId="76FC9C66" w14:textId="2330123A" w:rsidR="000B2F75" w:rsidRPr="00D66245" w:rsidRDefault="000B2F75" w:rsidP="000B2F75">
      <w:pPr>
        <w:spacing w:line="240" w:lineRule="auto"/>
        <w:jc w:val="center"/>
        <w:rPr>
          <w:rFonts w:ascii="Palatino Linotype" w:hAnsi="Palatino Linotype" w:cs="Arial"/>
          <w:b/>
        </w:rPr>
      </w:pPr>
      <w:r w:rsidRPr="00D66245">
        <w:rPr>
          <w:rFonts w:ascii="Palatino Linotype" w:hAnsi="Palatino Linotype" w:cs="Arial"/>
          <w:b/>
        </w:rPr>
        <w:t>SOBRE EL DEBER PROBATORIO Y ADMISIBILIDAD DE LAS PROBANZAS EN EL PROCESO CONTENCIOSO ADMINISTRATIVO Y CIVIL DE HACIENDA. ALGUNOS EFECTOS DEL CÓDIGO PROCESAL CIVIL EN LA JURISDICCIÓN CONTENCIOSO ADMINISTRATIVA</w:t>
      </w:r>
    </w:p>
    <w:p w14:paraId="5408FFAC" w14:textId="77777777" w:rsidR="000B2F75" w:rsidRPr="00D66245" w:rsidRDefault="000B2F75" w:rsidP="000B2F75">
      <w:pPr>
        <w:spacing w:line="240" w:lineRule="auto"/>
        <w:ind w:left="3540" w:firstLine="708"/>
        <w:jc w:val="center"/>
        <w:rPr>
          <w:rFonts w:ascii="Palatino Linotype" w:hAnsi="Palatino Linotype" w:cs="Arial"/>
          <w:b/>
        </w:rPr>
      </w:pPr>
      <w:r w:rsidRPr="00D66245">
        <w:rPr>
          <w:rFonts w:ascii="Palatino Linotype" w:hAnsi="Palatino Linotype" w:cs="Arial"/>
          <w:b/>
        </w:rPr>
        <w:t>José Roberto Garita Navarro</w:t>
      </w:r>
      <w:bookmarkEnd w:id="58"/>
      <w:r w:rsidRPr="00D66245">
        <w:rPr>
          <w:rFonts w:ascii="Palatino Linotype" w:hAnsi="Palatino Linotype" w:cs="Arial"/>
          <w:b/>
        </w:rPr>
        <w:t>.</w:t>
      </w:r>
      <w:r w:rsidRPr="00D66245">
        <w:rPr>
          <w:rStyle w:val="Refdenotaalpie"/>
          <w:rFonts w:ascii="Palatino Linotype" w:hAnsi="Palatino Linotype" w:cs="Arial"/>
          <w:b/>
        </w:rPr>
        <w:footnoteReference w:id="189"/>
      </w:r>
    </w:p>
    <w:p w14:paraId="784544D2" w14:textId="77777777" w:rsidR="000B2F75" w:rsidRPr="00D66245" w:rsidRDefault="000B2F75" w:rsidP="000B2F75">
      <w:pPr>
        <w:spacing w:line="240" w:lineRule="auto"/>
        <w:jc w:val="both"/>
        <w:rPr>
          <w:rFonts w:ascii="Palatino Linotype" w:hAnsi="Palatino Linotype" w:cs="Arial"/>
          <w:b/>
        </w:rPr>
      </w:pPr>
    </w:p>
    <w:p w14:paraId="146E163E" w14:textId="77777777" w:rsidR="000B2F75" w:rsidRPr="00D66245" w:rsidRDefault="000B2F75" w:rsidP="000B2F75">
      <w:pPr>
        <w:spacing w:line="240" w:lineRule="auto"/>
        <w:jc w:val="both"/>
        <w:rPr>
          <w:rFonts w:ascii="Palatino Linotype" w:hAnsi="Palatino Linotype" w:cs="Arial"/>
          <w:b/>
        </w:rPr>
      </w:pPr>
      <w:r w:rsidRPr="00D66245">
        <w:rPr>
          <w:rFonts w:ascii="Palatino Linotype" w:hAnsi="Palatino Linotype" w:cs="Arial"/>
          <w:b/>
        </w:rPr>
        <w:t xml:space="preserve">CONTENIDO TEMÁTICO. Introducción. A. Carga de la prueba en el proceso contencioso administrativo y civil de hacienda. B. </w:t>
      </w:r>
      <w:r w:rsidRPr="00D66245">
        <w:rPr>
          <w:rFonts w:ascii="Palatino Linotype" w:eastAsia="Times New Roman" w:hAnsi="Palatino Linotype" w:cs="Arial"/>
          <w:b/>
          <w:lang w:val="es-CR"/>
        </w:rPr>
        <w:t xml:space="preserve">Prueba en pretensiones anulatorias. Pretensiones de omisiones administrativas. Pretensiones indemnizatorias y de contenido patrimonial. B. </w:t>
      </w:r>
      <w:r w:rsidRPr="00D66245">
        <w:rPr>
          <w:rFonts w:ascii="Palatino Linotype" w:hAnsi="Palatino Linotype" w:cs="Arial"/>
          <w:b/>
        </w:rPr>
        <w:t xml:space="preserve">Criterios de admisibilidad de las probanzas. </w:t>
      </w:r>
      <w:r w:rsidRPr="00D66245">
        <w:rPr>
          <w:rFonts w:ascii="Palatino Linotype" w:hAnsi="Palatino Linotype" w:cs="Arial"/>
          <w:b/>
          <w:caps/>
        </w:rPr>
        <w:t>c) t</w:t>
      </w:r>
      <w:r w:rsidRPr="00D66245">
        <w:rPr>
          <w:rFonts w:ascii="Palatino Linotype" w:hAnsi="Palatino Linotype" w:cs="Arial"/>
          <w:b/>
        </w:rPr>
        <w:t>ipos de pruebas permisibles: el caso de la confesión, testigos, y figuras afines.</w:t>
      </w:r>
      <w:r w:rsidRPr="00D66245">
        <w:rPr>
          <w:rFonts w:ascii="Palatino Linotype" w:hAnsi="Palatino Linotype" w:cs="Arial"/>
          <w:b/>
          <w:caps/>
        </w:rPr>
        <w:t xml:space="preserve"> D) p</w:t>
      </w:r>
      <w:r w:rsidRPr="00D66245">
        <w:rPr>
          <w:rFonts w:ascii="Palatino Linotype" w:hAnsi="Palatino Linotype" w:cs="Arial"/>
          <w:b/>
        </w:rPr>
        <w:t xml:space="preserve">osibles defectos procesales y sustanciales sobre la prueba: </w:t>
      </w:r>
      <w:r w:rsidRPr="00D66245">
        <w:rPr>
          <w:rFonts w:ascii="Palatino Linotype" w:hAnsi="Palatino Linotype" w:cs="Arial"/>
          <w:b/>
          <w:lang w:val="es-CR"/>
        </w:rPr>
        <w:t xml:space="preserve">Denegación de prueba admisible, Aceptación de prueba inadmisible, Ejercicio indebido y arbitrario de la potestad de prueba para mejor resolver, Preterición de prueba, Indebida valoración, Defectos sobre pruebas en fase de audiencia preliminar. Síntesis. </w:t>
      </w:r>
    </w:p>
    <w:p w14:paraId="5E57F601" w14:textId="77777777" w:rsidR="000B2F75" w:rsidRPr="00D66245" w:rsidRDefault="000B2F75" w:rsidP="000B2F75">
      <w:pPr>
        <w:spacing w:line="240" w:lineRule="auto"/>
        <w:jc w:val="both"/>
        <w:rPr>
          <w:rFonts w:ascii="Palatino Linotype" w:hAnsi="Palatino Linotype" w:cs="Arial"/>
          <w:b/>
        </w:rPr>
      </w:pPr>
      <w:r w:rsidRPr="00D66245">
        <w:rPr>
          <w:rFonts w:ascii="Palatino Linotype" w:hAnsi="Palatino Linotype" w:cs="Arial"/>
          <w:b/>
        </w:rPr>
        <w:t>Introducción</w:t>
      </w:r>
    </w:p>
    <w:p w14:paraId="6F856804"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A tono con lo preceptuado por el ordinal 49 de la Carta Magna, la jurisdicción contencioso administrativa tiene por objeto el análisis de validez de la función administrativa, constituyéndose en una instancia de verificación y control de la juridicidad de las diversas formas de manifestación de la voluntad administrativa, sea de orden formal, material, activa, omisiva, positiva o negativa. Desde luego que, como parte de ese objeto, la misma norma impone la tutela de las situaciones jurídicas de las personas, debiendo resguarda “al menos”, los derechos subjetivos e intereses legítimos de las personas. De ahí que el ordinal 1 del Código Procesal Contencioso Administrativo fija como objeto de la citada jurisdicción el abordaje de los distintos aspectos de la relación jurídico administrativa. En </w:t>
      </w:r>
      <w:r w:rsidRPr="00D66245">
        <w:rPr>
          <w:rFonts w:ascii="Palatino Linotype" w:hAnsi="Palatino Linotype" w:cs="Arial"/>
        </w:rPr>
        <w:lastRenderedPageBreak/>
        <w:t xml:space="preserve">ese ámbito, si se entiende la RELACIÓN JURÍDICO ADMINISTRATIVA como la relación que se produce entre una Administración Pública, en ejercicio de función administrativa (la más de las veces en despliegue de poderes de imperio) y un administrado, como destinatario del ejercicio de esa potestad, relación regulada por el Derecho Administrativo, resulta notorio que la comprensión de los distintos aspectos de esa relación supone que el juicio contencioso administrativo tiene por desiderátum la verificación de legitimidad del contenido de esa relación, a nivel de sus diversos componente estructurales, sea, el subjetivo, objetivo, procedimental y finalista. </w:t>
      </w:r>
    </w:p>
    <w:p w14:paraId="6BF4519E"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En el marco de esas relaciones, las pretensiones que se formulan en una causa del tipo comentado, pueden direccionarse a reclamar la disconformidad sustancial con el Ordenamiento Jurídico de la función o disfunción administrativa. Esto supone que, frente a conductas activas, es frecuente que la pretensión se direccione a reclamar la invalidez (nulidad) de esas conductas, como en las omisiones, la declaratoria de la invalidez de esa indolencia, como plataforma de una condena de hacer consistente en el ejercicio de una determinada actividad administrativa, usualmente de orden prestacional.  De otro lado, la base misma de los preceptos 1 y 2, junto con el 41 del CPCA, asignan a esa jurisdicción la competencia sobre los asuntos relacionados a la materia civil de hacienda, compuesta por aquellas relaciones en las que la Administración actúa al amparo de su capacidad de derecho privado, o bien, cuando el contenido sustancial del reclamo jurisdiccional sea relativo a pretensiones de orden patrimonial. En ambos casos, sea en menesteres propios de pretensiones eminentemente revisoras de validez de la función administrativa (contencioso administrativo “puro”) o bien, en cuestiones de orden privado o patrimonialista que involucren a un ente público (civil de hacienda), la acreditación debida de los elementos fácticos sobre los cuales las partes basan sus diversas posturas dentro de la contienda judicial, resulta fundamental y de cardinal relevancia. </w:t>
      </w:r>
    </w:p>
    <w:p w14:paraId="16EC1775"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Son las partes litigantes quienes han de procurar la inclusión al proceso, de los elementos de convicción que den soporte al antecedente de hecho sobre el cual se basa un determinado alegato, como sustento mismo de la pretensión. De ahí que la existencia de un vicio en el acto administrativo, pueda requerir que quien lo reclama, aporte las probanzas respaldo de esa derivación, o bien, deba ser la Administración Pública quien acredite el </w:t>
      </w:r>
      <w:r w:rsidRPr="00D66245">
        <w:rPr>
          <w:rFonts w:ascii="Palatino Linotype" w:hAnsi="Palatino Linotype" w:cs="Arial"/>
        </w:rPr>
        <w:lastRenderedPageBreak/>
        <w:t>cumplimiento de las exigencias impuestas por el Ordenamiento Jurídico aplicable, como condicionante de la legitimidad de esa manifestación de voluntad. Es un aspecto de carga probatorio que ha de ponderarse en cada caso concreto. Lo mismo acontece, y de pronto, con mayor rigurosidad, en los reclamos de orden patrimonial, en los que, la acreditación de los hechos constitutivos del derecho de contenido económico deviene en requisito sine qua non de una eventual declaratoria de la existencia de tal derecho y, por ende, de una determinada obligación de un ente público frente a esa situación jurídica de poder. Como se observa, la cuestión probatoria, aún en el proceso contencioso administrativo y civil de hacienda, resulta fundamental. Sobre esa base, el presente ensayo, de manera ligera, por el espacio asignado, busca el análisis de algunas cuestiones que pueden estimarse relevante en orden a la dinámica probatoria en este tipo de causas: a) Carga de la prueba; b) criterios de admisibilidad de las probanzas; c) tipos de pruebas permisibles: el caso de la confesión, testigos, y figuras afines; y finalmente, e) posibles defectos procesales y sustanciales sobre la prueba.</w:t>
      </w:r>
    </w:p>
    <w:p w14:paraId="7A4C9D1F"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En cada ítem, se procurará abordar de manera pragmática el dilema subyacente en los temas seleccionados (subjetivamente), ofreciendo un análisis crítico para la discusión racional de esos aspectos, para lo cual, los aportes del Código Procesal Civil en la dinámica probatoria, será una cuestión a considerar. </w:t>
      </w:r>
    </w:p>
    <w:p w14:paraId="6834A240" w14:textId="77777777" w:rsidR="000B2F75" w:rsidRPr="00D66245" w:rsidRDefault="000B2F75" w:rsidP="000B2F75">
      <w:pPr>
        <w:pStyle w:val="Prrafodelista"/>
        <w:numPr>
          <w:ilvl w:val="0"/>
          <w:numId w:val="51"/>
        </w:numPr>
        <w:spacing w:line="240" w:lineRule="auto"/>
        <w:ind w:left="0" w:firstLine="0"/>
        <w:jc w:val="both"/>
        <w:rPr>
          <w:rFonts w:ascii="Palatino Linotype" w:hAnsi="Palatino Linotype" w:cs="Arial"/>
          <w:b/>
          <w:lang w:val="es-ES"/>
        </w:rPr>
      </w:pPr>
      <w:r w:rsidRPr="00D66245">
        <w:rPr>
          <w:rFonts w:ascii="Palatino Linotype" w:hAnsi="Palatino Linotype" w:cs="Arial"/>
          <w:b/>
          <w:lang w:val="es-ES"/>
        </w:rPr>
        <w:t xml:space="preserve">Carga de la prueba en el proceso contencioso administrativo y civil de hacienda. </w:t>
      </w:r>
    </w:p>
    <w:p w14:paraId="464151FB"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Si bien se ha mencionado, el objeto de la jurisdicción contencioso administrativa es el control de validez de la función administrativa y como parte de ese control, la tutela de la situación jurídica de las personas, tal desiderátum no implica, ni por asomo, que la estimación de una pretensión de orden anulatorio o en general, de disconformidad con el Ordenamiento Jurídico, dependa, solamente, de su formulación, sin que se aporten los elementos de juicio que pongan en evidencia esas patologías reclamadas, cuando así se requiera. </w:t>
      </w:r>
    </w:p>
    <w:p w14:paraId="52F2F721"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En este punto, resulta necesario precisar el contenido sustancial del principio regulado en el ordinal 82 inciso primero del CPCA, pues es claro que su interpretación inadecuada, puede llevar a riesgos de desequilibrio procesal. La norma en cuestión señala: </w:t>
      </w:r>
    </w:p>
    <w:p w14:paraId="4DFF8ADF"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lastRenderedPageBreak/>
        <w:t>“</w:t>
      </w:r>
      <w:r w:rsidRPr="00D66245">
        <w:rPr>
          <w:rFonts w:ascii="Palatino Linotype" w:hAnsi="Palatino Linotype" w:cs="Arial"/>
          <w:i/>
        </w:rPr>
        <w:t>Artículo 82.- 1) La jueza o el juez ordenará y practicará todas las diligencias de prueba necesarias, para determinar la verdad real de los hechos relevantes en el proceso.</w:t>
      </w:r>
      <w:r w:rsidRPr="00D66245">
        <w:rPr>
          <w:rFonts w:ascii="Palatino Linotype" w:hAnsi="Palatino Linotype" w:cs="Arial"/>
        </w:rPr>
        <w:t>”</w:t>
      </w:r>
    </w:p>
    <w:p w14:paraId="5F7F7DB4"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hAnsi="Palatino Linotype" w:cs="Arial"/>
        </w:rPr>
        <w:t xml:space="preserve">Tal precepto, a juicio de este autor, lejos se encuentra de constituir una habilitación irrestricta para que el órgano sentenciador pueda suplir las falencias o deficiencias de las partes en su deber de acreditar los hechos determinantes de sus diversas posturas, en orden a sustentar su teoría del caso. Por el contrario, es obligación de las partes involucradas en la contienda, no solamente el desarrollo lógico y claro de los antecedentes del caso, los hechos en que sustentan su teoría del caso, los fundamentos de derecho, sino, además, </w:t>
      </w:r>
      <w:r w:rsidRPr="00D66245">
        <w:rPr>
          <w:rFonts w:ascii="Palatino Linotype" w:eastAsia="Times New Roman" w:hAnsi="Palatino Linotype" w:cs="Arial"/>
          <w:lang w:val="es-CR"/>
        </w:rPr>
        <w:t xml:space="preserve">aportar los elementos de prueba que permitan a la parte contraria el conocimiento de los insumos objetivos sobre los cuales se pretende cimentar la existencia de esas circunstancias fácticas. Esto es determinante para tutelar el debido proceso y el equilibrio procesal, así como el contradictorio. Nótese que el contradictorio es un principio de las audiencias orales que se encuentra expresamente plasmado en la letra del ordinal 85.2 del CPCA, como instrumento para verificar la verdad real de los hechos. </w:t>
      </w:r>
      <w:r w:rsidRPr="00D66245">
        <w:rPr>
          <w:rStyle w:val="Ancladenotaalpie"/>
          <w:rFonts w:ascii="Palatino Linotype" w:eastAsia="Times New Roman" w:hAnsi="Palatino Linotype" w:cs="Arial"/>
          <w:lang w:val="es-CR"/>
        </w:rPr>
        <w:footnoteReference w:id="190"/>
      </w:r>
    </w:p>
    <w:p w14:paraId="3906436C" w14:textId="77777777" w:rsidR="000B2F75" w:rsidRPr="00D66245" w:rsidRDefault="000B2F75" w:rsidP="000B2F75">
      <w:pPr>
        <w:spacing w:line="240" w:lineRule="auto"/>
        <w:jc w:val="both"/>
        <w:rPr>
          <w:rFonts w:ascii="Palatino Linotype" w:hAnsi="Palatino Linotype" w:cs="Arial"/>
        </w:rPr>
      </w:pPr>
      <w:r w:rsidRPr="00D66245">
        <w:rPr>
          <w:rFonts w:ascii="Palatino Linotype" w:eastAsia="Times New Roman" w:hAnsi="Palatino Linotype" w:cs="Arial"/>
          <w:lang w:val="es-CR"/>
        </w:rPr>
        <w:t xml:space="preserve"> Así, cuando la norma refiere a la potestad del Tribunal para ordenar y practicar todas las diligencias de prueba necesarias, para determinar la verdad real de los hechos relevantes en el proceso, confiere una potestad para el control de la admisibilidad de las pruebas ofrecidas por las partes, dentro de un esquema procesal de corte adversarial impregnado por el modelo dispositivo, en el cual, la competencia del Tribunal viene condicionada y definida por las alegaciones de las partes, y, debe añadirse, por los argumentos y probanzas aportados como soporte y respaldo de sus pretensiones y argumentos. El mandato 119 del CPCA regula el citado principio de congruencia procesal, mismo que impone al órgano decisor un límite infranqueable en el ejercicio de sus potestades, en la medida en que el equilibrio procesal se establece como máxima orientadora de su ejercicio. Desde luego que pervive la potestad de requerimiento de prueba para mejor resolver, empero, tal potestad no es irrestricta, y tiene como límite el equilibrio procesal, de suerte que no constituye una herramienta que permita </w:t>
      </w:r>
      <w:r w:rsidRPr="00D66245">
        <w:rPr>
          <w:rFonts w:ascii="Palatino Linotype" w:eastAsia="Times New Roman" w:hAnsi="Palatino Linotype" w:cs="Arial"/>
          <w:lang w:val="es-CR"/>
        </w:rPr>
        <w:lastRenderedPageBreak/>
        <w:t xml:space="preserve">suplir deficiencias de las partes en cuanto a la carga de los hechos que sustentan los derechos alegados por la parte accionante, o las circunstancias liberatorias o extintivas del derecho que se pretende ejecutar frente al accionado. </w:t>
      </w:r>
    </w:p>
    <w:p w14:paraId="405568B1"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eastAsia="Times New Roman" w:hAnsi="Palatino Linotype" w:cs="Arial"/>
          <w:lang w:val="es-CR"/>
        </w:rPr>
        <w:t xml:space="preserve">Para esos efectos, es impostergable precisar que el tema de la admisión de la carga de la prueba ha de examinarse en cada caso concreto, particularidades que definirán, además, si frente a la teoría del caso planteada por los litigantes, el Tribunal Sentenciador puede o no requerir de prueba para mejor resolver, sin quebrantar la balanza procesal. En lo que interesa apuntar en este breve espacio, es necesario destacar entonces, que la verdad real, como finalidad de la práctica probatoria, no constituye una carta en blanco para legitimar descuidos o falencias de las partes, tratándose de aspectos determinantes que, en orden a las exigencias formales de la demanda y de la contestación, han de contar con el respaldo probatorio debido. De otro modo, bastaría formular cualquier pretensión, trasladando al Tribunal la (pseudo) carga procesal, de procurar las pruebas para acreditar o desacreditar determinadas cuestiones fácticas que resultan fundamentales en la postura de las partes, aunque no las hayan probado, a fin de resolver el conflicto acorde a derecho. </w:t>
      </w:r>
    </w:p>
    <w:p w14:paraId="279E1BB4" w14:textId="77777777" w:rsidR="000B2F75" w:rsidRPr="00D66245" w:rsidRDefault="000B2F75" w:rsidP="000B2F75">
      <w:pPr>
        <w:spacing w:line="240" w:lineRule="auto"/>
        <w:jc w:val="both"/>
        <w:rPr>
          <w:rFonts w:ascii="Palatino Linotype" w:hAnsi="Palatino Linotype" w:cs="Arial"/>
        </w:rPr>
      </w:pPr>
      <w:r w:rsidRPr="00D66245">
        <w:rPr>
          <w:rFonts w:ascii="Palatino Linotype" w:eastAsia="Times New Roman" w:hAnsi="Palatino Linotype" w:cs="Arial"/>
          <w:lang w:val="es-CR"/>
        </w:rPr>
        <w:t>Tal postura parte de la premisa, no compartida, que la ratio misma de esta Jurisdicción es el análisis de validez de las conductas administrativas y la tutela de las situaciones jurídicas, bajo un esquema inquisitivo en el cual, corresponde al órgano jurisdiccional emprender los análisis de hecho y de derecho de la situación concreta, sin que sea carga de las partes probar o refutar los elementos básicos que permitirían la decisión de fondo. Todo lo opuesto; como en todo proceso de orden dispositivo, en el contencioso administrativo, cada parte debe aportar las pruebas sustento de su postura. Así en efecto se desprende de los ordinales 58 y 63 del CPCA, para la demanda y la contestación respectivamente. De ese modo, no basta la formulación de la demanda con el ruego de tutela subjetiva por control de validez, pues en determinados casos, es necesario el aporte de probanzas para acreditar hechos base del derecho o de la exclusión frente a las pretensiones.</w:t>
      </w:r>
    </w:p>
    <w:p w14:paraId="77999437"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eastAsia="Times New Roman" w:hAnsi="Palatino Linotype" w:cs="Arial"/>
          <w:lang w:val="es-CR"/>
        </w:rPr>
        <w:t xml:space="preserve">En esa línea, ha de ponderarse los casos en que lo debatido es la conformidad sustancial con el Ordenamiento Jurídico de la función administrativa, de los </w:t>
      </w:r>
      <w:r w:rsidRPr="00D66245">
        <w:rPr>
          <w:rFonts w:ascii="Palatino Linotype" w:eastAsia="Times New Roman" w:hAnsi="Palatino Linotype" w:cs="Arial"/>
          <w:lang w:val="es-CR"/>
        </w:rPr>
        <w:lastRenderedPageBreak/>
        <w:t xml:space="preserve">casos civiles de hacienda, cuyo contenido de pretensiones sustanciales, se orienta hacia situaciones que involucran reclamos patrimoniales.  </w:t>
      </w:r>
    </w:p>
    <w:p w14:paraId="59D7FB4A" w14:textId="77777777" w:rsidR="000B2F75" w:rsidRPr="00D66245" w:rsidRDefault="000B2F75" w:rsidP="000B2F75">
      <w:pPr>
        <w:spacing w:line="240" w:lineRule="auto"/>
        <w:jc w:val="both"/>
        <w:rPr>
          <w:rFonts w:ascii="Palatino Linotype" w:eastAsia="Times New Roman" w:hAnsi="Palatino Linotype" w:cs="Arial"/>
          <w:u w:val="single"/>
          <w:lang w:val="es-CR"/>
        </w:rPr>
      </w:pPr>
      <w:r w:rsidRPr="00D66245">
        <w:rPr>
          <w:rFonts w:ascii="Palatino Linotype" w:eastAsia="Times New Roman" w:hAnsi="Palatino Linotype" w:cs="Arial"/>
          <w:u w:val="single"/>
          <w:lang w:val="es-CR"/>
        </w:rPr>
        <w:t xml:space="preserve">Prueba en pretensiones anulatorias. </w:t>
      </w:r>
    </w:p>
    <w:p w14:paraId="4DD022B8"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eastAsia="Times New Roman" w:hAnsi="Palatino Linotype" w:cs="Arial"/>
          <w:lang w:val="es-CR"/>
        </w:rPr>
        <w:t xml:space="preserve">Como elemento común, el CPCA no contiene norma expresa que regula la dinámica de la carga de la prueba dentro del proceso bajo examen. Esto a diferencia del ordinal 41.1 del Nuevo Código Procesal Civil, Ley No. 9342 (NCPC), que, sobre el particular, señala: </w:t>
      </w:r>
    </w:p>
    <w:p w14:paraId="44D0C8B5" w14:textId="77777777" w:rsidR="000B2F75" w:rsidRPr="00D66245" w:rsidRDefault="000B2F75" w:rsidP="000B2F75">
      <w:pPr>
        <w:pStyle w:val="Default"/>
        <w:jc w:val="both"/>
        <w:rPr>
          <w:rFonts w:ascii="Palatino Linotype" w:hAnsi="Palatino Linotype"/>
          <w:b/>
          <w:bCs/>
          <w:i/>
          <w:color w:val="auto"/>
          <w:sz w:val="22"/>
          <w:szCs w:val="22"/>
          <w:lang w:val="es-ES"/>
        </w:rPr>
      </w:pPr>
    </w:p>
    <w:p w14:paraId="18B095C2" w14:textId="77777777" w:rsidR="000B2F75" w:rsidRPr="00D66245" w:rsidRDefault="000B2F75" w:rsidP="000B2F75">
      <w:pPr>
        <w:pStyle w:val="Default"/>
        <w:jc w:val="both"/>
        <w:rPr>
          <w:rFonts w:ascii="Palatino Linotype" w:hAnsi="Palatino Linotype"/>
          <w:i/>
          <w:color w:val="auto"/>
          <w:sz w:val="22"/>
          <w:szCs w:val="22"/>
          <w:lang w:val="es-ES"/>
        </w:rPr>
      </w:pPr>
      <w:r w:rsidRPr="00D66245">
        <w:rPr>
          <w:rFonts w:ascii="Palatino Linotype" w:hAnsi="Palatino Linotype"/>
          <w:b/>
          <w:bCs/>
          <w:i/>
          <w:color w:val="auto"/>
          <w:sz w:val="22"/>
          <w:szCs w:val="22"/>
          <w:lang w:val="es-ES"/>
        </w:rPr>
        <w:t xml:space="preserve">“Artículo 41.- Disposiciones generales sobre prueba </w:t>
      </w:r>
    </w:p>
    <w:p w14:paraId="496DEA53" w14:textId="77777777" w:rsidR="000B2F75" w:rsidRPr="00D66245" w:rsidRDefault="000B2F75" w:rsidP="000B2F75">
      <w:pPr>
        <w:pStyle w:val="Default"/>
        <w:jc w:val="both"/>
        <w:rPr>
          <w:rFonts w:ascii="Palatino Linotype" w:hAnsi="Palatino Linotype"/>
          <w:i/>
          <w:color w:val="auto"/>
          <w:sz w:val="22"/>
          <w:szCs w:val="22"/>
          <w:lang w:val="es-ES"/>
        </w:rPr>
      </w:pPr>
      <w:r w:rsidRPr="00D66245">
        <w:rPr>
          <w:rFonts w:ascii="Palatino Linotype" w:hAnsi="Palatino Linotype"/>
          <w:b/>
          <w:bCs/>
          <w:i/>
          <w:color w:val="auto"/>
          <w:sz w:val="22"/>
          <w:szCs w:val="22"/>
          <w:lang w:val="es-ES"/>
        </w:rPr>
        <w:t xml:space="preserve">41.1 Carga de la prueba. </w:t>
      </w:r>
      <w:r w:rsidRPr="00D66245">
        <w:rPr>
          <w:rFonts w:ascii="Palatino Linotype" w:hAnsi="Palatino Linotype"/>
          <w:i/>
          <w:color w:val="auto"/>
          <w:sz w:val="22"/>
          <w:szCs w:val="22"/>
          <w:lang w:val="es-ES"/>
        </w:rPr>
        <w:t xml:space="preserve">Incumbe la carga de la prueba: </w:t>
      </w:r>
    </w:p>
    <w:p w14:paraId="18C34A7F" w14:textId="77777777" w:rsidR="000B2F75" w:rsidRPr="00D66245" w:rsidRDefault="000B2F75" w:rsidP="000B2F75">
      <w:pPr>
        <w:pStyle w:val="Default"/>
        <w:jc w:val="both"/>
        <w:rPr>
          <w:rFonts w:ascii="Palatino Linotype" w:hAnsi="Palatino Linotype"/>
          <w:i/>
          <w:color w:val="auto"/>
          <w:sz w:val="22"/>
          <w:szCs w:val="22"/>
          <w:lang w:val="es-ES"/>
        </w:rPr>
      </w:pPr>
      <w:r w:rsidRPr="00D66245">
        <w:rPr>
          <w:rFonts w:ascii="Palatino Linotype" w:hAnsi="Palatino Linotype"/>
          <w:b/>
          <w:bCs/>
          <w:i/>
          <w:color w:val="auto"/>
          <w:sz w:val="22"/>
          <w:szCs w:val="22"/>
          <w:lang w:val="es-ES"/>
        </w:rPr>
        <w:t xml:space="preserve">1. </w:t>
      </w:r>
      <w:r w:rsidRPr="00D66245">
        <w:rPr>
          <w:rFonts w:ascii="Palatino Linotype" w:hAnsi="Palatino Linotype"/>
          <w:i/>
          <w:color w:val="auto"/>
          <w:sz w:val="22"/>
          <w:szCs w:val="22"/>
          <w:lang w:val="es-ES"/>
        </w:rPr>
        <w:t xml:space="preserve">A quien formule una pretensión, respecto de los hechos constitutivos de su derecho. </w:t>
      </w:r>
    </w:p>
    <w:p w14:paraId="170DA389" w14:textId="77777777" w:rsidR="000B2F75" w:rsidRPr="00D66245" w:rsidRDefault="000B2F75" w:rsidP="000B2F75">
      <w:pPr>
        <w:pStyle w:val="Default"/>
        <w:jc w:val="both"/>
        <w:rPr>
          <w:rFonts w:ascii="Palatino Linotype" w:hAnsi="Palatino Linotype"/>
          <w:i/>
          <w:color w:val="auto"/>
          <w:sz w:val="22"/>
          <w:szCs w:val="22"/>
          <w:lang w:val="es-ES"/>
        </w:rPr>
      </w:pPr>
      <w:r w:rsidRPr="00D66245">
        <w:rPr>
          <w:rFonts w:ascii="Palatino Linotype" w:hAnsi="Palatino Linotype"/>
          <w:b/>
          <w:bCs/>
          <w:i/>
          <w:color w:val="auto"/>
          <w:sz w:val="22"/>
          <w:szCs w:val="22"/>
          <w:lang w:val="es-ES"/>
        </w:rPr>
        <w:t xml:space="preserve">2. </w:t>
      </w:r>
      <w:r w:rsidRPr="00D66245">
        <w:rPr>
          <w:rFonts w:ascii="Palatino Linotype" w:hAnsi="Palatino Linotype"/>
          <w:i/>
          <w:color w:val="auto"/>
          <w:sz w:val="22"/>
          <w:szCs w:val="22"/>
          <w:lang w:val="es-ES"/>
        </w:rPr>
        <w:t xml:space="preserve">A quien se oponga a una pretensión, en cuanto a los hechos impeditivos, modificativos o extintivos del derecho del actor. </w:t>
      </w:r>
    </w:p>
    <w:p w14:paraId="0147777F" w14:textId="77777777" w:rsidR="000B2F75" w:rsidRPr="00D66245" w:rsidRDefault="000B2F75" w:rsidP="000B2F75">
      <w:pPr>
        <w:pStyle w:val="Default"/>
        <w:jc w:val="both"/>
        <w:rPr>
          <w:rFonts w:ascii="Palatino Linotype" w:hAnsi="Palatino Linotype"/>
          <w:i/>
          <w:color w:val="auto"/>
          <w:sz w:val="22"/>
          <w:szCs w:val="22"/>
          <w:lang w:val="es-ES"/>
        </w:rPr>
      </w:pPr>
      <w:r w:rsidRPr="00D66245">
        <w:rPr>
          <w:rFonts w:ascii="Palatino Linotype" w:hAnsi="Palatino Linotype"/>
          <w:i/>
          <w:color w:val="auto"/>
          <w:sz w:val="22"/>
          <w:szCs w:val="22"/>
          <w:lang w:val="es-ES"/>
        </w:rPr>
        <w:t xml:space="preserve">Para la aplicación de lo dispuesto en los incisos anteriores de este artículo, se deberá tener presente la disponibilidad y facilidad probatoria que corresponde a cada una de las partes, de acuerdo con la naturaleza de lo debatido. </w:t>
      </w:r>
    </w:p>
    <w:p w14:paraId="2DBFE382" w14:textId="77777777" w:rsidR="000B2F75" w:rsidRPr="00D66245" w:rsidRDefault="000B2F75" w:rsidP="000B2F75">
      <w:pPr>
        <w:spacing w:line="240" w:lineRule="auto"/>
        <w:jc w:val="both"/>
        <w:rPr>
          <w:rFonts w:ascii="Palatino Linotype" w:hAnsi="Palatino Linotype" w:cs="Arial"/>
          <w:i/>
        </w:rPr>
      </w:pPr>
      <w:r w:rsidRPr="00D66245">
        <w:rPr>
          <w:rFonts w:ascii="Palatino Linotype" w:hAnsi="Palatino Linotype" w:cs="Arial"/>
          <w:i/>
        </w:rPr>
        <w:t>Las normas precedentes se aplicarán siempre que una disposición legal expresa no distribuya con criterios especiales la carga de la prueba.”</w:t>
      </w:r>
    </w:p>
    <w:p w14:paraId="3587B7B0"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En tesis de principio, este precepto recoge la doctrina clásica que desarrollaba el anterior numeral 317 de la codificación procesal civil anterior y que fuese objeto de complementación con el régimen procesal contencioso administrativo. En orden a lo estipulado por el canon 220 del CPCA, estas normas fijadas por el NCPC, estas nuevas reglas de carga probatoria nutren el proceso contencioso administrativo. La norma en cuestión incorpora como novedad, el deber de ponderar, en cada caso concreto, la disponibilidad y facilidad probatoria que corresponde a cada una de las partes, atendiendo a la naturaleza de lo debatido. De igual manera advierte la eventualidad de que alguna norma especial fije criterios de deber probatorio diversos a los señalados. </w:t>
      </w:r>
    </w:p>
    <w:p w14:paraId="329EA887"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En todo caso, salvo dichas excepcionalidades, resulta claro que, en tesis de principio, la carga de la acreditación corre para la parte actora respecto de los hechos sobre los cuales pretenda constituir su derecho. En tanto que, para la parte accionada, le corre la carga de acreditar las circunstancias </w:t>
      </w:r>
      <w:r w:rsidRPr="00D66245">
        <w:rPr>
          <w:rFonts w:ascii="Palatino Linotype" w:hAnsi="Palatino Linotype" w:cs="Arial"/>
        </w:rPr>
        <w:lastRenderedPageBreak/>
        <w:t xml:space="preserve">impeditivas, modificativas o extintivas del derecho del autor, siempre que, el derecho del reclamante se haya acreditado de manera debida, claro está. </w:t>
      </w:r>
    </w:p>
    <w:p w14:paraId="0BB40D13"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Tratándose de pretensiones de orden anulatorio, debe tenerse en cuenta que se trata del requerimiento de revisión de conformidad jurídica del ejercicio concreto y expreso de una competencia administrativa. El objeto de la causa en esa especie se refiere al control de conductas activas de orden formal, o bien, de actuaciones materiales. En este caso, resulta evidente que la carga de la prueba se rige por la regla impuesta por el precepto 41.1 del NCPC en cuanto a la disponibilidad o facilidad probatoria. Lo anterior ya que dependiendo de la patología que se sea sustentada como causa de nulidad, así será el deber de la parte reclamante de acreditar las deficiencias apuntadas o bien, de la Administración Pública accionada, acreditar que esas irregularidades no se producen. </w:t>
      </w:r>
    </w:p>
    <w:p w14:paraId="15665710" w14:textId="77777777" w:rsidR="000B2F75" w:rsidRPr="00D66245" w:rsidRDefault="000B2F75" w:rsidP="000B2F75">
      <w:pPr>
        <w:spacing w:line="240" w:lineRule="auto"/>
        <w:jc w:val="both"/>
        <w:rPr>
          <w:rFonts w:ascii="Palatino Linotype" w:eastAsia="Times New Roman" w:hAnsi="Palatino Linotype" w:cs="Arial"/>
        </w:rPr>
      </w:pPr>
      <w:r w:rsidRPr="00D66245">
        <w:rPr>
          <w:rFonts w:ascii="Palatino Linotype" w:hAnsi="Palatino Linotype" w:cs="Arial"/>
        </w:rPr>
        <w:t xml:space="preserve">En este punto es menester precisar que con todo y el objeto constitucionalmente fijado para la jurisdicción contencioso administrativa, atendiendo al modelo dispositivo que regula el CPCA, es deber de la parte que peticiona la invalidez de una conducta administrativa, explicar y precisar las razones de esa ilegitimidad. En la sentencia No. 67-2016-VI de </w:t>
      </w:r>
      <w:r w:rsidRPr="00D66245">
        <w:rPr>
          <w:rFonts w:ascii="Palatino Linotype" w:eastAsia="Times New Roman" w:hAnsi="Palatino Linotype" w:cs="Arial"/>
          <w:lang w:val="es-VE"/>
        </w:rPr>
        <w:t>las</w:t>
      </w:r>
      <w:r w:rsidRPr="00D66245">
        <w:rPr>
          <w:rFonts w:ascii="Palatino Linotype" w:eastAsia="Times New Roman" w:hAnsi="Palatino Linotype" w:cs="Arial"/>
          <w:lang w:val="es-CR"/>
        </w:rPr>
        <w:t xml:space="preserve"> catorce horas quince minutos del veinticinco </w:t>
      </w:r>
      <w:r w:rsidRPr="00D66245">
        <w:rPr>
          <w:rFonts w:ascii="Palatino Linotype" w:eastAsia="Times New Roman" w:hAnsi="Palatino Linotype" w:cs="Arial"/>
        </w:rPr>
        <w:t xml:space="preserve">de </w:t>
      </w:r>
      <w:r w:rsidRPr="00D66245">
        <w:rPr>
          <w:rFonts w:ascii="Palatino Linotype" w:eastAsia="Times New Roman" w:hAnsi="Palatino Linotype" w:cs="Arial"/>
          <w:lang w:val="es-CR"/>
        </w:rPr>
        <w:t xml:space="preserve">abril </w:t>
      </w:r>
      <w:r w:rsidRPr="00D66245">
        <w:rPr>
          <w:rFonts w:ascii="Palatino Linotype" w:eastAsia="Times New Roman" w:hAnsi="Palatino Linotype" w:cs="Arial"/>
        </w:rPr>
        <w:t xml:space="preserve">de </w:t>
      </w:r>
      <w:r w:rsidRPr="00D66245">
        <w:rPr>
          <w:rFonts w:ascii="Palatino Linotype" w:eastAsia="Times New Roman" w:hAnsi="Palatino Linotype" w:cs="Arial"/>
          <w:lang w:val="es-VE"/>
        </w:rPr>
        <w:t>dos mil</w:t>
      </w:r>
      <w:r w:rsidRPr="00D66245">
        <w:rPr>
          <w:rFonts w:ascii="Palatino Linotype" w:eastAsia="Times New Roman" w:hAnsi="Palatino Linotype" w:cs="Arial"/>
        </w:rPr>
        <w:t xml:space="preserve"> </w:t>
      </w:r>
      <w:r w:rsidRPr="00D66245">
        <w:rPr>
          <w:rFonts w:ascii="Palatino Linotype" w:eastAsia="Times New Roman" w:hAnsi="Palatino Linotype" w:cs="Arial"/>
          <w:lang w:val="es-CR"/>
        </w:rPr>
        <w:t>dieciséis</w:t>
      </w:r>
      <w:r w:rsidRPr="00D66245">
        <w:rPr>
          <w:rFonts w:ascii="Palatino Linotype" w:eastAsia="Times New Roman" w:hAnsi="Palatino Linotype" w:cs="Arial"/>
        </w:rPr>
        <w:t xml:space="preserve">, el Tribunal Contencioso Administrativo señaló sobre este particular: </w:t>
      </w:r>
    </w:p>
    <w:p w14:paraId="1226CD64"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eastAsia="Times New Roman" w:hAnsi="Palatino Linotype" w:cs="Arial"/>
          <w:i/>
        </w:rPr>
        <w:t xml:space="preserve">“… </w:t>
      </w:r>
      <w:r w:rsidRPr="00D66245">
        <w:rPr>
          <w:rFonts w:ascii="Palatino Linotype" w:eastAsia="Times New Roman" w:hAnsi="Palatino Linotype" w:cs="Arial"/>
          <w:i/>
          <w:lang w:val="es-CR"/>
        </w:rPr>
        <w:t>en orden a lo preceptuado por el mandato 119 del Código Procesal Contencioso Administrativo, la sentencia deberá pronunciarse sobre los ruegos de las partes, así como de los extremos permitidos por esa norma, lo que implica, el deber del juzgador de referirse y analizar las diversas alegaciones y defensas que las partes formulen como sustento de sus posturas. Desde este plano, cuando se reclame la nulidad de una determinada conducta administrativa, es menester al accionante exponer con contundencia y claridad ante este cuerpo colegiado, los vicios concretos que, a su juicio, llevan a esa invalidez. No basta por ende el simple reclamo de nulidad, sin el impostergable acompañamiento de las causas específicas que producen ese estado patológico de la expresión de voluntad administrativa. Nótese que, en el presente caso, no se formula petición de nulidad de manera expresa, pues lo que se reclama es la reinstalación al puesto, efecto que, de manera refleja, implica el ruego de supresión por invalidez del acto de rescisión del ligamen laboral que sostenía con el ente local. Sin embargo, el actor se limita a señalar que considera el despido como arbitrario, pero no refuta en lo absoluto las razones que le fueron comunicadas por la Municipalidad como sustento de la decisión adoptada. Desde este plano, no corresponde al juzgador, asumir o conjeturar las causas de nulidad de una determinada conducta administrativa, o bien, presuponer que, a partir del objeto de esta jurisdicción, consistente en el análisis de validez de la función administrativa -fijado por el ordinal 49 de la Carta Magna-, el accionante no tenga que exponer y precisar las causas de nulidad en que centra su derecho de acción. Se impone en consecuencia un principio de rogación sobre esas causales de patología, de suerte que al no exponer con la técnica debida las razones de la invalidez peticionada, se impone el rechazo de ese ruego. No puede este Tribunal (ni se encuentra legalmente habilitado), disponer la reinstalación del accionante en el puesto que venía desempeñando en la Municipalidad de Golfito, cuando no ha acreditado ni mencionado siquiera, las razones por las cuales considera que la rescisión de ese vínculo se produce por una conducta pública que antagoniza con la legalidad administrativa. Para ello, era impostergable acreditar que el motivo de hecho y de derecho dado por el ente local, consistente en la falta de presupuesto para continuar las contrataciones de servicios especiales, era inexistente. El ordinal 133 de la Ley General de la Administración Pública estatuye que el motivo (entendido como el presupuesto de hecho o de derecho que legitima -o impone- la actuación administrativa-) ha de existir real o jurídicamente al momento de dictar el acto y en el curso de su vigencia. La ausencia de ese elemento material objetivo produce, a no dudarlo, la invalidez de grado absoluto, tal y como se desprende del mandato 166 de esa misma Ley General. Sin embargo, el accionante no combate ese aspecto, se reitera, supeditándose a señalar que el acto es arbitrario, pero sin establecer las razones que le llevan a esa calificación.</w:t>
      </w:r>
      <w:r w:rsidRPr="00D66245">
        <w:rPr>
          <w:rFonts w:ascii="Palatino Linotype" w:eastAsia="Times New Roman" w:hAnsi="Palatino Linotype" w:cs="Arial"/>
          <w:lang w:val="es-CR"/>
        </w:rPr>
        <w:t>”</w:t>
      </w:r>
    </w:p>
    <w:p w14:paraId="75A2413A"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eastAsia="Times New Roman" w:hAnsi="Palatino Linotype" w:cs="Arial"/>
          <w:lang w:val="es-CR"/>
        </w:rPr>
        <w:t xml:space="preserve">Así, y con la salvedad de utilización casuística del ordinal 95 del CPCA, en relación al 182 LGAP, a nuestro juicio, de aplicación restrictiva y condicionado a no generar un desequilibrio procesal, se impone la referencia y desarrollo concreto de los motivos de disconformidad. Siendo así, es evidente que cuando el motivo de disconformidad se refiera a circunstancias de hecho que corresponde ser aportadas por la accionante, es a esta parte a quien atañe acreditar la concurrencia de tales cuestiones, condicionantes de la nulidad reclamada. Empero, en ese análisis debe tenerse en cuenta que el mismo numeral 52 del CPCA, impone a la Administración la carga procesal de aportar copia certificada del expediente administrativo, sea con la demanda o con la contestación, según corresponda. </w:t>
      </w:r>
      <w:r w:rsidRPr="00D66245">
        <w:rPr>
          <w:rStyle w:val="Refdenotaalpie"/>
          <w:rFonts w:ascii="Palatino Linotype" w:eastAsia="Times New Roman" w:hAnsi="Palatino Linotype" w:cs="Arial"/>
          <w:lang w:val="es-CR"/>
        </w:rPr>
        <w:footnoteReference w:id="191"/>
      </w:r>
      <w:r w:rsidRPr="00D66245">
        <w:rPr>
          <w:rFonts w:ascii="Palatino Linotype" w:eastAsia="Times New Roman" w:hAnsi="Palatino Linotype" w:cs="Arial"/>
          <w:lang w:val="es-CR"/>
        </w:rPr>
        <w:t xml:space="preserve"> Esto guarda relevancia para los efectos del punto tratado en la medida en que, si bien el CPCA confiere al accionante la posibilidad de aportar con su acción, copia certificada del citado legajo, a fin de reducir el plazo de traslado a 15 días hábiles, tal y como se desprende de los ordinales 53 en relación al 63.2 ejusdem. </w:t>
      </w:r>
    </w:p>
    <w:p w14:paraId="6CAD4E58"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eastAsia="Times New Roman" w:hAnsi="Palatino Linotype" w:cs="Arial"/>
          <w:lang w:val="es-CR"/>
        </w:rPr>
        <w:t xml:space="preserve">Cuando la Administración Pública omita ese deber en su condición de parte accionante, atendiendo a los ordinales 58, 53 y 61 del CPCA, deberá prevenirse la subsanación de esa falencia, so pena de la inadmisibilidad formal de la acción. Si esa omisión es en su rol de accionada, se aplica la sanción procesal prevista en el artículo 63.3 del CPCA, consistente en la contestación afirmativa de los hechos. Ya en otros espacios hemos señalado que tal sanción, ni por asomo, supone que los hechos base de la demanda se deben tener como probados, pues pervive el deber de análisis racional de los elementos de prueba a fin de establecer la concurrencia o no de los presupuestos de hecho en que se sustenta la demanda. Con todo, tal sanción produciría el efecto de una presunción a favor de la parte accionante, cuando exista duda razonable respecto de la ocurrencia o no de determinado hecho antecedente y relevante, si se aplica (y entiende) la máxima de disponibilidad y facilidad de aporte de la prueba.  </w:t>
      </w:r>
    </w:p>
    <w:p w14:paraId="4FA384F9"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eastAsia="Times New Roman" w:hAnsi="Palatino Linotype" w:cs="Arial"/>
          <w:lang w:val="es-CR"/>
        </w:rPr>
        <w:t xml:space="preserve">Desde este plano de análisis, el expediente administrativo se constituye como probanza de orden común, que, en inicio, ha de reflejar y contener el conjunto de acciones internas o de trámite que ha llevado a la adopción de la decisión administrativa. Tal registro documental ha de ser llevado por la misma Administración Pública, de suerte que, ante las alegaciones de omisiones en determinada acción procedimental precedente al acto, o bien, cuando el defecto que se señale a la conducta impugnada constituya un elemento que, por razón lógica estructural, debe estar consignado en el expediente administrativo, es a la Administración a quien pesa la carga de la prueba respecto del cumplimiento de esa formalidad sustancial. </w:t>
      </w:r>
    </w:p>
    <w:p w14:paraId="4F3119CD"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eastAsia="Times New Roman" w:hAnsi="Palatino Linotype" w:cs="Arial"/>
          <w:lang w:val="es-CR"/>
        </w:rPr>
        <w:t>Ahora, cuando el objeto debatido suponga cuestionamientos en la existencia real del motivo del acto tal y como ha sido concebido por la Administración al momento de adoptarlo, surge el dilema de la carga probatoria comentado. Si bien puede decirse que tal carga corresponde a la Administración, se está frente a los supuestos en los que, dentro del respaldo documental del acto, existen elementos de orden técnico que acreditan la existencia del motivo de la conducta, por lo que, en caso de cuestionarse la existencia de esos hechos, corresponde al administrado acreditar la insuficiencia del acto interno para sustentar la concurrencia del motivo, o bien, la inexistencia de esas circunstancias antecedentes. Empero, se insiste, el análisis de la carga demostrativa frente a las cuestiones de orden anulatorio parte de la base de que corresponde a la Administración acreditar los elementos que han dado base al acto, sin perjuicio de la posibilidad de que el accionante aporte elementos que ponga en entredicho esa composición aportada por la Administración.</w:t>
      </w:r>
    </w:p>
    <w:p w14:paraId="29B7A30B"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eastAsia="Times New Roman" w:hAnsi="Palatino Linotype" w:cs="Arial"/>
          <w:lang w:val="es-CR"/>
        </w:rPr>
        <w:t xml:space="preserve">Cabe destacar que los principios de disponibilidad y facilidad probatoria como elementos orientadores de la definición de la carga de la prueba en cada relación procesal, que plasma el citado precepto 41.1 del NCPC, ya son cuestiones que han sido ponderadas en la jurisdicción contencioso administrativa. Así, se ha señalado que la carga de la prueba debe distribuirse entre las partes, correspondiendo </w:t>
      </w:r>
      <w:r w:rsidRPr="00D66245">
        <w:rPr>
          <w:rFonts w:ascii="Palatino Linotype" w:hAnsi="Palatino Linotype" w:cs="Arial"/>
          <w:lang w:val="es-CR"/>
        </w:rPr>
        <w:t>a quien se encuentre en posibilidad más próxima y en mejores condiciones para ofrecer las probanzas, aportar el correspondiente elemento de convicción. Así, por ejemplo, puede verse en el fallo 255-2012 de la Sección VI del Tribunal Contencioso Administrativo</w:t>
      </w:r>
      <w:r w:rsidRPr="00D66245">
        <w:rPr>
          <w:rStyle w:val="Refdenotaalpie"/>
          <w:rFonts w:ascii="Palatino Linotype" w:hAnsi="Palatino Linotype" w:cs="Arial"/>
          <w:lang w:val="es-CR"/>
        </w:rPr>
        <w:footnoteReference w:id="192"/>
      </w:r>
      <w:r w:rsidRPr="00D66245">
        <w:rPr>
          <w:rFonts w:ascii="Palatino Linotype" w:hAnsi="Palatino Linotype" w:cs="Arial"/>
          <w:lang w:val="es-CR"/>
        </w:rPr>
        <w:t>, en la que se analizó esta máxima pese a que el ordinal 140 del Código de Normas y Procedimientos Tributarios señala que corresponde al Fisco la carga de la prueba respecto de los hechos constitutivos de la obligación fiscal.  Ergo, no debe asignarse el deber de acreditación en todos los casos a una parte en concreto, siendo que es necesario ponderar cuales de ambas partes involucradas está en posición más favorable para aportar los elementos que permitan determinar un aspecto fáctico relevante.</w:t>
      </w:r>
    </w:p>
    <w:p w14:paraId="04F6A11C" w14:textId="77777777" w:rsidR="000B2F75" w:rsidRPr="00D66245" w:rsidRDefault="000B2F75" w:rsidP="000B2F75">
      <w:pPr>
        <w:spacing w:line="240" w:lineRule="auto"/>
        <w:jc w:val="both"/>
        <w:rPr>
          <w:rFonts w:ascii="Palatino Linotype" w:eastAsia="Times New Roman" w:hAnsi="Palatino Linotype" w:cs="Arial"/>
          <w:u w:val="single"/>
          <w:lang w:val="es-CR"/>
        </w:rPr>
      </w:pPr>
      <w:r w:rsidRPr="00D66245">
        <w:rPr>
          <w:rFonts w:ascii="Palatino Linotype" w:eastAsia="Times New Roman" w:hAnsi="Palatino Linotype" w:cs="Arial"/>
          <w:u w:val="single"/>
          <w:lang w:val="es-CR"/>
        </w:rPr>
        <w:t xml:space="preserve">Pretensiones de omisiones administrativas. </w:t>
      </w:r>
    </w:p>
    <w:p w14:paraId="048F66EC"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eastAsia="Times New Roman" w:hAnsi="Palatino Linotype" w:cs="Arial"/>
          <w:lang w:val="es-CR"/>
        </w:rPr>
        <w:t>Parte de la tutela que se concreta en sede contencioso administrativa se refiere al control de la disfunción administrativa, categoría dentro de las cuales encontramos las omisiones administrativas. No es este el espacio para un abordaje de la interesante tipología de las indolencias administrativas, ni de los remedios jurídico-procesales que atañen a cada una de ellas. Como aspecto genérico, cabe destacar que la omisión supone, en todos los casos, la concurrencia de una serie de presupuestos elementales, sea: deber jurídico de actuar, desidia en la atención del deber jurídico preexistente. De ahí que el deber jurídico pueda derivar de un derecho de sustento contractual, de una orden de prestación, de un deber de emitir un acto, instruir un procedimiento, adoptar una norma administrativa, ejercicio de potestades de policía administrativa o bien, de ejecución de actos firmes. Frente a ello, la carga probatoria de la preexistencia del deber de actuar corresponde a quien pretende que se declare a su favor el derecho que ha de ser satisfecho mediante la prestación, aspecto que, en todo caso, en tanto derivado de un deber legal, bien puede ser tema asociado a argumentos jurídico, más que a cuestiones de orden probatorio. Por su parte, es claro que correspondería a la Administración la comprobación de que esa prestación o ejercicio concreto ha sido satisfecho, es decir, que no se encuentra en el supuesto de inercia administrativa que le es reprochada.</w:t>
      </w:r>
    </w:p>
    <w:p w14:paraId="0C6C249C"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eastAsia="Times New Roman" w:hAnsi="Palatino Linotype" w:cs="Arial"/>
          <w:lang w:val="es-CR"/>
        </w:rPr>
        <w:t>En ese tipo de pretensiones que buscan combatir conductas omitidas, el ordinal 35 del CPCA establece el conferimiento preceptivo de un plazo de 15 días previos al emplazamiento para adoptar la conducta debida, caso en el cual, se resuelve el proceso sin especial condenatoria en costas. Esta norma se repite en etapas ulteriores del proceso, pero de forma facultativa a quien ejerce la función jurisdiccional, pero por el plazo de hasta 8 días hábiles, según se colige del ordinal 118 de la misma codificación, con el mismo resultado liberatorio de costas.</w:t>
      </w:r>
      <w:r w:rsidRPr="00D66245">
        <w:rPr>
          <w:rStyle w:val="Refdenotaalpie"/>
          <w:rFonts w:ascii="Palatino Linotype" w:eastAsia="Times New Roman" w:hAnsi="Palatino Linotype" w:cs="Arial"/>
          <w:lang w:val="es-CR"/>
        </w:rPr>
        <w:footnoteReference w:id="193"/>
      </w:r>
      <w:r w:rsidRPr="00D66245">
        <w:rPr>
          <w:rFonts w:ascii="Palatino Linotype" w:eastAsia="Times New Roman" w:hAnsi="Palatino Linotype" w:cs="Arial"/>
          <w:lang w:val="es-CR"/>
        </w:rPr>
        <w:t xml:space="preserve"> Caber señalar que en estos casos, la sentencia estimatoria se refiere a la condena de realizar una determinada conducta, con la posibilidad de fijar los límites fijados por el Ordenamiento Jurídico para la realización de esa actividad (artículo 122 incisos f y g del CPCA), aun cuando igualmente parte del objeto del proceso puede estar constituido por el restablecimiento de la situación jurídica afectada por la inercia pública, aspecto que usualmente se limita a la ponderación de los daños y perjuicios que tal indolencia pudiese haber ocasionado en la esfera jurídica del accionante. Tal cuestión, la indemnizatoria, se encuentra sujeta a la debida comprobación de los daños, aspecto que de seguido se mencionará. </w:t>
      </w:r>
    </w:p>
    <w:p w14:paraId="2BC522FB" w14:textId="77777777" w:rsidR="000B2F75" w:rsidRPr="00D66245" w:rsidRDefault="000B2F75" w:rsidP="000B2F75">
      <w:pPr>
        <w:spacing w:line="240" w:lineRule="auto"/>
        <w:jc w:val="both"/>
        <w:rPr>
          <w:rFonts w:ascii="Palatino Linotype" w:eastAsia="Times New Roman" w:hAnsi="Palatino Linotype" w:cs="Arial"/>
          <w:i/>
          <w:u w:val="single"/>
        </w:rPr>
      </w:pPr>
      <w:r w:rsidRPr="00D66245">
        <w:rPr>
          <w:rFonts w:ascii="Palatino Linotype" w:eastAsia="Times New Roman" w:hAnsi="Palatino Linotype" w:cs="Arial"/>
          <w:u w:val="single"/>
          <w:lang w:val="es-CR"/>
        </w:rPr>
        <w:t xml:space="preserve">Pretensiones indemnizatorias y de contenido patrimonial. </w:t>
      </w:r>
    </w:p>
    <w:p w14:paraId="44DBB466"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eastAsia="Times New Roman" w:hAnsi="Palatino Linotype" w:cs="Arial"/>
          <w:lang w:val="es-CR"/>
        </w:rPr>
        <w:t xml:space="preserve">Como se ha señalado, en los procesos denominados contencioso administrativo, en los que se pretende la revisión de validez de una conducta ya emitida, así como en los supuestos en que se reclame la declaratoria de disconformidad jurídica de omisiones administrativas (de orden formal o material, en cualquiera de su vasta tipología), la rigurosidad probatoria no es tan intensa como en los casos civiles de hacienda en los que, por tratarse de debates relacionados a derechos o intereses de orden patrimonial, la dinámica probatoria atiende a la necesidad, impostergable, de que el accionante acredite de manera debida y contundente, la ocurrencia de la lesión antijurídica reprochada. </w:t>
      </w:r>
    </w:p>
    <w:p w14:paraId="3BA49641"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eastAsia="Times New Roman" w:hAnsi="Palatino Linotype" w:cs="Arial"/>
          <w:lang w:val="es-CR"/>
        </w:rPr>
        <w:t xml:space="preserve">En efecto, cuando el objeto del proceso estribe en una pretensión en la que se reclama la declaratoria de existencia de un derecho de contenido patrimonial, sea de base contractual o extracontractual, es evidente y notorio que corresponde a la parte promovente la acreditación de los hechos constitutivos de ese derecho. La amplitud de esta temática imposibilita el abordaje deseado en este ensayo, empero, es necesario exponer algunas consideraciones en torno a los procesos de responsabilidad civil extracontractual de la Administración Pública. En ese sentido, como derivación del ordinal 196 de la LGAP, toda demanda por daños y perjuicios bajo este esquema de responsabilidad exige que la lesión reclamada se haya producido o haya acontecido materialmente, como derivación del requisito de efectividad del daño. En orden a lo preceptuado por el canon 58 inciso e) del CPCA, cuando se pretendan daños y perjuicios, la demanda debe indicar en qué consisten, el motivo que los origina, así como una estimación prudencial. De igual manera, el inciso f) de esa misma norma impone como requisito de la demanda la presentación de las probanzas respaldo de los hechos que sustentan la </w:t>
      </w:r>
      <w:r w:rsidRPr="00D66245">
        <w:rPr>
          <w:rFonts w:ascii="Palatino Linotype" w:eastAsia="Times New Roman" w:hAnsi="Palatino Linotype" w:cs="Arial"/>
          <w:i/>
          <w:lang w:val="es-CR"/>
        </w:rPr>
        <w:t>causa petendi</w:t>
      </w:r>
      <w:r w:rsidRPr="00D66245">
        <w:rPr>
          <w:rFonts w:ascii="Palatino Linotype" w:eastAsia="Times New Roman" w:hAnsi="Palatino Linotype" w:cs="Arial"/>
          <w:lang w:val="es-CR"/>
        </w:rPr>
        <w:t xml:space="preserve">. Si bien la norma indica, que tal exigencia concurre cuando los daños y perjuicios sean requeridos de manera accesoria, es evidente que cuando la ratio misma de la demanda sea la declaración de un deber reparatorio, el detalle de las lesiones reclamadas, la causa generadora de aquellas, su estimación, al menos prudencial y su acreditación, son elementos impostergables de la acción judicial. Sobre ese particular, el Tribunal Contencioso Administrativo y Civil de Hacienda, entre otras, en el fallo No. 48-2019-VI, de las 13 horas 50 minutos del 30 de abril del 2019 ha indicado: </w:t>
      </w:r>
    </w:p>
    <w:p w14:paraId="3425165A" w14:textId="77777777" w:rsidR="000B2F75" w:rsidRPr="00D66245" w:rsidRDefault="000B2F75" w:rsidP="000B2F75">
      <w:pPr>
        <w:spacing w:line="240" w:lineRule="auto"/>
        <w:jc w:val="both"/>
        <w:rPr>
          <w:rFonts w:ascii="Palatino Linotype" w:hAnsi="Palatino Linotype" w:cs="Arial"/>
        </w:rPr>
      </w:pPr>
      <w:r w:rsidRPr="00D66245">
        <w:rPr>
          <w:rFonts w:ascii="Palatino Linotype" w:eastAsia="Times New Roman" w:hAnsi="Palatino Linotype" w:cs="Arial"/>
          <w:b/>
          <w:lang w:val="es-CR"/>
        </w:rPr>
        <w:t>“</w:t>
      </w:r>
      <w:r w:rsidRPr="00D66245">
        <w:rPr>
          <w:rFonts w:ascii="Palatino Linotype" w:eastAsia="Times New Roman" w:hAnsi="Palatino Linotype" w:cs="Arial"/>
          <w:b/>
          <w:i/>
          <w:lang w:val="es-CR"/>
        </w:rPr>
        <w:t>…</w:t>
      </w:r>
      <w:r w:rsidRPr="00D66245">
        <w:rPr>
          <w:rFonts w:ascii="Palatino Linotype" w:eastAsia="Times New Roman" w:hAnsi="Palatino Linotype" w:cs="Arial"/>
          <w:i/>
          <w:lang w:val="es-VE"/>
        </w:rPr>
        <w:t xml:space="preserve">No basta alegar la existencia de padecimientos </w:t>
      </w:r>
      <w:r w:rsidRPr="00D66245">
        <w:rPr>
          <w:rFonts w:ascii="Palatino Linotype" w:eastAsia="Times New Roman" w:hAnsi="Palatino Linotype" w:cs="Arial"/>
          <w:i/>
          <w:lang w:val="es-CR"/>
        </w:rPr>
        <w:t>o lesiones</w:t>
      </w:r>
      <w:r w:rsidRPr="00D66245">
        <w:rPr>
          <w:rFonts w:ascii="Palatino Linotype" w:eastAsia="Times New Roman" w:hAnsi="Palatino Linotype" w:cs="Arial"/>
          <w:i/>
          <w:lang w:val="es-VE"/>
        </w:rPr>
        <w:t xml:space="preserve">, debe demostrarse al menos, los hechos que, en teoría, han originado tal detrimento. Ello viene como derivación del principio de carga de la prueba, que dimana del ordinal </w:t>
      </w:r>
      <w:r w:rsidRPr="00D66245">
        <w:rPr>
          <w:rFonts w:ascii="Palatino Linotype" w:eastAsia="Times New Roman" w:hAnsi="Palatino Linotype" w:cs="Arial"/>
          <w:i/>
          <w:lang w:val="es-CR"/>
        </w:rPr>
        <w:t>41</w:t>
      </w:r>
      <w:r w:rsidRPr="00D66245">
        <w:rPr>
          <w:rFonts w:ascii="Palatino Linotype" w:eastAsia="Times New Roman" w:hAnsi="Palatino Linotype" w:cs="Arial"/>
          <w:i/>
          <w:lang w:val="es-VE"/>
        </w:rPr>
        <w:t xml:space="preserve"> del Código Procesal Civil, al establecer la necesidad de quien alega tener un derecho, de probar los hechos constitutivos de aquel. No se trata de una inversión de la carga probatoria en una materia que se sustenta en la reparación integral del daño y tiene como pilares el daño y el riesgo creado, sino de la comprobación mínima de los criterios de imputación y hechos que dan origen al daño, como presupuestos elementales de la atribución de responsabilidad y con ello del surgimiento de la obligación reparadora. El ordinal 82 del Código Procesal Contencioso Administrativo establece como una de las finalidades del proceso, determinar la verdad real de los hechos, mediante cualesquiera medios de prueba. Empero, ello no releva a la parte que aduce tener un derecho oponible a un tercero, como es el caso del derecho de reparación de un daño, de acreditar los fundamentos fácticos que sustentan ese derecho, así como de la existencia misma de la lesión. Lo anterior sin perjuicio de aquellos casos en que el padecimiento surge como consecuencia lógica de un proceder administrativo. Lo anterior deriva además de lo preceptuado por el canon 196 de la Ley General de la Administración Pública, en cuanto señala: “En todo caso el daño alegado habrá de ser efectivo, evaluable e individualizable en relación con una persona o grupo.” La efectividad del daño en un caso concreto pende, de manera directa, de la demostración del nexo de causalidad, que permita vincular el resultado lesivo con una acción u omisión de una Administración Pública.</w:t>
      </w:r>
      <w:r w:rsidRPr="00D66245">
        <w:rPr>
          <w:rFonts w:ascii="Palatino Linotype" w:eastAsia="Times New Roman" w:hAnsi="Palatino Linotype" w:cs="Arial"/>
          <w:i/>
        </w:rPr>
        <w:t xml:space="preserve"> </w:t>
      </w:r>
      <w:r w:rsidRPr="00D66245">
        <w:rPr>
          <w:rFonts w:ascii="Palatino Linotype" w:eastAsia="Times New Roman" w:hAnsi="Palatino Linotype" w:cs="Arial"/>
          <w:i/>
          <w:lang w:val="es-CR"/>
        </w:rPr>
        <w:t>Así además se establece en el ordinal 58 del Código de previa cita, en cuanto impone el deber del accionante de señalar las causas de la lesión reclamada, en qué consiste, y su estimación prudencial. Si bien tal exigencia se encuentra prevista en la norma indicada cuando el pedimento reparador sea accesorio, con mucho mayor razón ha de satisfacerse cuando el marco medular de la pretensión sea una indemnización, pues en esos casos, el establecimiento de esos presupuestos, es la base mínima para acceder a lo peticionado. En esa dinámica, no basta argumentar sobre la existencia probable de daños, debe acreditarse su efectividad. (…)”</w:t>
      </w:r>
    </w:p>
    <w:p w14:paraId="0DD75344"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eastAsia="Times New Roman" w:hAnsi="Palatino Linotype" w:cs="Arial"/>
          <w:lang w:val="es-CR"/>
        </w:rPr>
        <w:t>Por ende, el contenido mismo de los pedimentos reparatorios, exige no solamente el reclamo expreso de esas partidas, sino, además, la debida acreditación de las lesiones antijurídicas que se estiman, han ocurrido a partir de una acción u omisión de la Administración Pública accionada. La condena en daños sin la necesaria acreditación de esos presupuestos resulta poco o nada factible, sin que pueda estimarse que el artículo 122 inciso m) numeral iii) del CPCA</w:t>
      </w:r>
      <w:r w:rsidRPr="00D66245">
        <w:rPr>
          <w:rStyle w:val="Refdenotaalpie"/>
          <w:rFonts w:ascii="Palatino Linotype" w:eastAsia="Times New Roman" w:hAnsi="Palatino Linotype" w:cs="Arial"/>
          <w:lang w:val="es-CR"/>
        </w:rPr>
        <w:footnoteReference w:id="194"/>
      </w:r>
      <w:r w:rsidRPr="00D66245">
        <w:rPr>
          <w:rFonts w:ascii="Palatino Linotype" w:eastAsia="Times New Roman" w:hAnsi="Palatino Linotype" w:cs="Arial"/>
          <w:lang w:val="es-CR"/>
        </w:rPr>
        <w:t>, pueda constituirse en una norma habilitante que permita, en los casos en los que se peticiona responsabilidad civil, declarar el deber de reparar un daño, aún y cuando pese haber sido peticionado, no se haya acreditado su existencia, ni mucho menos su cuantía. A nuestro modo de ver, tal norma ha de ser de aplicación restrictiva y eventualmente, para los casos en que el análisis de validez de una determinada conducta administrativa, determine la ilegitimidad del funcionamiento administrativo y como consecuencia de la supresión retroactiva que se desprende de la declaratoria de nulidad de grado absoluto, acorde al ordinal 171 LGAP y 131 CPCA, el Tribunal de Fondo estime que esa conducta pudo haber generado daños que han de ser tutelados. Con todo, dada la orientación dispositiva del proceso contencioso administrativa y al encontrarse en ese supuesto, en cuestiones de orden patrimonial, solamente puede otorgarse lo que expresamente ha sido peticionado, so pena de afectar el equilibrio procesal. Quedaría reservada entonces, a prestaciones patrimoniales asociadas a situaciones indisponibles, lo que, de nuevo, ha de analizarse en cada caso concreto.</w:t>
      </w:r>
    </w:p>
    <w:p w14:paraId="18A1FFA5" w14:textId="77777777" w:rsidR="000B2F75" w:rsidRPr="00D66245" w:rsidRDefault="000B2F75" w:rsidP="000B2F75">
      <w:pPr>
        <w:spacing w:line="240" w:lineRule="auto"/>
        <w:jc w:val="both"/>
        <w:rPr>
          <w:rFonts w:ascii="Palatino Linotype" w:hAnsi="Palatino Linotype" w:cs="Arial"/>
        </w:rPr>
      </w:pPr>
      <w:r w:rsidRPr="00D66245">
        <w:rPr>
          <w:rFonts w:ascii="Palatino Linotype" w:eastAsia="Times New Roman" w:hAnsi="Palatino Linotype" w:cs="Arial"/>
          <w:lang w:val="es-CR"/>
        </w:rPr>
        <w:t xml:space="preserve">Así, en esencia, corresponde al accionante acreditar la existencia de la lesión cuya reparación pretenda, así como los hechos que constituyen la causa adecuada del daño, a tono con la teoría del caso que presenta. Por contraste, a tono con lo señalado por el ordinal 190 LGAP, es a la Administración Pública accionada a quien corresponde rebatir la existencia de la lesión, así como de la concurrencia de potenciales causales liberatorias de la responsabilidad endilgada. De ahí que la existencia de un hecho de tercero en la generación del daño, conductas o inercias de la propia víctima que le hayan colocado en situación inexcusable de padecer la lesión, o bien, la ocurrencia de un hecho que, aunque previsible, en definitiva, haya sido inevitable, como causal de fuerza mayor, son cuestión cuya prueba ha de ser aportada por la Administración.   </w:t>
      </w:r>
    </w:p>
    <w:p w14:paraId="19D9094D"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eastAsia="Times New Roman" w:hAnsi="Palatino Linotype" w:cs="Arial"/>
          <w:lang w:val="es-CR"/>
        </w:rPr>
        <w:t>En resumen, una vez aportada las probanzas, corresponde al Tribunal de Fondo, establecer la ocurrencia o no de los hechos sobre los cuales se basa la pretensión o defensa, a partir del examen de las pruebas aportadas para esos fines. En su esquema simple, las partes alegan y prueban los hechos, aportan las pruebas para acreditar o refutar los hechos que sustentan sus respectivas posturas, invocan y alegan el derecho de fondo y formulan las pretensiones o defensas. Por su parte, el juzgador analiza la acreditación o no de los hechos a partir de la admisión, evacuación y posterior valoración de las probanzas. Analiza el derecho derivado de la causa de pedir, lo que supone que las normas y la solución jurídica se orienta en gran medida por el contenido fáctico de las relaciones jurídicas que componen el conflicto sometido a su conocimiento, a partir de lo cual, se utilizan las fuentes normativas que ante esos hechos (a modo de presupuesto condicionante), y a juicio del juzgador, permiten resolver tal divergencia. No en vano se ha inferido que las partes prueban los hechos y el juez aplica el derecho. Luego, la decisión final, como derivación del análisis fáctico y jurídico, determina la procedencia o improcedencia de las pretensiones y excepciones. Ello pone en evidencia la relevancia de las probanzas en todo proceso, y la rigurosidad que el litigante ha de tener en ese ámbito.</w:t>
      </w:r>
    </w:p>
    <w:p w14:paraId="364696D4" w14:textId="77777777" w:rsidR="000B2F75" w:rsidRPr="00D66245" w:rsidRDefault="000B2F75" w:rsidP="000B2F75">
      <w:pPr>
        <w:pStyle w:val="Prrafodelista"/>
        <w:numPr>
          <w:ilvl w:val="0"/>
          <w:numId w:val="51"/>
        </w:numPr>
        <w:spacing w:line="240" w:lineRule="auto"/>
        <w:ind w:left="0" w:firstLine="0"/>
        <w:jc w:val="both"/>
        <w:rPr>
          <w:rFonts w:ascii="Palatino Linotype" w:hAnsi="Palatino Linotype" w:cs="Arial"/>
          <w:b/>
          <w:lang w:val="es-ES"/>
        </w:rPr>
      </w:pPr>
      <w:r w:rsidRPr="00D66245">
        <w:rPr>
          <w:rFonts w:ascii="Palatino Linotype" w:hAnsi="Palatino Linotype" w:cs="Arial"/>
          <w:b/>
          <w:lang w:val="es-ES"/>
        </w:rPr>
        <w:t>Criterios de admisibilidad de las probanzas.</w:t>
      </w:r>
    </w:p>
    <w:p w14:paraId="4D152446" w14:textId="77777777" w:rsidR="000B2F75" w:rsidRPr="00D66245" w:rsidRDefault="000B2F75" w:rsidP="000B2F75">
      <w:pPr>
        <w:spacing w:line="240" w:lineRule="auto"/>
        <w:ind w:firstLine="360"/>
        <w:jc w:val="both"/>
        <w:rPr>
          <w:rFonts w:ascii="Palatino Linotype" w:eastAsia="Times New Roman" w:hAnsi="Palatino Linotype" w:cs="Arial"/>
          <w:lang w:val="es-CR"/>
        </w:rPr>
      </w:pPr>
      <w:r w:rsidRPr="00D66245">
        <w:rPr>
          <w:rFonts w:ascii="Palatino Linotype" w:eastAsia="Times New Roman" w:hAnsi="Palatino Linotype" w:cs="Arial"/>
        </w:rPr>
        <w:t xml:space="preserve">Dentro del proceso contencioso administrativo, </w:t>
      </w:r>
      <w:r w:rsidRPr="00D66245">
        <w:rPr>
          <w:rFonts w:ascii="Palatino Linotype" w:eastAsia="Times New Roman" w:hAnsi="Palatino Linotype" w:cs="Arial"/>
          <w:lang w:val="es-CR"/>
        </w:rPr>
        <w:t>en tesis de principio, es dentro de la audiencia preliminar que se establecen los hechos controvertidos y no controvertidos y que, por diseño, condicionan el ejercicio analítico de admisibilidad de las probanzas. El CPCA establece una serie de criterios que modulan y orientan el papel de la instancia de trámite, así como de las personas juzgadoras que intervengan en esa fase de admisión de pruebas</w:t>
      </w:r>
      <w:r w:rsidRPr="00D66245">
        <w:rPr>
          <w:rStyle w:val="Refdenotaalpie"/>
          <w:rFonts w:ascii="Palatino Linotype" w:eastAsia="Times New Roman" w:hAnsi="Palatino Linotype" w:cs="Arial"/>
          <w:lang w:val="es-CR"/>
        </w:rPr>
        <w:footnoteReference w:id="195"/>
      </w:r>
      <w:r w:rsidRPr="00D66245">
        <w:rPr>
          <w:rFonts w:ascii="Palatino Linotype" w:eastAsia="Times New Roman" w:hAnsi="Palatino Linotype" w:cs="Arial"/>
          <w:lang w:val="es-CR"/>
        </w:rPr>
        <w:t>. En ese orden el artículo 90.3 del CPCA señala con toda claridad que: "</w:t>
      </w:r>
      <w:r w:rsidRPr="00D66245">
        <w:rPr>
          <w:rFonts w:ascii="Palatino Linotype" w:eastAsia="Times New Roman" w:hAnsi="Palatino Linotype" w:cs="Arial"/>
          <w:i/>
          <w:lang w:val="es-CR"/>
        </w:rPr>
        <w:t>También se resolverá la admisión de los elementos probatorios ofrecidos, cuando así proceda, se rechazarán los evidentemente impertinentes o inconducentes, y se dispondrá el señalamiento y diligenciamiento de los que correspondan.</w:t>
      </w:r>
      <w:r w:rsidRPr="00D66245">
        <w:rPr>
          <w:rFonts w:ascii="Palatino Linotype" w:eastAsia="Times New Roman" w:hAnsi="Palatino Linotype" w:cs="Arial"/>
          <w:lang w:val="es-CR"/>
        </w:rPr>
        <w:t>"</w:t>
      </w:r>
    </w:p>
    <w:p w14:paraId="3F1D626D" w14:textId="77777777" w:rsidR="000B2F75" w:rsidRPr="00D66245" w:rsidRDefault="000B2F75" w:rsidP="000B2F75">
      <w:pPr>
        <w:spacing w:line="240" w:lineRule="auto"/>
        <w:ind w:firstLine="360"/>
        <w:jc w:val="both"/>
        <w:rPr>
          <w:rFonts w:ascii="Palatino Linotype" w:eastAsia="Times New Roman" w:hAnsi="Palatino Linotype" w:cs="Arial"/>
          <w:lang w:val="es-CR"/>
        </w:rPr>
      </w:pPr>
      <w:r w:rsidRPr="00D66245">
        <w:rPr>
          <w:rFonts w:ascii="Palatino Linotype" w:eastAsia="Times New Roman" w:hAnsi="Palatino Linotype" w:cs="Arial"/>
          <w:lang w:val="es-CR"/>
        </w:rPr>
        <w:t>Con antelación, el inciso e) del artículo 90.1 ibídem señala que la determinación de los hechos controvertidos es fundamental para el análisis de admisibilidad de las pruebas, pues es claro que el hecho de esta índole, exige la sinergia probatoria entre las partes, precisamente por el contraste de opiniones en torno al hecho. Empero, como hemos señalado en otras oportunidades</w:t>
      </w:r>
      <w:r w:rsidRPr="00D66245">
        <w:rPr>
          <w:rStyle w:val="Refdenotaalpie"/>
          <w:rFonts w:ascii="Palatino Linotype" w:eastAsia="Times New Roman" w:hAnsi="Palatino Linotype" w:cs="Arial"/>
          <w:lang w:val="es-CR"/>
        </w:rPr>
        <w:footnoteReference w:id="196"/>
      </w:r>
      <w:r w:rsidRPr="00D66245">
        <w:rPr>
          <w:rFonts w:ascii="Palatino Linotype" w:eastAsia="Times New Roman" w:hAnsi="Palatino Linotype" w:cs="Arial"/>
          <w:lang w:val="es-CR"/>
        </w:rPr>
        <w:t xml:space="preserve">, la dispensa de admisión de prueba opera en cuanto a los hechos que se tengan por no controvertidos, dada su admisión expresa de la contraparte. Esto descarta que cuando la “incontrovertibilidad fáctica” no derive de la aceptación inequívoca de la parte accionada, sino de la aplicación de la sanción procesal de aceptación ficta prevista en los ordinales 63.3, 64.3 y 65 del CPCA, es menester el análisis de la admisibilidad de las probanzas. Incluso, aún frente a hechos que, en principio, fueron expresamente aceptados, podría darse la vicisitud de la necesidad de admitir alguna prueba a fin de establecer que no se está frente a un </w:t>
      </w:r>
      <w:r w:rsidRPr="00D66245">
        <w:rPr>
          <w:rFonts w:ascii="Palatino Linotype" w:eastAsia="Times New Roman" w:hAnsi="Palatino Linotype" w:cs="Arial"/>
          <w:i/>
          <w:lang w:val="es-CR"/>
        </w:rPr>
        <w:t>fraus legis</w:t>
      </w:r>
      <w:r w:rsidRPr="00D66245">
        <w:rPr>
          <w:rFonts w:ascii="Palatino Linotype" w:eastAsia="Times New Roman" w:hAnsi="Palatino Linotype" w:cs="Arial"/>
          <w:lang w:val="es-CR"/>
        </w:rPr>
        <w:t xml:space="preserve">, abuso procesal, o en general, alguna conducta o arreglo contrario al Ordenamiento Jurídico, control que ha de garantizar esa jurisdicción. Ante esos hechos controvertidos, o en general, los que no hayan sido expresamente aceptados, demarca entonces un primer parámetro para la ponderación de admisibilidad de la prueba.  </w:t>
      </w:r>
    </w:p>
    <w:p w14:paraId="6555D6FF" w14:textId="77777777" w:rsidR="000B2F75" w:rsidRPr="00D66245" w:rsidRDefault="000B2F75" w:rsidP="000B2F75">
      <w:pPr>
        <w:spacing w:line="240" w:lineRule="auto"/>
        <w:ind w:firstLine="360"/>
        <w:jc w:val="both"/>
        <w:rPr>
          <w:rFonts w:ascii="Palatino Linotype" w:eastAsia="Times New Roman" w:hAnsi="Palatino Linotype" w:cs="Arial"/>
          <w:lang w:val="es-CR"/>
        </w:rPr>
      </w:pPr>
      <w:r w:rsidRPr="00D66245">
        <w:rPr>
          <w:rFonts w:ascii="Palatino Linotype" w:eastAsia="Times New Roman" w:hAnsi="Palatino Linotype" w:cs="Arial"/>
          <w:lang w:val="es-CR"/>
        </w:rPr>
        <w:t xml:space="preserve">De igual manera, el canon 93 ejusdem complementa esos criterios de admisión en cuanto señala expresa pautas o criterios rectores para la decisión de admitir o no las pruebas de las partes. En lo medular, ese mandato establece lo siguiente: </w:t>
      </w:r>
    </w:p>
    <w:p w14:paraId="2925E7F4" w14:textId="77777777" w:rsidR="000B2F75" w:rsidRPr="00D66245" w:rsidRDefault="000B2F75" w:rsidP="000B2F75">
      <w:pPr>
        <w:spacing w:line="240" w:lineRule="auto"/>
        <w:ind w:firstLine="360"/>
        <w:jc w:val="both"/>
        <w:rPr>
          <w:rFonts w:ascii="Palatino Linotype" w:eastAsia="Times New Roman" w:hAnsi="Palatino Linotype" w:cs="Arial"/>
          <w:lang w:val="es-CR"/>
        </w:rPr>
      </w:pPr>
      <w:r w:rsidRPr="00D66245">
        <w:rPr>
          <w:rFonts w:ascii="Palatino Linotype" w:eastAsia="Times New Roman" w:hAnsi="Palatino Linotype" w:cs="Arial"/>
          <w:lang w:val="es-CR"/>
        </w:rPr>
        <w:t xml:space="preserve">-No se admitirá prueba respecto de hechos sobre los cuales se haya mostrado conformidad, salvo que se haya dado por rebeldía, en cuyo caso, es menester valorar la procedencia de su admisión, acorde a las circunstancias concretas del caso. </w:t>
      </w:r>
    </w:p>
    <w:p w14:paraId="2E404406" w14:textId="77777777" w:rsidR="000B2F75" w:rsidRPr="00D66245" w:rsidRDefault="000B2F75" w:rsidP="000B2F75">
      <w:pPr>
        <w:spacing w:line="240" w:lineRule="auto"/>
        <w:ind w:firstLine="360"/>
        <w:jc w:val="both"/>
        <w:rPr>
          <w:rFonts w:ascii="Palatino Linotype" w:eastAsia="Times New Roman" w:hAnsi="Palatino Linotype" w:cs="Arial"/>
          <w:lang w:val="es-CR"/>
        </w:rPr>
      </w:pPr>
      <w:r w:rsidRPr="00D66245">
        <w:rPr>
          <w:rFonts w:ascii="Palatino Linotype" w:eastAsia="Times New Roman" w:hAnsi="Palatino Linotype" w:cs="Arial"/>
          <w:lang w:val="es-CR"/>
        </w:rPr>
        <w:t xml:space="preserve">-Como correspondencia derivativa de lo anterior, cabrá admisión de prueba cuando exista disconformidad en cuanto a los hechos. Lo anterior, siempre que esas pruebas sean de indudable trascendencia para la resolución del caso. </w:t>
      </w:r>
    </w:p>
    <w:p w14:paraId="727E5F7C" w14:textId="77777777" w:rsidR="000B2F75" w:rsidRPr="00D66245" w:rsidRDefault="000B2F75" w:rsidP="000B2F75">
      <w:pPr>
        <w:spacing w:line="240" w:lineRule="auto"/>
        <w:ind w:firstLine="360"/>
        <w:jc w:val="both"/>
        <w:rPr>
          <w:rFonts w:ascii="Palatino Linotype" w:eastAsia="Times New Roman" w:hAnsi="Palatino Linotype" w:cs="Arial"/>
          <w:lang w:val="es-CR"/>
        </w:rPr>
      </w:pPr>
      <w:r w:rsidRPr="00D66245">
        <w:rPr>
          <w:rFonts w:ascii="Palatino Linotype" w:eastAsia="Times New Roman" w:hAnsi="Palatino Linotype" w:cs="Arial"/>
          <w:lang w:val="es-CR"/>
        </w:rPr>
        <w:t>Como complemento de tales parámetros, el canon 90.3 del CPCA señala que los elementos de prueba ofrecidos deben rechazarse cuando sean evidentemente impertinentes o inconducentes</w:t>
      </w:r>
      <w:r w:rsidRPr="00D66245">
        <w:rPr>
          <w:rStyle w:val="Refdenotaalpie"/>
          <w:rFonts w:ascii="Palatino Linotype" w:eastAsia="Times New Roman" w:hAnsi="Palatino Linotype" w:cs="Arial"/>
          <w:lang w:val="es-CR"/>
        </w:rPr>
        <w:footnoteReference w:id="197"/>
      </w:r>
      <w:r w:rsidRPr="00D66245">
        <w:rPr>
          <w:rFonts w:ascii="Palatino Linotype" w:eastAsia="Times New Roman" w:hAnsi="Palatino Linotype" w:cs="Arial"/>
          <w:lang w:val="es-CR"/>
        </w:rPr>
        <w:t xml:space="preserve">. Lo anterior implica, la admisión de la prueba lejos se encuentra de ser un fenómeno automatista cuando exista controversia de hechos. Por el contrario, en la fase de trámite es necesario analizar si los elementos ofrecidos por las partes, guardan relación con hechos base del caso, y si resultan relevantes y pertinentes en orden al objeto del proceso y la teoría del caso de ambas partes. Se impone, por ende, un análisis de pertinencia y relevancia como criterio de admisión que no puede pasarse por alto, sin incurrir en el riesgo de admitir pruebas de poca o nula utilidad, que retrasan el proceso y complican las audiencias de juicio, obligando al tribunal de fondo a evacuar esas probanzas pese a su cuestionable o nula utilidad para el objeto de la contienda. </w:t>
      </w:r>
    </w:p>
    <w:p w14:paraId="752218EC"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eastAsia="Times New Roman" w:hAnsi="Palatino Linotype" w:cs="Arial"/>
          <w:lang w:val="es-CR"/>
        </w:rPr>
        <w:t xml:space="preserve">El NCPC, en el precepto 41.3 fija pautas similares a las ya explicitadas en cuanto a la fase de la admisión de pruebas. Indica esta norma: </w:t>
      </w:r>
    </w:p>
    <w:p w14:paraId="3822FFC2" w14:textId="77777777" w:rsidR="000B2F75" w:rsidRPr="00D66245" w:rsidRDefault="000B2F75" w:rsidP="000B2F75">
      <w:pPr>
        <w:pStyle w:val="Default"/>
        <w:jc w:val="both"/>
        <w:rPr>
          <w:rFonts w:ascii="Palatino Linotype" w:hAnsi="Palatino Linotype"/>
          <w:color w:val="auto"/>
          <w:sz w:val="22"/>
          <w:szCs w:val="22"/>
          <w:lang w:val="es-ES"/>
        </w:rPr>
      </w:pPr>
      <w:r w:rsidRPr="00D66245">
        <w:rPr>
          <w:rFonts w:ascii="Palatino Linotype" w:hAnsi="Palatino Linotype"/>
          <w:b/>
          <w:bCs/>
          <w:color w:val="auto"/>
          <w:sz w:val="22"/>
          <w:szCs w:val="22"/>
          <w:lang w:val="es-ES"/>
        </w:rPr>
        <w:t>“</w:t>
      </w:r>
      <w:r w:rsidRPr="00D66245">
        <w:rPr>
          <w:rFonts w:ascii="Palatino Linotype" w:hAnsi="Palatino Linotype"/>
          <w:b/>
          <w:bCs/>
          <w:i/>
          <w:color w:val="auto"/>
          <w:sz w:val="22"/>
          <w:szCs w:val="22"/>
          <w:lang w:val="es-ES"/>
        </w:rPr>
        <w:t>41.3 Admisibilidad de la prueba</w:t>
      </w:r>
      <w:r w:rsidRPr="00D66245">
        <w:rPr>
          <w:rFonts w:ascii="Palatino Linotype" w:hAnsi="Palatino Linotype"/>
          <w:i/>
          <w:color w:val="auto"/>
          <w:sz w:val="22"/>
          <w:szCs w:val="22"/>
          <w:lang w:val="es-ES"/>
        </w:rPr>
        <w:t>. Serán admisibles las pruebas que tengan relación directa con los hechos y la pretensión, siempre que sean controvertidos. Se rechazará la prueba que se refiera a hechos admitidos expresamente o que deban tenerse como tales conforme a la ley, amparados a una presunción absoluta, evidentes o notorios, así como la impertinente, excesiva, inconducente o ilegal. (…)</w:t>
      </w:r>
      <w:r w:rsidRPr="00D66245">
        <w:rPr>
          <w:rFonts w:ascii="Palatino Linotype" w:hAnsi="Palatino Linotype"/>
          <w:color w:val="auto"/>
          <w:sz w:val="22"/>
          <w:szCs w:val="22"/>
          <w:lang w:val="es-ES"/>
        </w:rPr>
        <w:t xml:space="preserve">” </w:t>
      </w:r>
    </w:p>
    <w:p w14:paraId="31BA9037"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eastAsia="Times New Roman" w:hAnsi="Palatino Linotype" w:cs="Arial"/>
          <w:lang w:val="es-CR"/>
        </w:rPr>
        <w:t xml:space="preserve">Tales parámetros resultan similares a los que para esos efectos establece el numeral 90.3 del CPCA, con la diferencia de que la norma civil refiere además a los términos de prueba excesiva y la ilegal. De igual manera, refiere a la inadmisión de pruebas cuando se refiera a hechos que, por virtud de ley, deban ser tenidos como admitidos de manera expresa, así como a los que se amparen a presunciones absolutas, evidentes y notorios. Estas últimas referencias constituyen reglas que, en lo conducente, complementan las cuestiones reguladas por los ordinales 90 y 93 del CPCA. Empero, se impone la necesidad de considerar en cada caso concreto la utilidad y pertinencia de las probanzas ofrecidas, aún para los hechos que hubieren sido aceptados de manera expresa. </w:t>
      </w:r>
    </w:p>
    <w:p w14:paraId="5D3B668B"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eastAsia="Times New Roman" w:hAnsi="Palatino Linotype" w:cs="Arial"/>
          <w:lang w:val="es-CR"/>
        </w:rPr>
        <w:t xml:space="preserve">Llama la atención la referencia que realiza el citado precepto 41.3 del NCPC en cuanto a los hechos que deban tenerse aceptados de manera expresa conforme a la ley. En ese sentido, el ordinal 39 de esa fuente legal establece los efectos de la no contestación de la demanda o rebeldía en el siguiente sentido: </w:t>
      </w:r>
    </w:p>
    <w:p w14:paraId="4AD9D729" w14:textId="77777777" w:rsidR="000B2F75" w:rsidRPr="00D66245" w:rsidRDefault="000B2F75" w:rsidP="00BC4AB5">
      <w:pPr>
        <w:autoSpaceDE w:val="0"/>
        <w:autoSpaceDN w:val="0"/>
        <w:adjustRightInd w:val="0"/>
        <w:spacing w:before="120" w:after="200" w:line="240" w:lineRule="auto"/>
        <w:jc w:val="both"/>
        <w:rPr>
          <w:rFonts w:ascii="Palatino Linotype" w:hAnsi="Palatino Linotype" w:cs="Arial"/>
        </w:rPr>
      </w:pPr>
      <w:r w:rsidRPr="00D66245">
        <w:rPr>
          <w:rFonts w:ascii="Palatino Linotype" w:hAnsi="Palatino Linotype" w:cs="Arial"/>
          <w:b/>
          <w:bCs/>
        </w:rPr>
        <w:t>“</w:t>
      </w:r>
      <w:r w:rsidRPr="00D66245">
        <w:rPr>
          <w:rFonts w:ascii="Palatino Linotype" w:hAnsi="Palatino Linotype" w:cs="Arial"/>
          <w:b/>
          <w:bCs/>
          <w:i/>
        </w:rPr>
        <w:t xml:space="preserve">ARTÍCULO 39.- Falta de contestación y allanamiento. </w:t>
      </w:r>
      <w:r w:rsidRPr="00D66245">
        <w:rPr>
          <w:rFonts w:ascii="Palatino Linotype" w:hAnsi="Palatino Linotype" w:cs="Arial"/>
          <w:i/>
        </w:rPr>
        <w:t>La falta de contestación del demandado permitirá tener por acreditados los hechos, en cuanto no resulten contradichos por la prueba que conste en el expediente. El rebelde podrá comparecer en cualquier momento, pero tomará el proceso en el estado en que se encuentre. Si el demandado se allanara a lo pretendido en la demanda u omite contestarla, o la contesta extemporáneamente, se dictará sentencia anticipada sin más trámite, salvo si hubiera indicios de fraude procesal, si la cuestión planteada fuera de orden público, se tratara de derechos indisponibles o fuera indispensable recibir prueba para resolver, en cuyo caso se continuará con el procedimiento. (…)</w:t>
      </w:r>
      <w:r w:rsidRPr="00D66245">
        <w:rPr>
          <w:rFonts w:ascii="Palatino Linotype" w:hAnsi="Palatino Linotype" w:cs="Arial"/>
        </w:rPr>
        <w:t>”</w:t>
      </w:r>
    </w:p>
    <w:p w14:paraId="4376FF41" w14:textId="77777777" w:rsidR="000B2F75" w:rsidRPr="00D66245" w:rsidRDefault="000B2F75" w:rsidP="00BC4AB5">
      <w:pPr>
        <w:spacing w:before="120" w:after="200" w:line="240" w:lineRule="auto"/>
        <w:jc w:val="both"/>
        <w:rPr>
          <w:rFonts w:ascii="Palatino Linotype" w:eastAsia="Times New Roman" w:hAnsi="Palatino Linotype" w:cs="Arial"/>
        </w:rPr>
      </w:pPr>
      <w:r w:rsidRPr="00D66245">
        <w:rPr>
          <w:rFonts w:ascii="Palatino Linotype" w:eastAsia="Times New Roman" w:hAnsi="Palatino Linotype" w:cs="Arial"/>
        </w:rPr>
        <w:t xml:space="preserve">Como se observa, la norma en comentario parte del supuesto de que, en la rebeldía, salvo que exista una prueba concreta dentro de los autos que permita contradecir un determinado hecho, esa referencia fáctica debe tenerse por acreditada, es decir, por probada. Se trata entonces de una presunción legal que admite prueba en contrario (iuris tantum). Así, el hecho de la demanda sobre la cual ha recaído la rebeldía, se tiene por acreditado salvo que se acredite cosa diversa en algún elemento de convicción. Dentro del análisis comparativo que nos ocupa, ese mandato contiene una regulación diversa a la que, para esa misma figura, establece el ordinal 65 del CPCA. Sobre el efecto de la rebeldía, la Ley No. 8508 dispone: </w:t>
      </w:r>
    </w:p>
    <w:p w14:paraId="472B41DF" w14:textId="77777777" w:rsidR="000B2F75" w:rsidRPr="00D66245" w:rsidRDefault="000B2F75" w:rsidP="000B2F75">
      <w:pPr>
        <w:autoSpaceDE w:val="0"/>
        <w:autoSpaceDN w:val="0"/>
        <w:adjustRightInd w:val="0"/>
        <w:spacing w:after="0" w:line="240" w:lineRule="auto"/>
        <w:jc w:val="both"/>
        <w:rPr>
          <w:rFonts w:ascii="Palatino Linotype" w:hAnsi="Palatino Linotype" w:cs="Arial"/>
        </w:rPr>
      </w:pPr>
      <w:r w:rsidRPr="00D66245">
        <w:rPr>
          <w:rFonts w:ascii="Palatino Linotype" w:hAnsi="Palatino Linotype" w:cs="Arial"/>
          <w:bCs/>
          <w:i/>
        </w:rPr>
        <w:t>“</w:t>
      </w:r>
      <w:r w:rsidRPr="00D66245">
        <w:rPr>
          <w:rFonts w:ascii="Palatino Linotype" w:hAnsi="Palatino Linotype" w:cs="Arial"/>
          <w:b/>
          <w:bCs/>
          <w:i/>
        </w:rPr>
        <w:t xml:space="preserve">ARTÍCULO 65.- </w:t>
      </w:r>
      <w:r w:rsidRPr="00D66245">
        <w:rPr>
          <w:rFonts w:ascii="Palatino Linotype" w:hAnsi="Palatino Linotype" w:cs="Arial"/>
          <w:i/>
        </w:rPr>
        <w:t>Si el demandado no contesta dentro del emplazamiento, de oficio se le declarará rebelde y se tendrá por contestada afirmativamente la demanda en cuanto a los hechos, sin perjuicio de que pueda apersonarse, en cualquier tiempo, tomando el proceso en el estado en que se encuentre. (…)</w:t>
      </w:r>
      <w:r w:rsidRPr="00D66245">
        <w:rPr>
          <w:rFonts w:ascii="Palatino Linotype" w:hAnsi="Palatino Linotype" w:cs="Arial"/>
        </w:rPr>
        <w:t>”</w:t>
      </w:r>
    </w:p>
    <w:p w14:paraId="618AD902" w14:textId="77777777" w:rsidR="000B2F75" w:rsidRPr="00D66245" w:rsidRDefault="000B2F75" w:rsidP="000B2F75">
      <w:pPr>
        <w:spacing w:line="240" w:lineRule="auto"/>
        <w:jc w:val="both"/>
        <w:rPr>
          <w:rFonts w:ascii="Palatino Linotype" w:hAnsi="Palatino Linotype" w:cs="Arial"/>
        </w:rPr>
      </w:pPr>
    </w:p>
    <w:p w14:paraId="26B40921"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Existe una diferencia sustancial entre tener por acreditado un hecho como consecuencia de la contestación de la demanda, y tener por contestada afirmativamente la demanda en cuanto al hecho. En la primera, es permisible interpretar que el hecho se tiene por probado, en tanto que, en la segunda referencia, tal consecuencia probatoria no opera necesariamente. A nuestro modo de ver, los efectos de la rebeldía en el proceso contencioso administrativo, dado el control de validez de la conducta administrativa que se propone, impide que, de manera directa, la rebeldía conlleve a tener por probado el hecho. Precisamente, en esos casos, pervive el deber del Tribunal Sentenciador de analizar si el derecho que se reclama se sustenta en elementos de prueba que acrediten su existencia. Si el accionante no ha logrado probar los hechos constitutivos de su derecho, la sanción de presunción legal de veracidad de los hechos de la demanda parece ilegítima, máxime tratándose de una materia en la que el interés público rige el análisis de validez de las conductas de la Administración Pública. Incluso, si bien a la luz del artículo 39 del NCPC el rebelde toma el proceso en la etapa en que se apersone a la causa, lo que igualmente impone el canon 65 del CPCA, en este último, el mismo canon 93 señala que </w:t>
      </w:r>
      <w:r w:rsidRPr="00D66245">
        <w:rPr>
          <w:rFonts w:ascii="Palatino Linotype" w:hAnsi="Palatino Linotype" w:cs="Arial"/>
          <w:i/>
        </w:rPr>
        <w:t xml:space="preserve">“No se admitirá la prueba cuando exista conformidad acerca de los hechos, salvo que se haya dado por rebeldía del demandado; en cuyo caso, la jueza o el juez, previa valoración de las circunstancias, podrá admitir u ordenar la que estime necesaria.” </w:t>
      </w:r>
      <w:r w:rsidRPr="00D66245">
        <w:rPr>
          <w:rFonts w:ascii="Palatino Linotype" w:hAnsi="Palatino Linotype" w:cs="Arial"/>
        </w:rPr>
        <w:t>Esto pone en evidencia que, a diferencia del tratamiento de la norma privada, en el proceso contencioso administrativo, aún en la rebeldía, es menester el análisis de admisión de las pruebas ofrecidas, en la medida en que los hechos de la demanda si bien se tienen por contestados de manera afirmativa, a modo de presunción legal, no necesariamente se tienen por acreditados. Esto por cuanto ese precepto señala de manera clara que, no se admite prueba respecto de hechos no controvertidos, salvo que esa circunstancia derive de la no contestación de la demanda. Se insiste, igual interpretación se aplica para los supuestos previstos en los ordinales 63.3 y 64.3 del CPCA, que contienen referencias similares. Incluso en la redacción del canon 63.3 del CPCA en la que se señala que la falta de aporte de la copia certificada del expediente administrativo con la contestación de la demanda supone que los hechos se tienen como ciertos, en la praxis, no ha llevado a tener por acreditados los hechos, sino existe una prueba objetiva que respalde el argumento fáctico. De nuevo, el objeto mismo de la revisión y tutela que se presenta en esa jurisdicción han dado base a semejante interpretación.</w:t>
      </w:r>
      <w:r w:rsidRPr="00D66245">
        <w:rPr>
          <w:rStyle w:val="Refdenotaalpie"/>
          <w:rFonts w:ascii="Palatino Linotype" w:hAnsi="Palatino Linotype" w:cs="Arial"/>
        </w:rPr>
        <w:footnoteReference w:id="198"/>
      </w:r>
      <w:r w:rsidRPr="00D66245">
        <w:rPr>
          <w:rFonts w:ascii="Palatino Linotype" w:hAnsi="Palatino Linotype" w:cs="Arial"/>
        </w:rPr>
        <w:t xml:space="preserve"> </w:t>
      </w:r>
    </w:p>
    <w:p w14:paraId="63CF03F0"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Lo anterior lleva a la conclusión que el tratamiento referido por el ordinal 39 del NCPC en cuanto a las implicaciones probatorias de la rebeldía, no resultan aplicables a la dinámica que opera en el proceso contencioso administrativo. Sin embargo, la misma redacción del artículo 39 del NCPC, permitiría el análisis de admisibilidad de pruebas, aún en la rebeldía. En efecto, nótese que ese precepto, pese a que indica que el efecto medular de la rebeldía es tener por acreditados los hechos, señala que al igual que en el allanamiento, se procederá a dictar sentencia anticipada, sin más trámite, salvo que, “</w:t>
      </w:r>
      <w:r w:rsidRPr="00D66245">
        <w:rPr>
          <w:rFonts w:ascii="Palatino Linotype" w:hAnsi="Palatino Linotype" w:cs="Arial"/>
          <w:i/>
        </w:rPr>
        <w:t>…fuera indispensable recibir prueba para resolver…</w:t>
      </w:r>
      <w:r w:rsidRPr="00D66245">
        <w:rPr>
          <w:rFonts w:ascii="Palatino Linotype" w:hAnsi="Palatino Linotype" w:cs="Arial"/>
        </w:rPr>
        <w:t xml:space="preserve">”. De ahí que, en determinados supuestos, bien podría el órgano jurisdiccional, si las particularidades del conflicto privado lo imponen, requerir pruebas para analizar la existencia o no de hechos determinantes para acceder a lo pedido. Igual aplicación opera cuando hubiere indicios de fraude procesal o se trate de derechos indisponibles, con lo cual, la interpretación funcional llevaría a que, en esos supuestos motivados, pese a la rebeldía, se requiera a la accionante la acreditación de determinados hechos y con ello, sea necesaria la admisión de pruebas.  </w:t>
      </w:r>
    </w:p>
    <w:p w14:paraId="17D6FCEF"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Por otro lado, la admisión de pruebas no pierde su necesidad y pertinencia ante la figura del allanamiento. El mismo ordinal 39 del NCPC señala la posibilidad de dar paso a esta fase, cuando hubiera indicios de fraude procesal, si la cuestión planteada fuera de orden público, se tratara de derechos indisponibles o fuera indispensable recibir prueba para resolver, en cuyo caso se continuará con el procedimiento. Si bien son cuestiones excepcionales, permiten dicha ponderación. Con todo, en el CPCA, el ordinal 114 señala que el allanamiento bien puede ser negado cuando lo peticionado infrinja el ordenamiento jurídico, razón por la cual, el límite de análisis se ha decantado por la ponderación de si las pretensiones son antagónicas con la juridicidad de la conducta administrativa. En los casos de procesos que tienen por objeto reclamaciones de orden patrimonial, es evidente que, en determinados supuestos, es necesario que la parte accionante acredite la existencia de su derecho, pues de otro modo, si se impone a la Administración el deber de erogar una suma dineraria, sin acreditarse el título de base del derecho de crédito peticionado, bien podría estarse frente a un uso indebido de la Hacienda Pública. Claramente el caso no incluye los reclamos de responsabilidad extracontractual, en los que la Administración acepta las pretensiones, pues en tal caso, se asume que muestra su anuencia a la existencia del daño y, por ende, a su reparación. Pero cosa diversa operaría en relaciones de base contractual o regidas por el derecho privado, en las que, se estima necesario precisar la existencia del título base del derecho reclamado. Con todo, es dentro de cada relación procesal que, atendiendo al objeto del proceso, debe definirse la necesidad de admitir probanzas, aún en esta modalidad de terminación anticipada del proceso. </w:t>
      </w:r>
    </w:p>
    <w:p w14:paraId="2DB22222"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b/>
          <w:caps/>
        </w:rPr>
        <w:t xml:space="preserve">c) </w:t>
      </w:r>
      <w:r w:rsidRPr="00D66245">
        <w:rPr>
          <w:rFonts w:ascii="Palatino Linotype" w:hAnsi="Palatino Linotype" w:cs="Arial"/>
          <w:b/>
        </w:rPr>
        <w:t>Tipos de pruebas permisibles: el caso de la confesión, testigos, y figuras afines.</w:t>
      </w:r>
    </w:p>
    <w:p w14:paraId="25D44CDE"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El artículo 82 del CPCA establece una importante apertura en los medios de prueba que pueden ser aportado a la causa judicial, lo que resulta congruente con la finalidad de establecer la “VERDAD REAL” de los hechos que sustentan las posturas de las partes involucradas, dentro del contexto ideológico que ya advertimos en el punto A) de este espacio. Resulta importante retomar lo regulado por ese precepto en lo que resulta relevante en cuanto a este punto. Señala ese numeral: </w:t>
      </w:r>
    </w:p>
    <w:p w14:paraId="5C95A44F" w14:textId="77777777" w:rsidR="000B2F75" w:rsidRPr="00D66245" w:rsidRDefault="000B2F75" w:rsidP="000B2F75">
      <w:pPr>
        <w:autoSpaceDE w:val="0"/>
        <w:autoSpaceDN w:val="0"/>
        <w:adjustRightInd w:val="0"/>
        <w:spacing w:after="0" w:line="240" w:lineRule="auto"/>
        <w:jc w:val="both"/>
        <w:rPr>
          <w:rFonts w:ascii="Palatino Linotype" w:hAnsi="Palatino Linotype" w:cs="Arial"/>
        </w:rPr>
      </w:pPr>
      <w:r w:rsidRPr="00D66245">
        <w:rPr>
          <w:rFonts w:ascii="Palatino Linotype" w:hAnsi="Palatino Linotype" w:cs="Arial"/>
          <w:bCs/>
          <w:i/>
        </w:rPr>
        <w:t>“</w:t>
      </w:r>
      <w:r w:rsidRPr="00D66245">
        <w:rPr>
          <w:rFonts w:ascii="Palatino Linotype" w:hAnsi="Palatino Linotype" w:cs="Arial"/>
          <w:b/>
          <w:bCs/>
          <w:i/>
        </w:rPr>
        <w:t xml:space="preserve">ARTÍCULO 82.- 1) </w:t>
      </w:r>
      <w:r w:rsidRPr="00D66245">
        <w:rPr>
          <w:rFonts w:ascii="Palatino Linotype" w:hAnsi="Palatino Linotype" w:cs="Arial"/>
          <w:i/>
        </w:rPr>
        <w:t xml:space="preserve">La jueza o el juez ordenará y practicará todas las diligencias de prueba necesarias, para determinar la verdad real de los hechos relevantes en el proceso. </w:t>
      </w:r>
      <w:r w:rsidRPr="00D66245">
        <w:rPr>
          <w:rFonts w:ascii="Palatino Linotype" w:hAnsi="Palatino Linotype" w:cs="Arial"/>
          <w:b/>
          <w:bCs/>
          <w:i/>
        </w:rPr>
        <w:t xml:space="preserve">2) </w:t>
      </w:r>
      <w:r w:rsidRPr="00D66245">
        <w:rPr>
          <w:rFonts w:ascii="Palatino Linotype" w:hAnsi="Palatino Linotype" w:cs="Arial"/>
          <w:i/>
        </w:rPr>
        <w:t xml:space="preserve">Los medios de prueba podrán ser todos los que estén permitidos por el Derecho público y el Derecho común. </w:t>
      </w:r>
      <w:r w:rsidRPr="00D66245">
        <w:rPr>
          <w:rFonts w:ascii="Palatino Linotype" w:hAnsi="Palatino Linotype" w:cs="Arial"/>
          <w:b/>
          <w:bCs/>
          <w:i/>
        </w:rPr>
        <w:t xml:space="preserve">3) </w:t>
      </w:r>
      <w:r w:rsidRPr="00D66245">
        <w:rPr>
          <w:rFonts w:ascii="Palatino Linotype" w:hAnsi="Palatino Linotype" w:cs="Arial"/>
          <w:i/>
        </w:rPr>
        <w:t>Las pruebas podrán ser consignadas y aportadas al proceso, mediante cualquier tipo de soporte documental, electrónico, informático, magnético, óptico, telemático o producido por nuevas tecnologías. (…)</w:t>
      </w:r>
      <w:r w:rsidRPr="00D66245">
        <w:rPr>
          <w:rFonts w:ascii="Palatino Linotype" w:hAnsi="Palatino Linotype" w:cs="Arial"/>
        </w:rPr>
        <w:t>”</w:t>
      </w:r>
    </w:p>
    <w:p w14:paraId="73CD455C"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La apertura señala lleva a que los medios de prueba sean todos aquellos permitidos tanto por las normas procesales propias del Derecho Público, como las del Derecho Privado. De la revisión inicial de las normas de Derecho Público, es la LGAP la que impone alguna regulación al respecto, aún y cuando es simplemente remisiva a otras normas. En ese sentido, el canon 297 de la LGAP tiene redacción similar al 82 del CPCA, señalando que la Administración ordenará todas las diligencias de prueba necesarias para establecer la verdad real de los hechos. Por su parte el 298 de ese mismo cuerpo legal impone: “</w:t>
      </w:r>
      <w:r w:rsidRPr="00D66245">
        <w:rPr>
          <w:rFonts w:ascii="Palatino Linotype" w:hAnsi="Palatino Linotype" w:cs="Arial"/>
          <w:i/>
        </w:rPr>
        <w:t>1. Los medios de prueba podrán ser todos los que estén permitidos por el derecho público, aunque no sean admisibles por el derecho común.</w:t>
      </w:r>
      <w:r w:rsidRPr="00D66245">
        <w:rPr>
          <w:rFonts w:ascii="Palatino Linotype" w:hAnsi="Palatino Linotype" w:cs="Arial"/>
        </w:rPr>
        <w:t>”</w:t>
      </w:r>
    </w:p>
    <w:p w14:paraId="24EAD262"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No se observa un desarrollo concreto de norma de derecho público que realice una presentación o detalle del tipo de probanzas que pueden aportarse a una contienda judicial del tipo aludido. Ello ha dado paso a que la referencia que se ha utilizado en este aspecto ha sido la regulación de la codificación procesal civil. Con la emisión del NCPC, es esta la norma a utilizar, como parámetro de base, en el entendido de que, cuando alguna norma del Derecho Público imponga un tipo probatorio concreto, o bien, cuando imponga un tratamiento especial de la dinámica probatoria o una forma específica de acreditación de hechos, o imponga presunciones simples o agravadas, serán estas las que rijan ese caso en concreto. De esa manera, el ordinal 41.2 del NCPC enlista las siguientes categorías: 1. Declaración de parte; 2. </w:t>
      </w:r>
      <w:r w:rsidRPr="00D66245">
        <w:rPr>
          <w:rFonts w:ascii="Palatino Linotype" w:hAnsi="Palatino Linotype" w:cs="Arial"/>
          <w:bCs/>
        </w:rPr>
        <w:t xml:space="preserve">Declaración de testigos; 3. Dictamen de peritos; 4. Documentos e informes; 5. Reconocimiento judicial; 6. Medios científicos y tecnológicos y 7. Cualquier otro no prohibido. </w:t>
      </w:r>
    </w:p>
    <w:p w14:paraId="5F95CC19"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 Siendo claro que tales regulaciones serían aplicables, en lo conducente al proceso contencioso, simplemente, para efectos de la presente y dejando para desarrollos posteriores el detalle del análisis de cada tipo de prueba, nos abocaremos a realizar algunos comentarios puntuales sobre precisiones propias del proceso contencioso. </w:t>
      </w:r>
    </w:p>
    <w:p w14:paraId="10C3B466"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b/>
          <w:bCs/>
        </w:rPr>
        <w:t xml:space="preserve">Declaración de parte. </w:t>
      </w:r>
      <w:r w:rsidRPr="00D66245">
        <w:rPr>
          <w:rFonts w:ascii="Palatino Linotype" w:hAnsi="Palatino Linotype" w:cs="Arial"/>
          <w:bCs/>
        </w:rPr>
        <w:t xml:space="preserve">Sobre este aspecto, el numeral 42 del NCPC supera la distinción del anterior CPC en cuanto a confesión y declaración de parte, según se trataren de hechos </w:t>
      </w:r>
      <w:r w:rsidRPr="00D66245">
        <w:rPr>
          <w:rFonts w:ascii="Palatino Linotype" w:hAnsi="Palatino Linotype" w:cs="Arial"/>
        </w:rPr>
        <w:t>personales contrarios a los intereses del confesante y favorables al adversario (art. 338), o el deber de deponer sobre hechos de la demanda, regulado en el anterior ordinal 333</w:t>
      </w:r>
      <w:r w:rsidRPr="00D66245">
        <w:rPr>
          <w:rFonts w:ascii="Palatino Linotype" w:hAnsi="Palatino Linotype" w:cs="Arial"/>
          <w:bCs/>
        </w:rPr>
        <w:t xml:space="preserve">. Con la nueva regulación, se impone el deber de las partes de declarar </w:t>
      </w:r>
      <w:r w:rsidRPr="00D66245">
        <w:rPr>
          <w:rFonts w:ascii="Palatino Linotype" w:hAnsi="Palatino Linotype" w:cs="Arial"/>
        </w:rPr>
        <w:t xml:space="preserve">sobre hechos propios o ajenos, con la posibilidad de formularse preguntas, de manera recíproca. Cuando se trate de una persona jurídica, el deber de declaración recae sobre el representante legal. Cabe destacar que la declaración no es figura que pueda utilizarse para las Administraciones Públicas, cuando sí para el funcionario público contra quien, de manera personal, se ha formulado la demanda, en orden al precepto 12.3 del CPCA. </w:t>
      </w:r>
    </w:p>
    <w:p w14:paraId="3EEC7450"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Para esos efectos, el ordinal 83 del CPCA introduce la figura del testigo funcionario, que posibilita requerir la declaración testimonial de la persona funcionaria o de las personas funcionarias que hayan tenido participación, directa o indirecta, en la conducta administrativa objeto del proceso. Desde esa arista de examen, no se estima que el jerarca de la respectiva Administración accionada pueda constituirse como un declarante, sino como un testigo funcionario. Esta norma constituye la habilitación expresa para que los agentes públicos que participaron directa o indirectamente en la conducta objeto de la causa, puedan ser requeridos para que depongan sobre aspectos relevantes de esa manifestación de voluntad administrativa, superando la aparente restricción de confesión en perjuicio que regula el artículo 301 de la LGAP. Con todo, en virtud de ese mandato aludido (83 CPCA) es menester precisar que la participación eventual de ese tipo de personas funcionarias, incluso, del jerarca máximo de la Administración, lo es en la condición de testigo funcionario, que no de declarante (anterior confesante).</w:t>
      </w:r>
    </w:p>
    <w:p w14:paraId="1036F0F0"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En lo demás, cuando proceda ese tipo de prueba, es claro que resultan aplicables las regulaciones del ordinal 42 del NCPC al proceso contencioso administrativo. Desde esa arista, el numeral 108 del CPCA regula la figura de la confesión al señalar de manera genérica: “</w:t>
      </w:r>
      <w:r w:rsidRPr="00D66245">
        <w:rPr>
          <w:rFonts w:ascii="Palatino Linotype" w:hAnsi="Palatino Linotype" w:cs="Arial"/>
          <w:i/>
        </w:rPr>
        <w:t>Cuando proceda, el Tribunal recibirá la prueba confesional bajo juramento; los jueces, la parte contraria y el propio abogado, podrán hacerle al confesante las preguntas que sean pertinentes, hacer notar las contradicciones y pedir aclaraciones.</w:t>
      </w:r>
      <w:r w:rsidRPr="00D66245">
        <w:rPr>
          <w:rFonts w:ascii="Palatino Linotype" w:hAnsi="Palatino Linotype" w:cs="Arial"/>
        </w:rPr>
        <w:t xml:space="preserve">” La norma se trata de una simple referencia de posibilidad de aplicar la prueba confesional dentro de los procesos contencioso administrativos, considerando que la fecha de emisión de la Ley No. 8508 en el año 2006, la regulación Procesal Civil que complementa ese diseño normativo, fijaba ese tipo concreto de probanza. No obstante, dada la modificación que sobre ese particular estipula el NCPC, resulta claro que, ante la ausencia de regulación expresa en cuanto a esa denominación, debe ajustarse a lo preceptuado por la normativa vigente y en esa medida, aplicar las reglas de la declaración de parte como se ha señalado. </w:t>
      </w:r>
    </w:p>
    <w:p w14:paraId="26C5F2CB"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Vale destacar que el efecto de la declaración que parte que regula el inciso 2 de esa norma, así como las restricciones de esa consecuencia, al señalar: </w:t>
      </w:r>
    </w:p>
    <w:p w14:paraId="130013CA"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w:t>
      </w:r>
      <w:r w:rsidRPr="00D66245">
        <w:rPr>
          <w:rFonts w:ascii="Palatino Linotype" w:hAnsi="Palatino Linotype" w:cs="Arial"/>
          <w:b/>
          <w:bCs/>
          <w:i/>
        </w:rPr>
        <w:t xml:space="preserve">42.2 Efectos de la declaración de parte. </w:t>
      </w:r>
      <w:r w:rsidRPr="00D66245">
        <w:rPr>
          <w:rFonts w:ascii="Palatino Linotype" w:hAnsi="Palatino Linotype" w:cs="Arial"/>
          <w:i/>
        </w:rPr>
        <w:t>La admisión de hechos propios, de forma expresa o tácita, permite presumirlos como ciertos y constituye prueba contra la parte declarante, salvo que se trate de derechos indisponibles, que el declarante no tenga facultades para confesar en representación o se contradiga con las demás pruebas. El mismo efecto tendrán las afirmaciones espontáneas realizadas en el proceso.</w:t>
      </w:r>
      <w:r w:rsidRPr="00D66245">
        <w:rPr>
          <w:rFonts w:ascii="Palatino Linotype" w:hAnsi="Palatino Linotype" w:cs="Arial"/>
        </w:rPr>
        <w:t>”</w:t>
      </w:r>
    </w:p>
    <w:p w14:paraId="0503EF26"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 Por ende, en tales circunstancias, esas manifestaciones relacionadas a hechos propios, genera una presunción probatoria </w:t>
      </w:r>
      <w:r w:rsidRPr="00D66245">
        <w:rPr>
          <w:rFonts w:ascii="Palatino Linotype" w:hAnsi="Palatino Linotype" w:cs="Arial"/>
          <w:i/>
        </w:rPr>
        <w:t>iuris tantum</w:t>
      </w:r>
      <w:r w:rsidRPr="00D66245">
        <w:rPr>
          <w:rFonts w:ascii="Palatino Linotype" w:hAnsi="Palatino Linotype" w:cs="Arial"/>
        </w:rPr>
        <w:t xml:space="preserve">, cuya desaplicación solamente es posible cuando exista elemento de convicción que la contradiga. </w:t>
      </w:r>
    </w:p>
    <w:p w14:paraId="02FA3237" w14:textId="77777777" w:rsidR="000B2F75" w:rsidRPr="00D66245" w:rsidRDefault="000B2F75" w:rsidP="000B2F75">
      <w:pPr>
        <w:spacing w:line="240" w:lineRule="auto"/>
        <w:jc w:val="both"/>
        <w:rPr>
          <w:rFonts w:ascii="Palatino Linotype" w:hAnsi="Palatino Linotype" w:cs="Arial"/>
          <w:bCs/>
        </w:rPr>
      </w:pPr>
      <w:r w:rsidRPr="00D66245">
        <w:rPr>
          <w:rFonts w:ascii="Palatino Linotype" w:hAnsi="Palatino Linotype" w:cs="Arial"/>
          <w:b/>
          <w:bCs/>
        </w:rPr>
        <w:t xml:space="preserve">Declaración de testigos. </w:t>
      </w:r>
      <w:r w:rsidRPr="00D66245">
        <w:rPr>
          <w:rFonts w:ascii="Palatino Linotype" w:hAnsi="Palatino Linotype" w:cs="Arial"/>
          <w:bCs/>
        </w:rPr>
        <w:t xml:space="preserve">El NCPC regula la prueba testimonial en el ordinal 43, señalando que es posible dicha probanza para acreditar cualquier tipo de hecho, pudiendo asumir ese carácter cualquier persona física que tenga conocimiento de los hechos controvertidos. Desde luego que, dentro del proceso contencioso administrativo, es menester analizar en cada caso si ese tipo de prueba es idónea para acreditar cuestiones que, en condiciones normales, deben ser acreditadas mediante otro tipo de prueba. Por ejemplo, la prueba testimonial no puede constituirse como un mecanismo válido para sustentar cuestiones propias del expediente administrativo, sea, para acreditar actuaciones que deben contar con el debido respaldo de orden documental. Empero, la prueba testimonial sería factible para rebatir cuestiones que, aunque plasmadas en el legajo administrativo, pretenden cuestionar precisamente la manera o forma en que ocurrieron, o bien, fueron asentadas en esa carpeta. Puede pensarse el caso de que el acta de la audiencia oral y privada del procedimiento administrativo refleje una información disonante con lo acontecido en la realidad, y sea mediante la testimonial que pueda darse la apertura probatoria que permita el análisis de ocurrencia o no de los defectos alegados. </w:t>
      </w:r>
    </w:p>
    <w:p w14:paraId="53651E4D" w14:textId="77777777" w:rsidR="000B2F75" w:rsidRPr="00D66245" w:rsidRDefault="000B2F75" w:rsidP="000B2F75">
      <w:pPr>
        <w:spacing w:line="240" w:lineRule="auto"/>
        <w:jc w:val="both"/>
        <w:rPr>
          <w:rFonts w:ascii="Palatino Linotype" w:hAnsi="Palatino Linotype" w:cs="Arial"/>
          <w:bCs/>
        </w:rPr>
      </w:pPr>
      <w:r w:rsidRPr="00D66245">
        <w:rPr>
          <w:rFonts w:ascii="Palatino Linotype" w:hAnsi="Palatino Linotype" w:cs="Arial"/>
          <w:bCs/>
        </w:rPr>
        <w:t>En cuanto al ejemplo dado, cabe recordar que el expediente administrativo no posee el carácter de plena prueba dentro del proceso contencioso administrativo, siendo que su contenido debe ser ponderado acorde a la sana crítica racional, de manera unitaria con el resto de elementos de convicción. De ahí que este tipo de elemento bien puede aportarse para establecer la concurrencia o no de los hechos relevantes o antecedentes que sirven de base al motivo del acto objeto del proceso, o en general, a cuestiones que pretendan poner en evidencia una incorrección del procedimiento o de la conducta administrativa. Con todo, es necesario hacer una precisión sobre este punto, en el sentido de que la prueba testimonial no puede constituirse en medio válido para suplir las deficiencias en la motivación del acto administrativo cuestionado. En efecto, como tesis de inicio, cabe señalar que, dada la sinergia misma de los elementos formales y materiales del acto, es necesario que su contenido y motivación se basten por sí mismas para dar comprensión lógica al acto, lo que incluye, las razones de hecho y de derecho por las cuales fue adoptado. Desde ese plano, la deposición de un testigo, cualquier que sea su naturaleza, no puede suplir la eventual deficiencia en los elementos estructurales del acto. Más sencillo, la prueba testimonial puede constituirse en un medio de acreditación o desacreditación de las circunstancias que componen los elementos del acto cuestionado, a nivel de refutación de la existencia real de los hechos que han dado base (formal) al motivo como elemento material objetivo.  Más en modo alguno, es prueba válida para suplir o enmendar deficiencias o deficiencias primarias del acto, cuya ausencia, determina su nulidad.</w:t>
      </w:r>
      <w:r w:rsidRPr="00D66245">
        <w:rPr>
          <w:rStyle w:val="Refdenotaalpie"/>
          <w:rFonts w:ascii="Palatino Linotype" w:hAnsi="Palatino Linotype" w:cs="Arial"/>
          <w:bCs/>
        </w:rPr>
        <w:footnoteReference w:id="199"/>
      </w:r>
      <w:r w:rsidRPr="00D66245">
        <w:rPr>
          <w:rFonts w:ascii="Palatino Linotype" w:hAnsi="Palatino Linotype" w:cs="Arial"/>
          <w:bCs/>
        </w:rPr>
        <w:t xml:space="preserve"> </w:t>
      </w:r>
    </w:p>
    <w:p w14:paraId="69486443" w14:textId="77777777" w:rsidR="000B2F75" w:rsidRPr="00D66245" w:rsidRDefault="000B2F75" w:rsidP="000B2F75">
      <w:pPr>
        <w:spacing w:line="240" w:lineRule="auto"/>
        <w:jc w:val="both"/>
        <w:rPr>
          <w:rFonts w:ascii="Palatino Linotype" w:hAnsi="Palatino Linotype" w:cs="Arial"/>
          <w:bCs/>
        </w:rPr>
      </w:pPr>
      <w:r w:rsidRPr="00D66245">
        <w:rPr>
          <w:rFonts w:ascii="Palatino Linotype" w:hAnsi="Palatino Linotype" w:cs="Arial"/>
          <w:bCs/>
        </w:rPr>
        <w:t>Así, la prueba testimonial no permite acreditar la existencia de los hechos que constituyen el motivo del acto, cuando esa conducta en su forma de expresión escrita</w:t>
      </w:r>
      <w:r w:rsidRPr="00D66245">
        <w:rPr>
          <w:rStyle w:val="Refdenotaalpie"/>
          <w:rFonts w:ascii="Palatino Linotype" w:hAnsi="Palatino Linotype" w:cs="Arial"/>
          <w:bCs/>
        </w:rPr>
        <w:footnoteReference w:id="200"/>
      </w:r>
      <w:r w:rsidRPr="00D66245">
        <w:rPr>
          <w:rFonts w:ascii="Palatino Linotype" w:hAnsi="Palatino Linotype" w:cs="Arial"/>
          <w:bCs/>
        </w:rPr>
        <w:t>, debe constar en el acto mismo, como tampoco es un medio válido para superar deficiencias en su motivación. Sobre este último elemento, a nivel del motivo, impone el deber de que el acto refiera de manera inequívoca las razones y elementos sobre los cuales ha tenido por comprobado alguna circunstancia antecedente y relevante, que permita tener por acreditado aquel elemento (motivo) y a partir de ello, adoptar determinado conducta o consecuencia jurídica. Esto implica no solamente la referencia a los elementos de prueba sobre los cuales se desprenden las derivaciones fácticas base del acto, sino, además, el examen lógico-racional a partir del cual, en aplicación de las reglas de la sana crítica, se han establecido esos hechos. Es precisamente por el contenido de ese elemento, que se hace posible el ofrecimiento de prueba testimonial para rebatir tales hallazgos de hecho.</w:t>
      </w:r>
      <w:r w:rsidRPr="00D66245">
        <w:rPr>
          <w:rStyle w:val="Refdenotaalpie"/>
          <w:rFonts w:ascii="Palatino Linotype" w:hAnsi="Palatino Linotype" w:cs="Arial"/>
          <w:bCs/>
        </w:rPr>
        <w:footnoteReference w:id="201"/>
      </w:r>
      <w:r w:rsidRPr="00D66245">
        <w:rPr>
          <w:rFonts w:ascii="Palatino Linotype" w:hAnsi="Palatino Linotype" w:cs="Arial"/>
          <w:bCs/>
        </w:rPr>
        <w:t xml:space="preserve"> </w:t>
      </w:r>
    </w:p>
    <w:p w14:paraId="193B4B97" w14:textId="77777777" w:rsidR="000B2F75" w:rsidRPr="00D66245" w:rsidRDefault="000B2F75" w:rsidP="000B2F75">
      <w:pPr>
        <w:spacing w:line="240" w:lineRule="auto"/>
        <w:jc w:val="both"/>
        <w:rPr>
          <w:rFonts w:ascii="Palatino Linotype" w:hAnsi="Palatino Linotype" w:cs="Arial"/>
          <w:bCs/>
        </w:rPr>
      </w:pPr>
      <w:r w:rsidRPr="00D66245">
        <w:rPr>
          <w:rFonts w:ascii="Palatino Linotype" w:hAnsi="Palatino Linotype" w:cs="Arial"/>
          <w:bCs/>
        </w:rPr>
        <w:t xml:space="preserve">En ese mismo plano, si bien el ordinal 83 del CPCA alude a la figura del testigo-funcionario como aquel que ha participado directa, o indirectamente en el dictado de la conducta objeto del proceso, cabe realizar la misma precisión recién mencionada, en el sentido de que aún su inmediatez respecto de esa conducta, no es una prueba que pueda enmendar deficiencias originarias del acto. En rigor, ese tipo de testigo permite una mejor comprensión de las razones y pormenores que han dado base al acto, pero dentro del límite de lo que esa función administrativa plasma en su formalidad. Es un elemento probatorio para colegir la concurrencia o no de los factores que el acto ha expresado como base de su contenido, a fin de establecer si se han dado las circunstancias determinantes para su adopción, pero en modo alguno esa figura lleva a posibilitar un medio de superación de la nulidad por defectos de motivación. Incluso, bien puede darse el caso que, en la relación jurídica administrativa concreta, en su materialidad, la prueba testimonial-funcionarial permita colegir la concurrencia de circunstancias que ameritaban adoptar el acto, pero con la particularidad que el acto no expresó ni tuvo por acreditada esa situación precedente, necesaria para su adopción. Tal falencia llevaría a la nulidad del acto. </w:t>
      </w:r>
    </w:p>
    <w:p w14:paraId="12CF8CE4" w14:textId="77777777" w:rsidR="000B2F75" w:rsidRPr="00D66245" w:rsidRDefault="000B2F75" w:rsidP="000B2F75">
      <w:pPr>
        <w:spacing w:line="240" w:lineRule="auto"/>
        <w:jc w:val="both"/>
        <w:rPr>
          <w:rFonts w:ascii="Palatino Linotype" w:hAnsi="Palatino Linotype" w:cs="Arial"/>
          <w:bCs/>
        </w:rPr>
      </w:pPr>
      <w:r w:rsidRPr="00D66245">
        <w:rPr>
          <w:rFonts w:ascii="Palatino Linotype" w:hAnsi="Palatino Linotype" w:cs="Arial"/>
          <w:bCs/>
        </w:rPr>
        <w:t xml:space="preserve">Así, no debe darse un uso indebido a la prueba testimonial, para ampliar su ratio a cuestiones que el acto no dispone, o a justificar por ese medio circunstancias que el mismo acto no expone, pues de otro modo, se deja en estado de indefensión y de incerteza al administrado, al vedarle el derecho de conocer las razones efectivas por las cuales el acto o conducta fue emitida. </w:t>
      </w:r>
    </w:p>
    <w:p w14:paraId="3F5CC0AC" w14:textId="77777777" w:rsidR="000B2F75" w:rsidRPr="00D66245" w:rsidRDefault="000B2F75" w:rsidP="000B2F75">
      <w:pPr>
        <w:spacing w:line="240" w:lineRule="auto"/>
        <w:jc w:val="both"/>
        <w:rPr>
          <w:rFonts w:ascii="Palatino Linotype" w:hAnsi="Palatino Linotype" w:cs="Arial"/>
          <w:bCs/>
        </w:rPr>
      </w:pPr>
      <w:r w:rsidRPr="00D66245">
        <w:rPr>
          <w:rFonts w:ascii="Palatino Linotype" w:hAnsi="Palatino Linotype" w:cs="Arial"/>
          <w:bCs/>
        </w:rPr>
        <w:t>Retornando al tema de la testimonial, el CPCA establece algunas normas de procedimiento para ese tipo de prueba. En concreto, el numeral 106 en sus incisos 2 y 3 impone que antes de declarar, no deben ver, oír ni ser informados de lo que ocurre en la audiencia, así como que luego de la declaración, quien preside podrá ordenar que continúen incomunicados, presencien la audiencia o se retiren. Con todo, el inciso 4 de ese mismo mandato precisa que el incumplimiento de la incomunicación no invalida per se la prueba, pero tal circunstancia debe ser ponderada al momento de valorar esa probanza. Por su parte el precepto 107 CPCA modula la forma del interrogatorio, señalando el siguiente orden medular:</w:t>
      </w:r>
    </w:p>
    <w:p w14:paraId="64586903" w14:textId="77777777" w:rsidR="000B2F75" w:rsidRPr="00D66245" w:rsidRDefault="000B2F75" w:rsidP="000B2F75">
      <w:pPr>
        <w:pStyle w:val="Prrafodelista"/>
        <w:numPr>
          <w:ilvl w:val="0"/>
          <w:numId w:val="52"/>
        </w:numPr>
        <w:spacing w:line="240" w:lineRule="auto"/>
        <w:jc w:val="both"/>
        <w:rPr>
          <w:rFonts w:ascii="Palatino Linotype" w:hAnsi="Palatino Linotype" w:cs="Arial"/>
          <w:lang w:val="es-ES"/>
        </w:rPr>
      </w:pPr>
      <w:r w:rsidRPr="00D66245">
        <w:rPr>
          <w:rFonts w:ascii="Palatino Linotype" w:hAnsi="Palatino Linotype" w:cs="Arial"/>
          <w:bCs/>
          <w:lang w:val="es-ES"/>
        </w:rPr>
        <w:t xml:space="preserve">Luego de requerir detalle de identidad personal, se concede la palabra para que indique cuanto sabe sobre el hecho para el cual fue propuesto. Esta cuestión parece poco afortunada tratándose de la testimonial, pues la especificidad de su participación pareciera exigir algún direccionamiento de su participación, so pena de tornar esa probanza en fútil para los efectos del proceso. Se impone, por ende, una delimitación de su participación, sea por orientación del Tribunal, o por el interrogatorio de las partes, modulado por el Tribunal. </w:t>
      </w:r>
    </w:p>
    <w:p w14:paraId="2EC192D3" w14:textId="77777777" w:rsidR="000B2F75" w:rsidRPr="00D66245" w:rsidRDefault="000B2F75" w:rsidP="000B2F75">
      <w:pPr>
        <w:pStyle w:val="Prrafodelista"/>
        <w:numPr>
          <w:ilvl w:val="0"/>
          <w:numId w:val="52"/>
        </w:numPr>
        <w:autoSpaceDE w:val="0"/>
        <w:autoSpaceDN w:val="0"/>
        <w:adjustRightInd w:val="0"/>
        <w:spacing w:after="0" w:line="240" w:lineRule="auto"/>
        <w:jc w:val="both"/>
        <w:rPr>
          <w:rFonts w:ascii="Palatino Linotype" w:hAnsi="Palatino Linotype" w:cs="Arial"/>
          <w:lang w:val="es-ES"/>
        </w:rPr>
      </w:pPr>
      <w:r w:rsidRPr="00D66245">
        <w:rPr>
          <w:rFonts w:ascii="Palatino Linotype" w:hAnsi="Palatino Linotype" w:cs="Arial"/>
          <w:bCs/>
          <w:lang w:val="es-ES"/>
        </w:rPr>
        <w:t xml:space="preserve">Interrogatorio directo por parte de quien le ha propuesto, luego el contra interrogatorio y finalmente las preguntas del Tribunal, si las tuviere. En determinados supuestos y previa motivación, para obtener una mayor utilidad de la prueba, bien puede darse el caso que el Órgano Sentenciador formule algunas consideraciones al inicio de esa deposición. </w:t>
      </w:r>
    </w:p>
    <w:p w14:paraId="532A705C" w14:textId="77777777" w:rsidR="000B2F75" w:rsidRPr="00D66245" w:rsidRDefault="000B2F75" w:rsidP="000B2F75">
      <w:pPr>
        <w:pStyle w:val="Prrafodelista"/>
        <w:numPr>
          <w:ilvl w:val="0"/>
          <w:numId w:val="52"/>
        </w:numPr>
        <w:autoSpaceDE w:val="0"/>
        <w:autoSpaceDN w:val="0"/>
        <w:adjustRightInd w:val="0"/>
        <w:spacing w:after="0" w:line="240" w:lineRule="auto"/>
        <w:jc w:val="both"/>
        <w:rPr>
          <w:rFonts w:ascii="Palatino Linotype" w:hAnsi="Palatino Linotype" w:cs="Arial"/>
          <w:lang w:val="es-ES"/>
        </w:rPr>
      </w:pPr>
      <w:r w:rsidRPr="00D66245">
        <w:rPr>
          <w:rFonts w:ascii="Palatino Linotype" w:hAnsi="Palatino Linotype" w:cs="Arial"/>
          <w:bCs/>
          <w:lang w:val="es-ES"/>
        </w:rPr>
        <w:t xml:space="preserve">Con todo, la moderación de las preguntas impide que se formulen </w:t>
      </w:r>
      <w:r w:rsidRPr="00D66245">
        <w:rPr>
          <w:rFonts w:ascii="Palatino Linotype" w:hAnsi="Palatino Linotype" w:cs="Arial"/>
          <w:lang w:val="es-ES"/>
        </w:rPr>
        <w:t xml:space="preserve">preguntas capciosas, sugestivas o impertinentes. En esa dinámica, el Tribunal deberá evitar presiones indebidas, ofensas a la dignidad de las personas en el interrogatorio. Esto en el entendido que las partes tienen el derecho de recurso respecto de las limitaciones que aplique el Tribunal en ese particular. </w:t>
      </w:r>
    </w:p>
    <w:p w14:paraId="1E254CBF" w14:textId="77777777" w:rsidR="000B2F75" w:rsidRPr="00D66245" w:rsidRDefault="000B2F75" w:rsidP="000B2F75">
      <w:pPr>
        <w:pStyle w:val="Prrafodelista"/>
        <w:numPr>
          <w:ilvl w:val="0"/>
          <w:numId w:val="52"/>
        </w:numPr>
        <w:autoSpaceDE w:val="0"/>
        <w:autoSpaceDN w:val="0"/>
        <w:adjustRightInd w:val="0"/>
        <w:spacing w:after="0" w:line="240" w:lineRule="auto"/>
        <w:jc w:val="both"/>
        <w:rPr>
          <w:rFonts w:ascii="Palatino Linotype" w:hAnsi="Palatino Linotype" w:cs="Arial"/>
          <w:bCs/>
          <w:lang w:val="es-ES"/>
        </w:rPr>
      </w:pPr>
      <w:r w:rsidRPr="00D66245">
        <w:rPr>
          <w:rFonts w:ascii="Palatino Linotype" w:hAnsi="Palatino Linotype" w:cs="Arial"/>
          <w:lang w:val="es-ES"/>
        </w:rPr>
        <w:t>Finalmente, precisa la norma que el testigo deberá expresar la razón de su información y el origen de su conocimiento.</w:t>
      </w:r>
    </w:p>
    <w:p w14:paraId="17FDEE44" w14:textId="77777777" w:rsidR="000B2F75" w:rsidRPr="00D66245" w:rsidRDefault="000B2F75" w:rsidP="000B2F75">
      <w:pPr>
        <w:autoSpaceDE w:val="0"/>
        <w:autoSpaceDN w:val="0"/>
        <w:adjustRightInd w:val="0"/>
        <w:spacing w:after="0" w:line="240" w:lineRule="auto"/>
        <w:jc w:val="both"/>
        <w:rPr>
          <w:rFonts w:ascii="Palatino Linotype" w:hAnsi="Palatino Linotype" w:cs="Arial"/>
          <w:bCs/>
        </w:rPr>
      </w:pPr>
    </w:p>
    <w:p w14:paraId="03AA66FF" w14:textId="77777777" w:rsidR="000B2F75" w:rsidRPr="00D66245" w:rsidRDefault="000B2F75" w:rsidP="000B2F75">
      <w:pPr>
        <w:autoSpaceDE w:val="0"/>
        <w:autoSpaceDN w:val="0"/>
        <w:adjustRightInd w:val="0"/>
        <w:spacing w:after="0" w:line="240" w:lineRule="auto"/>
        <w:jc w:val="both"/>
        <w:rPr>
          <w:rFonts w:ascii="Palatino Linotype" w:hAnsi="Palatino Linotype" w:cs="Arial"/>
          <w:bCs/>
        </w:rPr>
      </w:pPr>
      <w:r w:rsidRPr="00D66245">
        <w:rPr>
          <w:rFonts w:ascii="Palatino Linotype" w:hAnsi="Palatino Linotype" w:cs="Arial"/>
          <w:bCs/>
        </w:rPr>
        <w:t>Sin embargo, el NCPC regula una serie de cuestiones que el CPCA no considera en la prueba de marras, y que hacen necesario la complementación normativa en esa temática. Dentro de estas referencias se encuentra las reglas para ampliar o reducir el número de testimonios admitidos para cada hecho (43.1), reglas sobre la abstención de declaración del testigo (43.2), sustitución de testigos ofrecidos o admitidos (43.3); careos ante contradicciones entre los testigos (43.5), así como pagos de gastos (43.6).</w:t>
      </w:r>
    </w:p>
    <w:p w14:paraId="3B3DF245" w14:textId="77777777" w:rsidR="000B2F75" w:rsidRPr="00D66245" w:rsidRDefault="000B2F75" w:rsidP="000B2F75">
      <w:pPr>
        <w:autoSpaceDE w:val="0"/>
        <w:autoSpaceDN w:val="0"/>
        <w:adjustRightInd w:val="0"/>
        <w:spacing w:after="0" w:line="240" w:lineRule="auto"/>
        <w:jc w:val="both"/>
        <w:rPr>
          <w:rFonts w:ascii="Palatino Linotype" w:hAnsi="Palatino Linotype" w:cs="Arial"/>
          <w:bCs/>
        </w:rPr>
      </w:pPr>
    </w:p>
    <w:p w14:paraId="52840C4B" w14:textId="77777777" w:rsidR="000B2F75" w:rsidRPr="00D66245" w:rsidRDefault="000B2F75" w:rsidP="000B2F75">
      <w:pPr>
        <w:autoSpaceDE w:val="0"/>
        <w:autoSpaceDN w:val="0"/>
        <w:adjustRightInd w:val="0"/>
        <w:spacing w:after="0" w:line="240" w:lineRule="auto"/>
        <w:jc w:val="both"/>
        <w:rPr>
          <w:rFonts w:ascii="Palatino Linotype" w:hAnsi="Palatino Linotype" w:cs="Arial"/>
          <w:bCs/>
        </w:rPr>
      </w:pPr>
      <w:r w:rsidRPr="00D66245">
        <w:rPr>
          <w:rFonts w:ascii="Palatino Linotype" w:hAnsi="Palatino Linotype" w:cs="Arial"/>
          <w:bCs/>
        </w:rPr>
        <w:t xml:space="preserve">Sobre la práctica de la prueba (43.4), como se ha dicho, el CPCA cuenta con norma expresa sobre el particular, por lo que prevalece en primer orden esa regulación especial y solamente en caso de laguna, se posibilita la complementación con esa norma civil. Resalta la posibilidad de contra-interrogatorio que regula el 43.4 NCPC, práctica que no opera en la actualidad en la jurisdicción contencioso administrativa por aplicación del artículo 107.2 del CPCA. Sin embargo, en algunos casos, tal posibilidad podría resultar de utilidad para una mejor y mayor comprensión del contenido y alcances de las pruebas y de los hechos debatidos en la causa, por lo que es en cada proceso que el Tribunal, con la existencia de tal norma, debe ponderar la complementación con este mandato o continuar aplicando el criterio sostenido hasta el momento. Bajo la línea ideológica del artículo 82 del CPCA, consideramos, tal aplicación sería posible como potestad del Tribunal, que no como derecho propio de las partes. Es decir, es en cada caso que el Tribunal debe valorar la utilidad de esa eventualidad. </w:t>
      </w:r>
    </w:p>
    <w:p w14:paraId="2ED8812C" w14:textId="77777777" w:rsidR="000B2F75" w:rsidRPr="00D66245" w:rsidRDefault="000B2F75" w:rsidP="000B2F75">
      <w:pPr>
        <w:autoSpaceDE w:val="0"/>
        <w:autoSpaceDN w:val="0"/>
        <w:adjustRightInd w:val="0"/>
        <w:spacing w:after="0" w:line="240" w:lineRule="auto"/>
        <w:jc w:val="both"/>
        <w:rPr>
          <w:rFonts w:ascii="Palatino Linotype" w:hAnsi="Palatino Linotype" w:cs="Arial"/>
          <w:bCs/>
        </w:rPr>
      </w:pPr>
    </w:p>
    <w:p w14:paraId="42E04C5A" w14:textId="77777777" w:rsidR="000B2F75" w:rsidRPr="00D66245" w:rsidRDefault="000B2F75" w:rsidP="000B2F75">
      <w:pPr>
        <w:autoSpaceDE w:val="0"/>
        <w:autoSpaceDN w:val="0"/>
        <w:adjustRightInd w:val="0"/>
        <w:spacing w:after="0" w:line="240" w:lineRule="auto"/>
        <w:jc w:val="both"/>
        <w:rPr>
          <w:rFonts w:ascii="Palatino Linotype" w:hAnsi="Palatino Linotype" w:cs="Arial"/>
          <w:bCs/>
        </w:rPr>
      </w:pPr>
      <w:r w:rsidRPr="00D66245">
        <w:rPr>
          <w:rFonts w:ascii="Palatino Linotype" w:hAnsi="Palatino Linotype" w:cs="Arial"/>
          <w:bCs/>
        </w:rPr>
        <w:t xml:space="preserve">Por otro lado, cabe hacer notar que el NCPC, regula figura similar a la que el CPCA denomina “testigo-perito”. El artículo 83.2 del CPCA señala que, las partes o el Tribunal podrá requerir la declaración de testigos-peritos, quienes se regirán por las reglas de la prueba testimonial. El CPCA no contiene una norma expresa que defina el concepto de esa figura, presuponiendo que se trata de personas que conocen de los hechos debatidos en el proceso, pero que, además, por su pericia, entendida en ese contexto como el conocimiento en un área de conocimiento ajena al derecho, puede verter criterio o dar opinión sobre aspectos técnicos asociados a la conducta cuestionada o a los hechos sobre los cuales deponen. A diferencia de esa denominación, el NCPC en el precepto 43.1 señala: “… </w:t>
      </w:r>
      <w:r w:rsidRPr="00D66245">
        <w:rPr>
          <w:rFonts w:ascii="Palatino Linotype" w:hAnsi="Palatino Linotype" w:cs="Arial"/>
          <w:bCs/>
          <w:i/>
        </w:rPr>
        <w:t>Si el testigo tuviera conocimientos científicos, técnicos, profesionales, artísticos o prácticos se admitirán manifestaciones que en virtud de esos conocimientos agregue a su respuesta. …</w:t>
      </w:r>
      <w:r w:rsidRPr="00D66245">
        <w:rPr>
          <w:rFonts w:ascii="Palatino Linotype" w:hAnsi="Palatino Linotype" w:cs="Arial"/>
          <w:bCs/>
        </w:rPr>
        <w:t xml:space="preserve">”. En ambos casos, al margen de la denominación, es lo cierto que en definitiva no se trata, ni por asomo, de una prueba pericial, en los términos desarrollados por el canon 44 del NCPC. Existe una diferencia entre la figura del testigo con conocimiento experto y la prueba pericial. En la primera, se trata de un testigo, que, por tal, conoce un conjunto de hechos y que, por su marco de conocimientos de diversa índole, puede emitir opinión sobre los hechos, dentro de ese ámbito de experticia. No es designado por la autoridad judicial para emitir un dictamen formal, ni recibe ningún tipo de estipendio por sus opiniones. Su finalidad es deponer sobre los hechos sobre los cuales ha tenido contacto y a partir de los mismos, emitir, si es del caso, algunas consideraciones de orden técnico. </w:t>
      </w:r>
    </w:p>
    <w:p w14:paraId="31DDEA98" w14:textId="77777777" w:rsidR="000B2F75" w:rsidRPr="00D66245" w:rsidRDefault="000B2F75" w:rsidP="000B2F75">
      <w:pPr>
        <w:autoSpaceDE w:val="0"/>
        <w:autoSpaceDN w:val="0"/>
        <w:adjustRightInd w:val="0"/>
        <w:spacing w:after="0" w:line="240" w:lineRule="auto"/>
        <w:jc w:val="both"/>
        <w:rPr>
          <w:rFonts w:ascii="Palatino Linotype" w:hAnsi="Palatino Linotype" w:cs="Arial"/>
          <w:bCs/>
        </w:rPr>
      </w:pPr>
    </w:p>
    <w:p w14:paraId="297D9127" w14:textId="77777777" w:rsidR="000B2F75" w:rsidRPr="00D66245" w:rsidRDefault="000B2F75" w:rsidP="000B2F75">
      <w:pPr>
        <w:autoSpaceDE w:val="0"/>
        <w:autoSpaceDN w:val="0"/>
        <w:adjustRightInd w:val="0"/>
        <w:spacing w:after="0" w:line="240" w:lineRule="auto"/>
        <w:jc w:val="both"/>
        <w:rPr>
          <w:rFonts w:ascii="Palatino Linotype" w:hAnsi="Palatino Linotype" w:cs="Arial"/>
          <w:bCs/>
        </w:rPr>
      </w:pPr>
      <w:r w:rsidRPr="00D66245">
        <w:rPr>
          <w:rFonts w:ascii="Palatino Linotype" w:hAnsi="Palatino Linotype" w:cs="Arial"/>
          <w:bCs/>
        </w:rPr>
        <w:t>Por el contrario, el perito, se constituye en un profesional en un área ajena al derecho, que, por su formación, emite criterio experto en cuanto a un tema en concreto que le ha sido asignado o requerido por parte del Tribunal, o bien, por las partes. El mismo ordinal 44.1 del NCPC demarca con claridad el criterio de admisión de ese tipo de probanza al señalar: “</w:t>
      </w:r>
      <w:r w:rsidRPr="00D66245">
        <w:rPr>
          <w:rFonts w:ascii="Palatino Linotype" w:hAnsi="Palatino Linotype" w:cs="Arial"/>
          <w:bCs/>
          <w:i/>
        </w:rPr>
        <w:t>Será admisible la prueba pericial cuando sean necesarios conocimientos científicos, artísticos, técnicos o prácticos, ajenos al derecho, para apreciar hechos o circunstancias relevantes o adquirir certeza de ellos.</w:t>
      </w:r>
      <w:r w:rsidRPr="00D66245">
        <w:rPr>
          <w:rFonts w:ascii="Palatino Linotype" w:hAnsi="Palatino Linotype" w:cs="Arial"/>
          <w:bCs/>
        </w:rPr>
        <w:t xml:space="preserve">”  De ese modo, su finalidad es emitir criterio en cuanto a hechos o circunstancias sometidas a su conocimiento. Producto de ello, emite un criterio formal, respecto de circunstancias que, si bien conoce para emitir su postura, no tuvo una relación directa con los hechos. El NCPC reconoce la posibilidad de que la pericial pueda derivar de la designación propia del Tribunal, caso en el cual, se aplica el procedimiento de designación, aceptación y honorarios que estatuye el artículo 44.2. Estas ordenanzas son de aplicación para la pericial judicial, entendida como la designada por el mismo Tribunal, a propuesta de parte o de oficio. Sobre esta cuestión, cabe destacar que el artículo 94 del CPCA contiene regulación expresa sobre el modus operandi de la designación y procedimiento de proposición, admisión y dictamen pericial, regla que por especialidad se impone al régimen señalado por el NCPC. </w:t>
      </w:r>
    </w:p>
    <w:p w14:paraId="51364707" w14:textId="77777777" w:rsidR="000B2F75" w:rsidRPr="00D66245" w:rsidRDefault="000B2F75" w:rsidP="000B2F75">
      <w:pPr>
        <w:autoSpaceDE w:val="0"/>
        <w:autoSpaceDN w:val="0"/>
        <w:adjustRightInd w:val="0"/>
        <w:spacing w:after="0" w:line="240" w:lineRule="auto"/>
        <w:jc w:val="both"/>
        <w:rPr>
          <w:rFonts w:ascii="Palatino Linotype" w:hAnsi="Palatino Linotype" w:cs="Arial"/>
          <w:bCs/>
        </w:rPr>
      </w:pPr>
    </w:p>
    <w:p w14:paraId="2A4FCAC9" w14:textId="77777777" w:rsidR="000B2F75" w:rsidRPr="00D66245" w:rsidRDefault="000B2F75" w:rsidP="000B2F75">
      <w:pPr>
        <w:autoSpaceDE w:val="0"/>
        <w:autoSpaceDN w:val="0"/>
        <w:adjustRightInd w:val="0"/>
        <w:spacing w:after="0" w:line="240" w:lineRule="auto"/>
        <w:jc w:val="both"/>
        <w:rPr>
          <w:rFonts w:ascii="Palatino Linotype" w:hAnsi="Palatino Linotype" w:cs="Arial"/>
          <w:bCs/>
        </w:rPr>
      </w:pPr>
      <w:r w:rsidRPr="00D66245">
        <w:rPr>
          <w:rFonts w:ascii="Palatino Linotype" w:hAnsi="Palatino Linotype" w:cs="Arial"/>
          <w:bCs/>
        </w:rPr>
        <w:t>Por otro lado, el NCPC reconoce la posibilidad de que las partes presenten la denominada “prueba pericial de parte”, al establecer el ordinal 44.1 en su párrafo segundo: “</w:t>
      </w:r>
      <w:r w:rsidRPr="00D66245">
        <w:rPr>
          <w:rFonts w:ascii="Palatino Linotype" w:hAnsi="Palatino Linotype" w:cs="Arial"/>
          <w:bCs/>
          <w:i/>
        </w:rPr>
        <w:t>Las partes podrán aportar, con la demanda o contestación, los dictámenes de peritos o informes técnicos elaborados por particulares, instituciones públicas o por medio de un colegio profesional. Se adjuntarán, con los demás documentos o materiales necesarios para su apreciación. Asimismo, podrán solicitar el nombramiento de un perito por parte del Tribunal.</w:t>
      </w:r>
      <w:r w:rsidRPr="00D66245">
        <w:rPr>
          <w:rFonts w:ascii="Palatino Linotype" w:hAnsi="Palatino Linotype" w:cs="Arial"/>
          <w:bCs/>
        </w:rPr>
        <w:t xml:space="preserve">” A nuestro juicio, la denominación arriba apuntada no es la más acertada, por la confusión que puede generar respecto de la pericial judicial. Con todo, ha de distinguirse entonces entre la </w:t>
      </w:r>
      <w:r w:rsidRPr="00D66245">
        <w:rPr>
          <w:rFonts w:ascii="Palatino Linotype" w:hAnsi="Palatino Linotype" w:cs="Arial"/>
          <w:bCs/>
          <w:caps/>
        </w:rPr>
        <w:t>pericial judicial</w:t>
      </w:r>
      <w:r w:rsidRPr="00D66245">
        <w:rPr>
          <w:rFonts w:ascii="Palatino Linotype" w:hAnsi="Palatino Linotype" w:cs="Arial"/>
          <w:bCs/>
        </w:rPr>
        <w:t xml:space="preserve">, aquella que requiere de un procedimiento de designación y aceptación del cargo, juramentación, emisión de dictamen y honorarios fijados mediante la tasación que realiza el Tribunal, de la </w:t>
      </w:r>
      <w:r w:rsidRPr="00D66245">
        <w:rPr>
          <w:rFonts w:ascii="Palatino Linotype" w:hAnsi="Palatino Linotype" w:cs="Arial"/>
          <w:bCs/>
          <w:caps/>
        </w:rPr>
        <w:t>Pericial de parte</w:t>
      </w:r>
      <w:r w:rsidRPr="00D66245">
        <w:rPr>
          <w:rFonts w:ascii="Palatino Linotype" w:hAnsi="Palatino Linotype" w:cs="Arial"/>
          <w:bCs/>
        </w:rPr>
        <w:t xml:space="preserve">, entendida como la que aporta la parte con su demanda o contestación, consistente en un análisis experto (ajeno al derecho) emitido por un profesional o técnico a quien a priori, ha selecciona para esos efectos. En este último caso, se trata de prueba técnica de parte, que igualmente puede ser aportada en sede contencioso administrativa y cuyo rigor, se ha de regir por los señalamientos ya expuestos. </w:t>
      </w:r>
    </w:p>
    <w:p w14:paraId="5223426E" w14:textId="77777777" w:rsidR="000B2F75" w:rsidRPr="00D66245" w:rsidRDefault="000B2F75" w:rsidP="000B2F75">
      <w:pPr>
        <w:autoSpaceDE w:val="0"/>
        <w:autoSpaceDN w:val="0"/>
        <w:adjustRightInd w:val="0"/>
        <w:spacing w:after="0" w:line="240" w:lineRule="auto"/>
        <w:jc w:val="both"/>
        <w:rPr>
          <w:rFonts w:ascii="Palatino Linotype" w:hAnsi="Palatino Linotype" w:cs="Arial"/>
          <w:bCs/>
        </w:rPr>
      </w:pPr>
    </w:p>
    <w:p w14:paraId="2DB865C1" w14:textId="77777777" w:rsidR="000B2F75" w:rsidRPr="00D66245" w:rsidRDefault="000B2F75" w:rsidP="000B2F75">
      <w:pPr>
        <w:autoSpaceDE w:val="0"/>
        <w:autoSpaceDN w:val="0"/>
        <w:adjustRightInd w:val="0"/>
        <w:spacing w:after="0" w:line="240" w:lineRule="auto"/>
        <w:jc w:val="both"/>
        <w:rPr>
          <w:rFonts w:ascii="Palatino Linotype" w:hAnsi="Palatino Linotype" w:cs="Arial"/>
          <w:bCs/>
        </w:rPr>
      </w:pPr>
      <w:r w:rsidRPr="00D66245">
        <w:rPr>
          <w:rFonts w:ascii="Palatino Linotype" w:hAnsi="Palatino Linotype" w:cs="Arial"/>
          <w:bCs/>
        </w:rPr>
        <w:t xml:space="preserve">Una particularidad del proceso contencioso es la posibilidad de que las partes requieran la participación de un consultor, facultad que igualmente ostenta el Tribunal. Se trata de una figura que puede generar alguna confusión con la pericial, en la medida en que auxiliar a las partes (o al Tribunal) en campos como la ciencia, arte o técnica. En ese sentido, esta figura, regulada en el artículo 103 del CPCA, puede presenciar las operaciones periciales y acotar observaciones durante el transcurso de esa práctica, sin que deba (o pueda) emitir dictamen. Empero, el inciso 2 de ese mandato señala que, de sus observaciones, se dejará constancia. Tal figura aplica igualmente para las audiencias de juicio. La literalidad del artículo de comentario permite concluir que la figura de consultor de parte, bien puede pedirse al Tribunal para que sea designado y preste asistencia a la parte requirente, a efectos de lo cual, serán de aplicación las reglas aplicables a los peritos, lo que hace suponer que la designación y remuneración deberá ajustarse a lo regulado por el canon 94 ejusdem. </w:t>
      </w:r>
    </w:p>
    <w:p w14:paraId="16247741" w14:textId="77777777" w:rsidR="000B2F75" w:rsidRPr="00D66245" w:rsidRDefault="000B2F75" w:rsidP="000B2F75">
      <w:pPr>
        <w:autoSpaceDE w:val="0"/>
        <w:autoSpaceDN w:val="0"/>
        <w:adjustRightInd w:val="0"/>
        <w:spacing w:after="0" w:line="240" w:lineRule="auto"/>
        <w:jc w:val="both"/>
        <w:rPr>
          <w:rFonts w:ascii="Palatino Linotype" w:hAnsi="Palatino Linotype" w:cs="Arial"/>
          <w:bCs/>
        </w:rPr>
      </w:pPr>
    </w:p>
    <w:p w14:paraId="0FFFBFCC" w14:textId="77777777" w:rsidR="000B2F75" w:rsidRPr="00D66245" w:rsidRDefault="000B2F75" w:rsidP="000B2F75">
      <w:pPr>
        <w:autoSpaceDE w:val="0"/>
        <w:autoSpaceDN w:val="0"/>
        <w:adjustRightInd w:val="0"/>
        <w:spacing w:after="0" w:line="240" w:lineRule="auto"/>
        <w:jc w:val="both"/>
        <w:rPr>
          <w:rFonts w:ascii="Palatino Linotype" w:hAnsi="Palatino Linotype" w:cs="Arial"/>
          <w:bCs/>
        </w:rPr>
      </w:pPr>
      <w:r w:rsidRPr="00D66245">
        <w:rPr>
          <w:rFonts w:ascii="Palatino Linotype" w:hAnsi="Palatino Linotype" w:cs="Arial"/>
          <w:bCs/>
        </w:rPr>
        <w:t>Pero de igual manera, la figura del consultor de parte bien puede ser propuesto por cada parte, caso en el cual, será liberalidad de cada proponente su ofrecimiento, en el entendido que se deberá acreditar ante el Tribunal la idoneidad y necesidad de esa consultoría procesal. Cabe resaltar que, de manera excepcional, el artículo 103 del CPCA permite que el Tribunal cite al consultor a la audiencia, para efectos de ilustración y de manera excepcional, puede habilitarle para que participe en el interrogatorio a los peritos o testigos.</w:t>
      </w:r>
    </w:p>
    <w:p w14:paraId="616DBE03" w14:textId="77777777" w:rsidR="000B2F75" w:rsidRPr="00D66245" w:rsidRDefault="000B2F75" w:rsidP="000B2F75">
      <w:pPr>
        <w:autoSpaceDE w:val="0"/>
        <w:autoSpaceDN w:val="0"/>
        <w:adjustRightInd w:val="0"/>
        <w:spacing w:after="0" w:line="240" w:lineRule="auto"/>
        <w:jc w:val="both"/>
        <w:rPr>
          <w:rFonts w:ascii="Palatino Linotype" w:hAnsi="Palatino Linotype" w:cs="Arial"/>
          <w:bCs/>
        </w:rPr>
      </w:pPr>
      <w:r w:rsidRPr="00D66245">
        <w:rPr>
          <w:rFonts w:ascii="Palatino Linotype" w:hAnsi="Palatino Linotype" w:cs="Arial"/>
          <w:bCs/>
        </w:rPr>
        <w:t xml:space="preserve">  </w:t>
      </w:r>
    </w:p>
    <w:p w14:paraId="4A1F6F2D" w14:textId="77777777" w:rsidR="000B2F75" w:rsidRPr="00D66245" w:rsidRDefault="000B2F75" w:rsidP="000B2F75">
      <w:pPr>
        <w:autoSpaceDE w:val="0"/>
        <w:autoSpaceDN w:val="0"/>
        <w:adjustRightInd w:val="0"/>
        <w:spacing w:after="0" w:line="240" w:lineRule="auto"/>
        <w:jc w:val="both"/>
        <w:rPr>
          <w:rFonts w:ascii="Palatino Linotype" w:hAnsi="Palatino Linotype" w:cs="Arial"/>
          <w:bCs/>
        </w:rPr>
      </w:pPr>
      <w:r w:rsidRPr="00D66245">
        <w:rPr>
          <w:rFonts w:ascii="Palatino Linotype" w:hAnsi="Palatino Linotype" w:cs="Arial"/>
          <w:bCs/>
        </w:rPr>
        <w:t xml:space="preserve">Frente a esa posibilidad de ofrecer pericial de parte y atendiendo a las eventuales opiniones que puedan brindar los testigos-expertos (testigo-perito), los peritos, sea de parte o designados por el Tribunal, así como la potencial participación de los consultores de parte o del Tribunal, es en la fase de análisis de la prueba acorde a las normas de la sana crítica racional, que el Órgano Jurisdiccional debe definir la postura a adoptar, para lo cual, es cardinal la motivación debida del fallo, respecto de las razones concretas que le llevaron a dar primacía a una prueba o análisis, por encima de otros, cuando sostengan posiciones divergentes respecto de un mismo aspecto debatido, que sea determinante para definir el objeto de la causa. </w:t>
      </w:r>
    </w:p>
    <w:p w14:paraId="32F8F561" w14:textId="77777777" w:rsidR="000B2F75" w:rsidRPr="00D66245" w:rsidRDefault="000B2F75" w:rsidP="000B2F75">
      <w:pPr>
        <w:autoSpaceDE w:val="0"/>
        <w:autoSpaceDN w:val="0"/>
        <w:adjustRightInd w:val="0"/>
        <w:spacing w:after="0" w:line="240" w:lineRule="auto"/>
        <w:jc w:val="both"/>
        <w:rPr>
          <w:rFonts w:ascii="Palatino Linotype" w:hAnsi="Palatino Linotype" w:cs="Arial"/>
          <w:bCs/>
        </w:rPr>
      </w:pPr>
    </w:p>
    <w:p w14:paraId="13EA5086"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b/>
          <w:caps/>
        </w:rPr>
        <w:t>D) p</w:t>
      </w:r>
      <w:r w:rsidRPr="00D66245">
        <w:rPr>
          <w:rFonts w:ascii="Palatino Linotype" w:hAnsi="Palatino Linotype" w:cs="Arial"/>
          <w:b/>
        </w:rPr>
        <w:t>osibles defectos procesales y sustanciales sobre la prueba</w:t>
      </w:r>
      <w:r w:rsidRPr="00D66245">
        <w:rPr>
          <w:rFonts w:ascii="Palatino Linotype" w:hAnsi="Palatino Linotype" w:cs="Arial"/>
        </w:rPr>
        <w:t>.</w:t>
      </w:r>
    </w:p>
    <w:p w14:paraId="1F1FE6B2"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Como último aspecto a tratar, presentaremos algunas cuestiones derivadas de defectos procesales y sustanciales que pueden darse en torno a la prueba dentro del proceso contencioso administrativo, con la referencia del remedio procesal recursivo que procedería frente a cada una de ellas, concretamente en sede de Recurso de Casación. De seguido se presentan algunas de las deficiencias o vicios que pueden darse en este orden, sin pretensión de abordar detenidamente cada uno de esos aspectos, tema que, a no dudarlo, trataremos en otro espacio y oportunidad. </w:t>
      </w:r>
    </w:p>
    <w:p w14:paraId="25E1EF1E" w14:textId="77777777" w:rsidR="000B2F75" w:rsidRPr="00D66245" w:rsidRDefault="000B2F75" w:rsidP="000B2F75">
      <w:pPr>
        <w:spacing w:line="240" w:lineRule="auto"/>
        <w:jc w:val="both"/>
        <w:rPr>
          <w:rFonts w:ascii="Palatino Linotype" w:hAnsi="Palatino Linotype" w:cs="Arial"/>
          <w:b/>
          <w:lang w:val="es-CR"/>
        </w:rPr>
      </w:pPr>
      <w:r w:rsidRPr="00D66245">
        <w:rPr>
          <w:rFonts w:ascii="Palatino Linotype" w:hAnsi="Palatino Linotype" w:cs="Arial"/>
          <w:b/>
          <w:lang w:val="es-CR"/>
        </w:rPr>
        <w:t xml:space="preserve">Denegación de prueba admisible: vicio procesal. </w:t>
      </w:r>
    </w:p>
    <w:p w14:paraId="679F0B11" w14:textId="77777777" w:rsidR="000B2F75" w:rsidRPr="00D66245" w:rsidRDefault="000B2F75" w:rsidP="000B2F75">
      <w:pPr>
        <w:spacing w:line="240" w:lineRule="auto"/>
        <w:jc w:val="both"/>
        <w:rPr>
          <w:rFonts w:ascii="Palatino Linotype" w:hAnsi="Palatino Linotype" w:cs="Arial"/>
          <w:lang w:val="es-CR"/>
        </w:rPr>
      </w:pPr>
      <w:r w:rsidRPr="00D66245">
        <w:rPr>
          <w:rFonts w:ascii="Palatino Linotype" w:hAnsi="Palatino Linotype" w:cs="Arial"/>
          <w:lang w:val="es-CR"/>
        </w:rPr>
        <w:t>Se ha señalado que, dentro del proceso contencioso administrativo, la admisión de las probanzas viene condicionada a su pertinencia, utilidad, relevancia y vinculación con hechos controvertidos o bien, que hayan sido tenidos por aceptados por aplicación de las sanciones procesales previstas en los ordinales 63.3, 64.3 y 65 del CPCA.  De igual manera, la prueba debe ofrecerse en momentos procesales específicos, en principio, demanda, contestación, réplica, y de manera excepcional dentro de la preliminar. En caso esporádicos dentro de la audiencia complementaria de juicio.</w:t>
      </w:r>
    </w:p>
    <w:p w14:paraId="5B787BB7" w14:textId="77777777" w:rsidR="000B2F75" w:rsidRPr="00D66245" w:rsidRDefault="000B2F75" w:rsidP="000B2F75">
      <w:pPr>
        <w:spacing w:line="240" w:lineRule="auto"/>
        <w:jc w:val="both"/>
        <w:rPr>
          <w:rFonts w:ascii="Palatino Linotype" w:hAnsi="Palatino Linotype" w:cs="Arial"/>
          <w:lang w:val="es-CR"/>
        </w:rPr>
      </w:pPr>
      <w:r w:rsidRPr="00D66245">
        <w:rPr>
          <w:rFonts w:ascii="Palatino Linotype" w:hAnsi="Palatino Linotype" w:cs="Arial"/>
          <w:lang w:val="es-CR"/>
        </w:rPr>
        <w:t>Pues bien, cuando una determinada probanza cumpla con los criterios señalados, tanto a nivel de correspondencia con los criterios del ordinal 90.2 y 93 del CPCA, como en cuanto a la oportunidad para ofrecerlas, y pese a ello, por criterios ablativos, sean inadmitidas, puede causarse a la parte proponente una lesión al derecho de ofrecimiento probatorio, que le puede restringir obtener una sentencia favorable. Esta situación supone un quebranto al derecho del debido proceso, que, a tono con las reglas de los vicios alegables en el recurso de casación, y de conformidad con la calificación o tipología que regula el canon 137 del CPCA, se corresponde a un vicio de orden procesal. En esa medida, a tono con el inciso 2) de ese mandato, la admisibilidad de un reparo por esa ilegitimidad procesal, exige que, en su oportunidad, se haya gestionado la rectificación del vicio, lo que, en esa especie, se concreta en la formulación del respectivo recurso de revocatoria ante la etapa de trámite, la mayor de las ocasiones, en la audiencia preliminar, ergo, alegación de manera oral, poniendo en evidencia la procedencia de la admisión de la prueba denegada. (Art. 132 CPCA)</w:t>
      </w:r>
    </w:p>
    <w:p w14:paraId="014325E4" w14:textId="302264D8" w:rsidR="000B2F75" w:rsidRPr="00D66245" w:rsidRDefault="000B2F75" w:rsidP="000B2F75">
      <w:pPr>
        <w:spacing w:line="240" w:lineRule="auto"/>
        <w:jc w:val="both"/>
        <w:rPr>
          <w:rFonts w:ascii="Palatino Linotype" w:hAnsi="Palatino Linotype" w:cs="Arial"/>
          <w:lang w:val="es-CR"/>
        </w:rPr>
      </w:pPr>
      <w:r w:rsidRPr="00D66245">
        <w:rPr>
          <w:rFonts w:ascii="Palatino Linotype" w:hAnsi="Palatino Linotype" w:cs="Arial"/>
          <w:lang w:val="es-CR"/>
        </w:rPr>
        <w:t xml:space="preserve">Ejemplo de este vicio se puede concretar, entre muchos, en la denegación de pruebas cuando se produce la sanción procesal prevista en los cánones 63.3 y 64.3 del CPCA, bajo la indebida consideración de que se está frente a hechos no controvertidos. En tales hipótesis, la demanda fue contestada, y las pruebas, inicialmente, ofrecidas, por lo que la sanción de inadmitir las pruebas ofrecidas constituye una manifestación que lesiona los principios de equidad procesal comentados. Lo mismo ocurre con la indebida aplicación o interpretación de los supuestos de prueba documental de posible aporte luego de la preliminar, en los casos en que la parte proponente acredite que en su oportunidad (demanda o contestación) se encontraba en imposibilidad objetiva de aportarla a los autos.  </w:t>
      </w:r>
    </w:p>
    <w:p w14:paraId="0811421F" w14:textId="77777777" w:rsidR="000B2F75" w:rsidRPr="00D66245" w:rsidRDefault="000B2F75" w:rsidP="000B2F75">
      <w:pPr>
        <w:spacing w:line="240" w:lineRule="auto"/>
        <w:jc w:val="both"/>
        <w:rPr>
          <w:rFonts w:ascii="Palatino Linotype" w:hAnsi="Palatino Linotype" w:cs="Arial"/>
          <w:b/>
        </w:rPr>
      </w:pPr>
      <w:r w:rsidRPr="00D66245">
        <w:rPr>
          <w:rFonts w:ascii="Palatino Linotype" w:hAnsi="Palatino Linotype" w:cs="Arial"/>
          <w:b/>
          <w:lang w:val="es-CR"/>
        </w:rPr>
        <w:t>Aceptación de prueba inadmisible: vicio procesal.</w:t>
      </w:r>
    </w:p>
    <w:p w14:paraId="19224BC6"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Así como la inadmisibilidad de una prueba que resultaba necesaria y pertinente dentro del proceso se contrapone al derecho al contradictorio, proposición probatoria y debido proceso, el equilibrio procesal se quebranta sustancialmente cuando la autoridad jurisdiccional admite probanzas que resultan ser inoportunamente ofrecidas, o que, en general, no satisfacen los criterios de admisibilidad. En tal caso, se da una ventaja indebida a una de las partes en conflicto, lo que genera un potencial estado de indefensión en la otra, con la consecuente potencialidad de incidencia en el análisis de las probanzas, sin que el desiderátum de establecer la verdad real que plasma el numeral 82 del CPCA, pueda constituir base legitimante para esa admisibilidad. </w:t>
      </w:r>
    </w:p>
    <w:p w14:paraId="53C1A5DC"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Puede pensarse en este caso que en aplicación del artículo 65 en relación al 93 del CPCA, frente a un caso de rebeldía, la parte accionada se apersone al proceso, justamente en la fase de audiencia preliminar, ofrezca prueba documental que debía aportar con la contestación, y quien juzga en esa etapa, determine admitir esos elementos de convicción al estimar que es necesaria para la definición del objeto del proceso, aún y cuando el conflicto es de orden patrimonial o regido por el derecho privado. Con claridad, se vulneran en ese supuesto las reglas de proposición de pruebas y las consecuencias procesales de la rebeldía, en detrimento de la certidumbre jurídica que ha de imperar en estas lides procesales. Lo mismo acontece con la admisión de prueba documental en aplicación del artículo 50 del CPCA, cuando no concurren los presupuestos que dan cabida a este mandato. </w:t>
      </w:r>
    </w:p>
    <w:p w14:paraId="4704D096"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 xml:space="preserve">De nuevo, al tratarse de vicio procesal, es necesario que se reclama su corrección en su momento oportuno, a la vez que debe causar una lesión sustancial. Tanto en este supuesto como en el antecedente (denegación de prueba admisible), es necesario que se acredite o argumente la manera en que esa admisión o inadmisión, genera un perjuicio grave en los derechos del recurrente, sea, estado de indefensión, efecto pernicioso que es derivación de la máxima de sustancialidad de las nulidades que asientan los ordinales 5, 31 y 32 del NCPC y como derivación de la necesaria afectación que para este tipo de causales impone el numeral 137.2 del CPCA. </w:t>
      </w:r>
    </w:p>
    <w:p w14:paraId="1EC2DC9E"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rPr>
        <w:t>Cabe señalar que el NCPC, en el ordinal 69.2, referente a las causales que dan cabida al recurso de casación, incluye las lesiones al debido proceso como vicio de orden procesal, cuando no se haya podido subsanar la deficiencia.</w:t>
      </w:r>
      <w:r w:rsidRPr="00D66245">
        <w:rPr>
          <w:rStyle w:val="Refdenotaalpie"/>
          <w:rFonts w:ascii="Palatino Linotype" w:hAnsi="Palatino Linotype" w:cs="Arial"/>
        </w:rPr>
        <w:footnoteReference w:id="202"/>
      </w:r>
      <w:r w:rsidRPr="00D66245">
        <w:rPr>
          <w:rFonts w:ascii="Palatino Linotype" w:hAnsi="Palatino Linotype" w:cs="Arial"/>
        </w:rPr>
        <w:t xml:space="preserve"> De igual manera, se impone como criterio de admisión de ese tipo de defectos procesales, el perjuicio sustancial y las gestiones pertinentes para lograr la subsanación de la deficiencia.</w:t>
      </w:r>
      <w:r w:rsidRPr="00D66245">
        <w:rPr>
          <w:rStyle w:val="Refdenotaalpie"/>
          <w:rFonts w:ascii="Palatino Linotype" w:hAnsi="Palatino Linotype" w:cs="Arial"/>
        </w:rPr>
        <w:footnoteReference w:id="203"/>
      </w:r>
      <w:r w:rsidRPr="00D66245">
        <w:rPr>
          <w:rFonts w:ascii="Palatino Linotype" w:hAnsi="Palatino Linotype" w:cs="Arial"/>
        </w:rPr>
        <w:t xml:space="preserve"> </w:t>
      </w:r>
    </w:p>
    <w:p w14:paraId="34964FDF" w14:textId="77777777" w:rsidR="000B2F75" w:rsidRPr="00D66245" w:rsidRDefault="000B2F75" w:rsidP="00BC4AB5">
      <w:pPr>
        <w:autoSpaceDE w:val="0"/>
        <w:autoSpaceDN w:val="0"/>
        <w:adjustRightInd w:val="0"/>
        <w:spacing w:before="120" w:after="200" w:line="240" w:lineRule="auto"/>
        <w:jc w:val="both"/>
        <w:rPr>
          <w:rFonts w:ascii="Palatino Linotype" w:hAnsi="Palatino Linotype" w:cs="Arial"/>
        </w:rPr>
      </w:pPr>
      <w:r w:rsidRPr="00D66245">
        <w:rPr>
          <w:rFonts w:ascii="Palatino Linotype" w:hAnsi="Palatino Linotype" w:cs="Arial"/>
        </w:rPr>
        <w:t xml:space="preserve">Solamente podrá alegar una causal de casación, por razones procesales, la parte a quien hubiera perjudicado la inobservancia de la ley procesal. Además, es indispensable, cuando el procedimiento lo permita, haber gestionado la rectificación del vicio y haber agotado todos los recursos procedentes contra lo resuelto. </w:t>
      </w:r>
    </w:p>
    <w:p w14:paraId="0CB8D461" w14:textId="77777777" w:rsidR="000B2F75" w:rsidRPr="00D66245" w:rsidRDefault="000B2F75" w:rsidP="00BC4AB5">
      <w:pPr>
        <w:spacing w:before="120" w:after="200" w:line="240" w:lineRule="auto"/>
        <w:jc w:val="both"/>
        <w:rPr>
          <w:rFonts w:ascii="Palatino Linotype" w:hAnsi="Palatino Linotype" w:cs="Arial"/>
          <w:b/>
          <w:lang w:val="es-CR"/>
        </w:rPr>
      </w:pPr>
      <w:r w:rsidRPr="00D66245">
        <w:rPr>
          <w:rFonts w:ascii="Palatino Linotype" w:hAnsi="Palatino Linotype" w:cs="Arial"/>
          <w:b/>
          <w:lang w:val="es-CR"/>
        </w:rPr>
        <w:t>Ejercicio indebido y arbitrario de la potestad de prueba para mejor resolver: vicio procesal</w:t>
      </w:r>
    </w:p>
    <w:p w14:paraId="29B84416"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hAnsi="Palatino Linotype" w:cs="Arial"/>
          <w:lang w:val="es-CR"/>
        </w:rPr>
        <w:t xml:space="preserve">Si bien el CPCA habilita al Tribunal requerimiento de la prueba para mejor resolver, potestad conferida en el ordinal 110, es claro que no constituye una habilitación abierta para requerir probanzas que correspondía aportar a una de las partes y que, por su propia deficiencia en la defensa de sus intereses, omitió. En rigor, la prueba para mejor resolver, se constituye en una importante herramienta para que el Tribunal requiera elementos de convicción que estima relevantes para la definición del objeto debatido, Empero, no permite subsanar deficiencias de las partes respecto de elementos o circunstancias de la </w:t>
      </w:r>
      <w:r w:rsidRPr="00D66245">
        <w:rPr>
          <w:rFonts w:ascii="Palatino Linotype" w:hAnsi="Palatino Linotype" w:cs="Arial"/>
          <w:i/>
          <w:lang w:val="es-CR"/>
        </w:rPr>
        <w:t>causa petendi</w:t>
      </w:r>
      <w:r w:rsidRPr="00D66245">
        <w:rPr>
          <w:rFonts w:ascii="Palatino Linotype" w:hAnsi="Palatino Linotype" w:cs="Arial"/>
          <w:lang w:val="es-CR"/>
        </w:rPr>
        <w:t xml:space="preserve">, cuya carga de la prueba sea exclusiva de las partes. </w:t>
      </w:r>
      <w:r w:rsidRPr="00D66245">
        <w:rPr>
          <w:rFonts w:ascii="Palatino Linotype" w:eastAsia="Times New Roman" w:hAnsi="Palatino Linotype" w:cs="Arial"/>
          <w:lang w:val="es-CR"/>
        </w:rPr>
        <w:t>El papel del juez no debe suplir las deficiencias de las partes, o sus indolencias, pues tal proceder por tesis de principio, beneficia a una parte, en desmedro de los derechos de la otra o viceversa.</w:t>
      </w:r>
    </w:p>
    <w:p w14:paraId="1D18D856" w14:textId="77777777" w:rsidR="000B2F75" w:rsidRPr="00D66245" w:rsidRDefault="000B2F75" w:rsidP="000B2F75">
      <w:pPr>
        <w:spacing w:line="240" w:lineRule="auto"/>
        <w:jc w:val="both"/>
        <w:rPr>
          <w:rFonts w:ascii="Palatino Linotype" w:eastAsia="Times New Roman" w:hAnsi="Palatino Linotype" w:cs="Arial"/>
          <w:lang w:val="es-CR"/>
        </w:rPr>
      </w:pPr>
      <w:r w:rsidRPr="00D66245">
        <w:rPr>
          <w:rFonts w:ascii="Palatino Linotype" w:eastAsia="Times New Roman" w:hAnsi="Palatino Linotype" w:cs="Arial"/>
          <w:lang w:val="es-CR"/>
        </w:rPr>
        <w:t xml:space="preserve">Pues bien, frente al ejercicio indebido de la potestad bajo análisis, es evidente que se transgrede el debido proceso, lo que, al tenor del artículo 137 inciso b) del CPCA, cataloga esta lesión como un vicio de orden procesal. </w:t>
      </w:r>
    </w:p>
    <w:p w14:paraId="5D3014A3" w14:textId="77777777" w:rsidR="000B2F75" w:rsidRPr="00D66245" w:rsidRDefault="000B2F75" w:rsidP="000B2F75">
      <w:pPr>
        <w:spacing w:line="240" w:lineRule="auto"/>
        <w:jc w:val="both"/>
        <w:rPr>
          <w:rFonts w:ascii="Palatino Linotype" w:hAnsi="Palatino Linotype" w:cs="Arial"/>
          <w:b/>
          <w:lang w:val="es-CR"/>
        </w:rPr>
      </w:pPr>
      <w:r w:rsidRPr="00D66245">
        <w:rPr>
          <w:rFonts w:ascii="Palatino Linotype" w:hAnsi="Palatino Linotype" w:cs="Arial"/>
          <w:b/>
          <w:lang w:val="es-CR"/>
        </w:rPr>
        <w:t xml:space="preserve">Preterición de prueba: casación indirecta. </w:t>
      </w:r>
    </w:p>
    <w:p w14:paraId="1894904D" w14:textId="77777777" w:rsidR="000B2F75" w:rsidRPr="00D66245" w:rsidRDefault="000B2F75" w:rsidP="000B2F75">
      <w:pPr>
        <w:spacing w:line="240" w:lineRule="auto"/>
        <w:jc w:val="both"/>
        <w:rPr>
          <w:rFonts w:ascii="Palatino Linotype" w:hAnsi="Palatino Linotype" w:cs="Arial"/>
          <w:lang w:val="es-CR"/>
        </w:rPr>
      </w:pPr>
      <w:r w:rsidRPr="00D66245">
        <w:rPr>
          <w:rFonts w:ascii="Palatino Linotype" w:hAnsi="Palatino Linotype" w:cs="Arial"/>
          <w:lang w:val="es-CR"/>
        </w:rPr>
        <w:t>El ordinal 138 del CPCA regula las causales de casación por vicios sustanciales, dentro de las cuales, el inciso a) incluye la preterición de elementos probatorios. En su visión simplista, pero útil para estos efectos, tal vicio se refiere a la omisión de incorporar dentro del análisis unitario de las pruebas, un determinado elemento de convicción que fue debidamente admitido para esos efectos. No consiste en una indebida valoración de las pruebas, sino en no analizar las implicaciones probatorias de esa probanza en particular. Se trata de un vicio propio de la denominada casación indirecta por error de derecho, cuyo efecto, caso de ser estimado, lleva a que la Sala Primera o el Tribunal de Casación, según corresponda</w:t>
      </w:r>
      <w:r w:rsidRPr="00D66245">
        <w:rPr>
          <w:rStyle w:val="Refdenotaalpie"/>
          <w:rFonts w:ascii="Palatino Linotype" w:hAnsi="Palatino Linotype" w:cs="Arial"/>
          <w:lang w:val="es-CR"/>
        </w:rPr>
        <w:footnoteReference w:id="204"/>
      </w:r>
      <w:r w:rsidRPr="00D66245">
        <w:rPr>
          <w:rFonts w:ascii="Palatino Linotype" w:hAnsi="Palatino Linotype" w:cs="Arial"/>
          <w:lang w:val="es-CR"/>
        </w:rPr>
        <w:t>, emita sentencia por el fondo, una vez casada la sentencia sometida a su verificación.</w:t>
      </w:r>
    </w:p>
    <w:p w14:paraId="1670A0B5" w14:textId="77777777" w:rsidR="000B2F75" w:rsidRPr="00D66245" w:rsidRDefault="000B2F75" w:rsidP="000B2F75">
      <w:pPr>
        <w:spacing w:line="240" w:lineRule="auto"/>
        <w:jc w:val="both"/>
        <w:rPr>
          <w:rFonts w:ascii="Palatino Linotype" w:hAnsi="Palatino Linotype" w:cs="Arial"/>
          <w:b/>
          <w:lang w:val="es-CR"/>
        </w:rPr>
      </w:pPr>
      <w:r w:rsidRPr="00D66245">
        <w:rPr>
          <w:rFonts w:ascii="Palatino Linotype" w:hAnsi="Palatino Linotype" w:cs="Arial"/>
          <w:b/>
          <w:lang w:val="es-CR"/>
        </w:rPr>
        <w:t>Indebida valoración y negación de valor probatorio: casación indirecta, error de derecho.</w:t>
      </w:r>
    </w:p>
    <w:p w14:paraId="79D20536" w14:textId="77777777" w:rsidR="000B2F75" w:rsidRPr="00D66245" w:rsidRDefault="000B2F75" w:rsidP="000B2F75">
      <w:pPr>
        <w:spacing w:line="240" w:lineRule="auto"/>
        <w:jc w:val="both"/>
        <w:rPr>
          <w:rFonts w:ascii="Palatino Linotype" w:hAnsi="Palatino Linotype" w:cs="Arial"/>
        </w:rPr>
      </w:pPr>
      <w:r w:rsidRPr="00D66245">
        <w:rPr>
          <w:rFonts w:ascii="Palatino Linotype" w:hAnsi="Palatino Linotype" w:cs="Arial"/>
          <w:lang w:val="es-CR"/>
        </w:rPr>
        <w:t>El canon 138 del CPCA señala como causal de casación indirecta por vicios de fondo los siguientes:</w:t>
      </w:r>
    </w:p>
    <w:p w14:paraId="091ED112" w14:textId="77777777" w:rsidR="000B2F75" w:rsidRPr="00D66245" w:rsidRDefault="000B2F75" w:rsidP="000B2F75">
      <w:pPr>
        <w:autoSpaceDE w:val="0"/>
        <w:autoSpaceDN w:val="0"/>
        <w:adjustRightInd w:val="0"/>
        <w:spacing w:after="0" w:line="240" w:lineRule="auto"/>
        <w:jc w:val="both"/>
        <w:rPr>
          <w:rFonts w:ascii="Palatino Linotype" w:hAnsi="Palatino Linotype" w:cs="Arial"/>
        </w:rPr>
      </w:pPr>
      <w:r w:rsidRPr="00D66245">
        <w:rPr>
          <w:rFonts w:ascii="Palatino Linotype" w:hAnsi="Palatino Linotype" w:cs="Arial"/>
          <w:b/>
          <w:bCs/>
        </w:rPr>
        <w:t xml:space="preserve">a) </w:t>
      </w:r>
      <w:r w:rsidRPr="00D66245">
        <w:rPr>
          <w:rFonts w:ascii="Palatino Linotype" w:hAnsi="Palatino Linotype" w:cs="Arial"/>
        </w:rPr>
        <w:t xml:space="preserve">Cuando se atribuya a la prueba una indebida valoración o se haya preterido. </w:t>
      </w:r>
    </w:p>
    <w:p w14:paraId="7E475B1B" w14:textId="77777777" w:rsidR="000B2F75" w:rsidRPr="00D66245" w:rsidRDefault="000B2F75" w:rsidP="000B2F75">
      <w:pPr>
        <w:autoSpaceDE w:val="0"/>
        <w:autoSpaceDN w:val="0"/>
        <w:adjustRightInd w:val="0"/>
        <w:spacing w:after="0" w:line="240" w:lineRule="auto"/>
        <w:jc w:val="both"/>
        <w:rPr>
          <w:rFonts w:ascii="Palatino Linotype" w:hAnsi="Palatino Linotype" w:cs="Arial"/>
        </w:rPr>
      </w:pPr>
      <w:r w:rsidRPr="00D66245">
        <w:rPr>
          <w:rFonts w:ascii="Palatino Linotype" w:hAnsi="Palatino Linotype" w:cs="Arial"/>
          <w:b/>
          <w:bCs/>
        </w:rPr>
        <w:t xml:space="preserve">b) </w:t>
      </w:r>
      <w:r w:rsidRPr="00D66245">
        <w:rPr>
          <w:rFonts w:ascii="Palatino Linotype" w:hAnsi="Palatino Linotype" w:cs="Arial"/>
        </w:rPr>
        <w:t>Cuando se tengan por demostrados o indemostrados hechos en contradicción con la prueba que consta en el proceso.</w:t>
      </w:r>
    </w:p>
    <w:p w14:paraId="127F0429" w14:textId="77777777" w:rsidR="000B2F75" w:rsidRPr="00D66245" w:rsidRDefault="000B2F75" w:rsidP="000B2F75">
      <w:pPr>
        <w:autoSpaceDE w:val="0"/>
        <w:autoSpaceDN w:val="0"/>
        <w:adjustRightInd w:val="0"/>
        <w:spacing w:after="0" w:line="240" w:lineRule="auto"/>
        <w:jc w:val="both"/>
        <w:rPr>
          <w:rFonts w:ascii="Palatino Linotype" w:hAnsi="Palatino Linotype" w:cs="Arial"/>
        </w:rPr>
      </w:pPr>
    </w:p>
    <w:p w14:paraId="2DCF5B5B" w14:textId="77777777" w:rsidR="000B2F75" w:rsidRPr="00D66245" w:rsidRDefault="000B2F75" w:rsidP="000B2F75">
      <w:pPr>
        <w:pStyle w:val="Default"/>
        <w:jc w:val="both"/>
        <w:rPr>
          <w:rFonts w:ascii="Palatino Linotype" w:hAnsi="Palatino Linotype"/>
          <w:color w:val="auto"/>
          <w:sz w:val="22"/>
          <w:szCs w:val="22"/>
          <w:lang w:val="es-ES"/>
        </w:rPr>
      </w:pPr>
      <w:r w:rsidRPr="00D66245">
        <w:rPr>
          <w:rFonts w:ascii="Palatino Linotype" w:hAnsi="Palatino Linotype"/>
          <w:color w:val="auto"/>
          <w:sz w:val="22"/>
          <w:szCs w:val="22"/>
          <w:lang w:val="es-ES"/>
        </w:rPr>
        <w:t>Sobre estos defectos, el canon 139, que fija los requisitos del recurso de casación en materia contencioso administrativa, expone en su inciso tercero, que: “</w:t>
      </w:r>
      <w:r w:rsidRPr="00D66245">
        <w:rPr>
          <w:rFonts w:ascii="Palatino Linotype" w:hAnsi="Palatino Linotype"/>
          <w:i/>
          <w:color w:val="auto"/>
          <w:sz w:val="22"/>
          <w:szCs w:val="22"/>
          <w:lang w:val="es-ES"/>
        </w:rPr>
        <w:t>Para todos los efectos, no será indispensable indicar el precepto legal infringido concerniente al valor del elemento probatorio mal apreciado.</w:t>
      </w:r>
      <w:r w:rsidRPr="00D66245">
        <w:rPr>
          <w:rFonts w:ascii="Palatino Linotype" w:hAnsi="Palatino Linotype"/>
          <w:color w:val="auto"/>
          <w:sz w:val="22"/>
          <w:szCs w:val="22"/>
          <w:lang w:val="es-ES"/>
        </w:rPr>
        <w:t>”, norma que pretendía flexibilizar las exigencias formales (técnicas) que otrora imponía el Código Procesal Civil. Empero, en la actual regulación privada, el precepto 69.2 del NCPC abandona la tipología anteriormente regulada, y migra a un sistema de ordenamiento de vicios de orden procesal y de fondo, estos últimos dentro de los cuales incluye como primer supuesto: “</w:t>
      </w:r>
      <w:r w:rsidRPr="00D66245">
        <w:rPr>
          <w:rFonts w:ascii="Palatino Linotype" w:hAnsi="Palatino Linotype"/>
          <w:b/>
          <w:bCs/>
          <w:i/>
          <w:color w:val="auto"/>
          <w:sz w:val="22"/>
          <w:szCs w:val="22"/>
          <w:lang w:val="es-ES"/>
        </w:rPr>
        <w:t xml:space="preserve">a) </w:t>
      </w:r>
      <w:r w:rsidRPr="00D66245">
        <w:rPr>
          <w:rFonts w:ascii="Palatino Linotype" w:hAnsi="Palatino Linotype"/>
          <w:i/>
          <w:color w:val="auto"/>
          <w:sz w:val="22"/>
          <w:szCs w:val="22"/>
          <w:lang w:val="es-ES"/>
        </w:rPr>
        <w:t>Violación de las normas sustantivas aplicables al caso concreto. Esta causal comprende la infracción a las normas legales sobre valoración de la prueba y error en la interpretación de la prueba.</w:t>
      </w:r>
      <w:r w:rsidRPr="00D66245">
        <w:rPr>
          <w:rFonts w:ascii="Palatino Linotype" w:hAnsi="Palatino Linotype"/>
          <w:color w:val="auto"/>
          <w:sz w:val="22"/>
          <w:szCs w:val="22"/>
          <w:lang w:val="es-ES"/>
        </w:rPr>
        <w:t>” Para ello, en el artículo 69.4, numeral 3, precisa como requisito de ingreso del recurso extraordinario: “</w:t>
      </w:r>
      <w:r w:rsidRPr="00D66245">
        <w:rPr>
          <w:rFonts w:ascii="Palatino Linotype" w:hAnsi="Palatino Linotype"/>
          <w:b/>
          <w:bCs/>
          <w:i/>
          <w:color w:val="auto"/>
          <w:sz w:val="22"/>
          <w:szCs w:val="22"/>
          <w:lang w:val="es-ES"/>
        </w:rPr>
        <w:t xml:space="preserve">3. </w:t>
      </w:r>
      <w:r w:rsidRPr="00D66245">
        <w:rPr>
          <w:rFonts w:ascii="Palatino Linotype" w:hAnsi="Palatino Linotype"/>
          <w:i/>
          <w:color w:val="auto"/>
          <w:sz w:val="22"/>
          <w:szCs w:val="22"/>
          <w:lang w:val="es-ES"/>
        </w:rPr>
        <w:t>La expresión de los motivos concretos constitutivos del fundamento de la casación, expuestos de forma ordenada, clara y concisa.</w:t>
      </w:r>
      <w:r w:rsidRPr="00D66245">
        <w:rPr>
          <w:rFonts w:ascii="Palatino Linotype" w:hAnsi="Palatino Linotype"/>
          <w:color w:val="auto"/>
          <w:sz w:val="22"/>
          <w:szCs w:val="22"/>
          <w:lang w:val="es-ES"/>
        </w:rPr>
        <w:t xml:space="preserve">”, sin condicionar una forma concreta de alegación de este tipo de vicios. Sin embargo, es evidente que es a la Sala Primera de la Corte Suprema de Justicia a quien corresponderá fijar en la praxis, la manera de dar contenido a lo que debe entenderse como expresión ordenada, clara y concisa, de cara a definir el grado de flexibilidad que se impondrá en esta dinámica. </w:t>
      </w:r>
    </w:p>
    <w:p w14:paraId="06F09052" w14:textId="77777777" w:rsidR="000B2F75" w:rsidRPr="00D66245" w:rsidRDefault="000B2F75" w:rsidP="000B2F75">
      <w:pPr>
        <w:pStyle w:val="Default"/>
        <w:jc w:val="both"/>
        <w:rPr>
          <w:rFonts w:ascii="Palatino Linotype" w:hAnsi="Palatino Linotype"/>
          <w:color w:val="auto"/>
          <w:sz w:val="22"/>
          <w:szCs w:val="22"/>
          <w:lang w:val="es-ES"/>
        </w:rPr>
      </w:pPr>
    </w:p>
    <w:p w14:paraId="55DD6098" w14:textId="77777777" w:rsidR="000B2F75" w:rsidRPr="00D66245" w:rsidRDefault="000B2F75" w:rsidP="000B2F75">
      <w:pPr>
        <w:pStyle w:val="Default"/>
        <w:jc w:val="both"/>
        <w:rPr>
          <w:rFonts w:ascii="Palatino Linotype" w:hAnsi="Palatino Linotype"/>
          <w:color w:val="auto"/>
          <w:sz w:val="22"/>
          <w:szCs w:val="22"/>
          <w:lang w:val="es-ES"/>
        </w:rPr>
      </w:pPr>
      <w:r w:rsidRPr="00D66245">
        <w:rPr>
          <w:rFonts w:ascii="Palatino Linotype" w:hAnsi="Palatino Linotype"/>
          <w:color w:val="auto"/>
          <w:sz w:val="22"/>
          <w:szCs w:val="22"/>
          <w:lang w:val="es-ES"/>
        </w:rPr>
        <w:t xml:space="preserve">Para los efectos de la materia tratada en este ensayo, la norma aplicable (art. 139.3 CPCA) impone la expresión clara y precisa de los motivos del recurso, con la debida fundamentación fáctica y jurídica del caso. Es notorio que el esquema de definición de tipos de vicios sustanciales, regula mayor número de supuestos que su homóloga civil, pero en todo caso, son cuestiones que bien se entienden insertas dentro de la descripción genérica del NCPC. Con todo, de nuevo, son los criterios del órgano casacional los que impongan que tan detallado debe ser el recurso para tenerle como debidamente sustentado y dar paso al análisis de los vicios alegados, criterios de admisibilidad que no pueden ser abordados en este espacio y que son, de suyo objeto de múltiples análisis y polémicas en la praxis forense. </w:t>
      </w:r>
    </w:p>
    <w:p w14:paraId="28CF9A03" w14:textId="77777777" w:rsidR="000B2F75" w:rsidRPr="00D66245" w:rsidRDefault="000B2F75" w:rsidP="000B2F75">
      <w:pPr>
        <w:pStyle w:val="Default"/>
        <w:jc w:val="both"/>
        <w:rPr>
          <w:rFonts w:ascii="Palatino Linotype" w:hAnsi="Palatino Linotype"/>
          <w:color w:val="auto"/>
          <w:sz w:val="22"/>
          <w:szCs w:val="22"/>
          <w:lang w:val="es-ES"/>
        </w:rPr>
      </w:pPr>
    </w:p>
    <w:p w14:paraId="3F54230E" w14:textId="77777777" w:rsidR="000B2F75" w:rsidRPr="00D66245" w:rsidRDefault="000B2F75" w:rsidP="000B2F75">
      <w:pPr>
        <w:pStyle w:val="Default"/>
        <w:jc w:val="both"/>
        <w:rPr>
          <w:rFonts w:ascii="Palatino Linotype" w:hAnsi="Palatino Linotype"/>
          <w:color w:val="auto"/>
          <w:sz w:val="22"/>
          <w:szCs w:val="22"/>
          <w:lang w:val="es-ES"/>
        </w:rPr>
      </w:pPr>
      <w:r w:rsidRPr="00D66245">
        <w:rPr>
          <w:rFonts w:ascii="Palatino Linotype" w:hAnsi="Palatino Linotype"/>
          <w:color w:val="auto"/>
          <w:sz w:val="22"/>
          <w:szCs w:val="22"/>
          <w:lang w:val="es-ES"/>
        </w:rPr>
        <w:t xml:space="preserve">Baste precisar que la fundamentación del vicio de infracción a las reglas de la sana crítica o negación del valor probatorio legalmente asignado a un tipo concreto de elemento de convicción, a fin de ser analizado en la sede casacional, implicaría el detalle de las pruebas sobre las cuales recae la deficiencia de análisis racional, así como la expresión de las falencias o deficiencias lógicas que se han producido en la decisión judicial, que concreten la lesión a la sana crítica como mecanismo de valoración probatoria. Esto obliga a exponer el detalle de las probanzas que llevarían a decisión diversa, con las causas que sustentarían tal conjetura o ponderación. Se trata de una situación concreta que se define en cada caso, pero que en términos comunes implica y exige la mención clara de las razones por las cuales, frente al marco probatorio admitido, las derivaciones conclusivas del Tribunal no se ajustan al deber de análisis unitario de esos elementos, así como a los criterios de lógica, experiencia, ciencia y correcto entendimiento humano, salvo regla diversa aplicable al caso concreto por norma especial. Esto último permite que cuando una ley en concreto fije un sistema de valoración distinto o bien, establezca sistema de presunciones determinado, constituyen parámetros de valoración probatoria que son referentes de revisión mediante el recurso de casación. </w:t>
      </w:r>
    </w:p>
    <w:p w14:paraId="19D1B23F" w14:textId="77777777" w:rsidR="000B2F75" w:rsidRPr="00D66245" w:rsidRDefault="000B2F75" w:rsidP="000B2F75">
      <w:pPr>
        <w:pStyle w:val="Default"/>
        <w:jc w:val="both"/>
        <w:rPr>
          <w:rFonts w:ascii="Palatino Linotype" w:hAnsi="Palatino Linotype"/>
          <w:color w:val="auto"/>
          <w:sz w:val="22"/>
          <w:szCs w:val="22"/>
          <w:lang w:val="es-ES"/>
        </w:rPr>
      </w:pPr>
    </w:p>
    <w:p w14:paraId="1CAFCC6B" w14:textId="77777777" w:rsidR="000B2F75" w:rsidRPr="00D66245" w:rsidRDefault="000B2F75" w:rsidP="00BC4AB5">
      <w:pPr>
        <w:pStyle w:val="Default"/>
        <w:spacing w:before="120" w:after="200"/>
        <w:jc w:val="both"/>
        <w:rPr>
          <w:rFonts w:ascii="Palatino Linotype" w:hAnsi="Palatino Linotype"/>
          <w:color w:val="auto"/>
          <w:sz w:val="22"/>
          <w:szCs w:val="22"/>
        </w:rPr>
      </w:pPr>
      <w:r w:rsidRPr="00D66245">
        <w:rPr>
          <w:rFonts w:ascii="Palatino Linotype" w:hAnsi="Palatino Linotype"/>
          <w:color w:val="auto"/>
          <w:sz w:val="22"/>
          <w:szCs w:val="22"/>
          <w:lang w:val="es-ES"/>
        </w:rPr>
        <w:t xml:space="preserve">Finalmente, en cuanto a la </w:t>
      </w:r>
      <w:r w:rsidRPr="00D66245">
        <w:rPr>
          <w:rFonts w:ascii="Palatino Linotype" w:hAnsi="Palatino Linotype"/>
          <w:color w:val="auto"/>
          <w:sz w:val="22"/>
          <w:szCs w:val="22"/>
        </w:rPr>
        <w:t xml:space="preserve">Negación de valor probatorio, que constituye un vicio propio de casación indirecta, error derecho, como se ha indicado, al socaire del CPCA, no se hace imperativo mencionar la norma que confiere dicho valor concreto, exigencia que actualmente, tampoco impone el NCPC. Empero, es menester señalar con claridad las razones por las cuales se ha negado dicho valor legalmente otorgado a un determinado elemento, con el relato del respectivo efecto lesivo que tal inadvertencia ha generado. </w:t>
      </w:r>
    </w:p>
    <w:p w14:paraId="3C747BBD" w14:textId="77777777" w:rsidR="000B2F75" w:rsidRPr="00D66245" w:rsidRDefault="000B2F75" w:rsidP="00BC4AB5">
      <w:pPr>
        <w:spacing w:before="120" w:after="200" w:line="240" w:lineRule="auto"/>
        <w:jc w:val="both"/>
        <w:rPr>
          <w:rFonts w:ascii="Palatino Linotype" w:hAnsi="Palatino Linotype" w:cs="Arial"/>
          <w:b/>
          <w:lang w:val="es-CR"/>
        </w:rPr>
      </w:pPr>
      <w:r w:rsidRPr="00D66245">
        <w:rPr>
          <w:rFonts w:ascii="Palatino Linotype" w:hAnsi="Palatino Linotype" w:cs="Arial"/>
          <w:b/>
          <w:lang w:val="es-CR"/>
        </w:rPr>
        <w:t xml:space="preserve">Defectos sobre pruebas en fase de audiencia preliminar. </w:t>
      </w:r>
    </w:p>
    <w:p w14:paraId="5BBBC625" w14:textId="77777777" w:rsidR="000B2F75" w:rsidRPr="00D66245" w:rsidRDefault="000B2F75" w:rsidP="000B2F75">
      <w:pPr>
        <w:spacing w:line="240" w:lineRule="auto"/>
        <w:jc w:val="both"/>
        <w:rPr>
          <w:rFonts w:ascii="Palatino Linotype" w:hAnsi="Palatino Linotype" w:cs="Arial"/>
          <w:lang w:val="es-CR"/>
        </w:rPr>
      </w:pPr>
      <w:r w:rsidRPr="00D66245">
        <w:rPr>
          <w:rFonts w:ascii="Palatino Linotype" w:hAnsi="Palatino Linotype" w:cs="Arial"/>
          <w:lang w:val="es-CR"/>
        </w:rPr>
        <w:t>Por lo demás, como se ha señalado, al tenor del artículo 132.3 del CPCA, sobre las decisiones relativas a prueba dentro de la audiencia preliminar, ha de formularse recurso de revocatoria de manera inmediata y oral, el que será resuelto en esa misma fase.</w:t>
      </w:r>
      <w:r w:rsidRPr="00D66245">
        <w:rPr>
          <w:rStyle w:val="Refdenotaalpie"/>
          <w:rFonts w:ascii="Palatino Linotype" w:hAnsi="Palatino Linotype" w:cs="Arial"/>
          <w:lang w:val="es-CR"/>
        </w:rPr>
        <w:footnoteReference w:id="205"/>
      </w:r>
      <w:r w:rsidRPr="00D66245">
        <w:rPr>
          <w:rFonts w:ascii="Palatino Linotype" w:hAnsi="Palatino Linotype" w:cs="Arial"/>
          <w:lang w:val="es-CR"/>
        </w:rPr>
        <w:t xml:space="preserve"> Si la decisión, de manera excepcional se emite de manera interlocutoria, lo procedente es el recurso de revocatoria, a formularse dentro del tercer día hábil de la comunicación efectiva de la decisión, según lo estatuye el mandato 132.2 ejusdem.</w:t>
      </w:r>
    </w:p>
    <w:p w14:paraId="4DAD5407" w14:textId="77777777" w:rsidR="000B2F75" w:rsidRPr="00D66245" w:rsidRDefault="000B2F75" w:rsidP="000B2F75">
      <w:pPr>
        <w:spacing w:line="240" w:lineRule="auto"/>
        <w:jc w:val="both"/>
        <w:rPr>
          <w:rFonts w:ascii="Palatino Linotype" w:hAnsi="Palatino Linotype" w:cs="Arial"/>
          <w:lang w:val="es-CR"/>
        </w:rPr>
      </w:pPr>
      <w:r w:rsidRPr="00D66245">
        <w:rPr>
          <w:rFonts w:ascii="Palatino Linotype" w:hAnsi="Palatino Linotype" w:cs="Arial"/>
          <w:lang w:val="es-CR"/>
        </w:rPr>
        <w:t xml:space="preserve">En síntesis, los remedios posibles frente a las deficiencias apuntadas pueden plantearse de la siguiente manera: </w:t>
      </w: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640"/>
        <w:gridCol w:w="2259"/>
        <w:gridCol w:w="1625"/>
        <w:gridCol w:w="1842"/>
      </w:tblGrid>
      <w:tr w:rsidR="000B2F75" w:rsidRPr="00D66245" w14:paraId="46E98BBA" w14:textId="77777777" w:rsidTr="00D141D3">
        <w:trPr>
          <w:trHeight w:val="558"/>
        </w:trPr>
        <w:tc>
          <w:tcPr>
            <w:tcW w:w="1640" w:type="dxa"/>
            <w:shd w:val="clear" w:color="auto" w:fill="FFFFFF" w:themeFill="background1"/>
            <w:tcMar>
              <w:top w:w="72" w:type="dxa"/>
              <w:left w:w="144" w:type="dxa"/>
              <w:bottom w:w="72" w:type="dxa"/>
              <w:right w:w="144" w:type="dxa"/>
            </w:tcMar>
            <w:hideMark/>
          </w:tcPr>
          <w:p w14:paraId="0D7D818A" w14:textId="77777777" w:rsidR="000B2F75" w:rsidRPr="00D66245" w:rsidRDefault="000B2F75" w:rsidP="006D6B49">
            <w:pPr>
              <w:spacing w:line="240" w:lineRule="auto"/>
              <w:jc w:val="center"/>
              <w:rPr>
                <w:rFonts w:ascii="Palatino Linotype" w:hAnsi="Palatino Linotype" w:cs="Arial"/>
              </w:rPr>
            </w:pPr>
            <w:r w:rsidRPr="00D66245">
              <w:rPr>
                <w:rFonts w:ascii="Palatino Linotype" w:hAnsi="Palatino Linotype" w:cs="Arial"/>
                <w:b/>
                <w:bCs/>
                <w:lang w:val="es-CR"/>
              </w:rPr>
              <w:t>Supuesto</w:t>
            </w:r>
          </w:p>
        </w:tc>
        <w:tc>
          <w:tcPr>
            <w:tcW w:w="2259" w:type="dxa"/>
            <w:shd w:val="clear" w:color="auto" w:fill="FFFFFF" w:themeFill="background1"/>
            <w:tcMar>
              <w:top w:w="72" w:type="dxa"/>
              <w:left w:w="144" w:type="dxa"/>
              <w:bottom w:w="72" w:type="dxa"/>
              <w:right w:w="144" w:type="dxa"/>
            </w:tcMar>
            <w:hideMark/>
          </w:tcPr>
          <w:p w14:paraId="22DF3B50" w14:textId="77777777" w:rsidR="000B2F75" w:rsidRPr="00D66245" w:rsidRDefault="000B2F75" w:rsidP="006D6B49">
            <w:pPr>
              <w:spacing w:line="240" w:lineRule="auto"/>
              <w:jc w:val="center"/>
              <w:rPr>
                <w:rFonts w:ascii="Palatino Linotype" w:hAnsi="Palatino Linotype" w:cs="Arial"/>
              </w:rPr>
            </w:pPr>
            <w:r w:rsidRPr="00D66245">
              <w:rPr>
                <w:rFonts w:ascii="Palatino Linotype" w:hAnsi="Palatino Linotype" w:cs="Arial"/>
                <w:b/>
                <w:bCs/>
                <w:lang w:val="es-CR"/>
              </w:rPr>
              <w:t>Vicio</w:t>
            </w:r>
          </w:p>
        </w:tc>
        <w:tc>
          <w:tcPr>
            <w:tcW w:w="1625" w:type="dxa"/>
            <w:shd w:val="clear" w:color="auto" w:fill="FFFFFF" w:themeFill="background1"/>
            <w:tcMar>
              <w:top w:w="72" w:type="dxa"/>
              <w:left w:w="144" w:type="dxa"/>
              <w:bottom w:w="72" w:type="dxa"/>
              <w:right w:w="144" w:type="dxa"/>
            </w:tcMar>
            <w:hideMark/>
          </w:tcPr>
          <w:p w14:paraId="68F33E08" w14:textId="77777777" w:rsidR="000B2F75" w:rsidRPr="00D66245" w:rsidRDefault="000B2F75" w:rsidP="006D6B49">
            <w:pPr>
              <w:spacing w:line="240" w:lineRule="auto"/>
              <w:jc w:val="center"/>
              <w:rPr>
                <w:rFonts w:ascii="Palatino Linotype" w:hAnsi="Palatino Linotype" w:cs="Arial"/>
              </w:rPr>
            </w:pPr>
            <w:r w:rsidRPr="00D66245">
              <w:rPr>
                <w:rFonts w:ascii="Palatino Linotype" w:hAnsi="Palatino Linotype" w:cs="Arial"/>
                <w:b/>
                <w:bCs/>
                <w:lang w:val="es-CR"/>
              </w:rPr>
              <w:t>Tipo agravio</w:t>
            </w:r>
          </w:p>
        </w:tc>
        <w:tc>
          <w:tcPr>
            <w:tcW w:w="1842" w:type="dxa"/>
            <w:shd w:val="clear" w:color="auto" w:fill="FFFFFF" w:themeFill="background1"/>
            <w:tcMar>
              <w:top w:w="72" w:type="dxa"/>
              <w:left w:w="144" w:type="dxa"/>
              <w:bottom w:w="72" w:type="dxa"/>
              <w:right w:w="144" w:type="dxa"/>
            </w:tcMar>
            <w:hideMark/>
          </w:tcPr>
          <w:p w14:paraId="569FAE2B" w14:textId="77777777" w:rsidR="000B2F75" w:rsidRPr="00D66245" w:rsidRDefault="000B2F75" w:rsidP="006D6B49">
            <w:pPr>
              <w:spacing w:line="240" w:lineRule="auto"/>
              <w:jc w:val="center"/>
              <w:rPr>
                <w:rFonts w:ascii="Palatino Linotype" w:hAnsi="Palatino Linotype" w:cs="Arial"/>
              </w:rPr>
            </w:pPr>
            <w:r w:rsidRPr="00D66245">
              <w:rPr>
                <w:rFonts w:ascii="Palatino Linotype" w:hAnsi="Palatino Linotype" w:cs="Arial"/>
                <w:b/>
                <w:bCs/>
                <w:lang w:val="es-CR"/>
              </w:rPr>
              <w:t>Norma/efecto</w:t>
            </w:r>
          </w:p>
        </w:tc>
      </w:tr>
      <w:tr w:rsidR="000B2F75" w:rsidRPr="00D66245" w14:paraId="3189456E" w14:textId="77777777" w:rsidTr="00D141D3">
        <w:trPr>
          <w:trHeight w:val="963"/>
        </w:trPr>
        <w:tc>
          <w:tcPr>
            <w:tcW w:w="1640" w:type="dxa"/>
            <w:shd w:val="clear" w:color="auto" w:fill="FFFFFF" w:themeFill="background1"/>
            <w:tcMar>
              <w:top w:w="72" w:type="dxa"/>
              <w:left w:w="144" w:type="dxa"/>
              <w:bottom w:w="72" w:type="dxa"/>
              <w:right w:w="144" w:type="dxa"/>
            </w:tcMar>
            <w:hideMark/>
          </w:tcPr>
          <w:p w14:paraId="08A22BD3"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Denegación de prueba admisible</w:t>
            </w:r>
          </w:p>
        </w:tc>
        <w:tc>
          <w:tcPr>
            <w:tcW w:w="2259" w:type="dxa"/>
            <w:shd w:val="clear" w:color="auto" w:fill="FFFFFF" w:themeFill="background1"/>
            <w:tcMar>
              <w:top w:w="72" w:type="dxa"/>
              <w:left w:w="144" w:type="dxa"/>
              <w:bottom w:w="72" w:type="dxa"/>
              <w:right w:w="144" w:type="dxa"/>
            </w:tcMar>
            <w:hideMark/>
          </w:tcPr>
          <w:p w14:paraId="5077FB8B"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Debido proceso</w:t>
            </w:r>
          </w:p>
        </w:tc>
        <w:tc>
          <w:tcPr>
            <w:tcW w:w="1625" w:type="dxa"/>
            <w:shd w:val="clear" w:color="auto" w:fill="FFFFFF" w:themeFill="background1"/>
            <w:tcMar>
              <w:top w:w="72" w:type="dxa"/>
              <w:left w:w="144" w:type="dxa"/>
              <w:bottom w:w="72" w:type="dxa"/>
              <w:right w:w="144" w:type="dxa"/>
            </w:tcMar>
            <w:hideMark/>
          </w:tcPr>
          <w:p w14:paraId="25F9DEB0"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procesal</w:t>
            </w:r>
          </w:p>
        </w:tc>
        <w:tc>
          <w:tcPr>
            <w:tcW w:w="1842" w:type="dxa"/>
            <w:shd w:val="clear" w:color="auto" w:fill="FFFFFF" w:themeFill="background1"/>
            <w:tcMar>
              <w:top w:w="72" w:type="dxa"/>
              <w:left w:w="144" w:type="dxa"/>
              <w:bottom w:w="72" w:type="dxa"/>
              <w:right w:w="144" w:type="dxa"/>
            </w:tcMar>
            <w:hideMark/>
          </w:tcPr>
          <w:p w14:paraId="7DE0BB95"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137 b. Reenvío</w:t>
            </w:r>
          </w:p>
        </w:tc>
      </w:tr>
      <w:tr w:rsidR="000B2F75" w:rsidRPr="00D66245" w14:paraId="055C9330" w14:textId="77777777" w:rsidTr="00D141D3">
        <w:trPr>
          <w:trHeight w:val="963"/>
        </w:trPr>
        <w:tc>
          <w:tcPr>
            <w:tcW w:w="1640" w:type="dxa"/>
            <w:shd w:val="clear" w:color="auto" w:fill="FFFFFF" w:themeFill="background1"/>
            <w:tcMar>
              <w:top w:w="72" w:type="dxa"/>
              <w:left w:w="144" w:type="dxa"/>
              <w:bottom w:w="72" w:type="dxa"/>
              <w:right w:w="144" w:type="dxa"/>
            </w:tcMar>
            <w:hideMark/>
          </w:tcPr>
          <w:p w14:paraId="7A396200"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Admisión de prueba inadmisible</w:t>
            </w:r>
          </w:p>
        </w:tc>
        <w:tc>
          <w:tcPr>
            <w:tcW w:w="2259" w:type="dxa"/>
            <w:shd w:val="clear" w:color="auto" w:fill="FFFFFF" w:themeFill="background1"/>
            <w:tcMar>
              <w:top w:w="72" w:type="dxa"/>
              <w:left w:w="144" w:type="dxa"/>
              <w:bottom w:w="72" w:type="dxa"/>
              <w:right w:w="144" w:type="dxa"/>
            </w:tcMar>
            <w:hideMark/>
          </w:tcPr>
          <w:p w14:paraId="0671A06D"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Debido proceso/indefensión</w:t>
            </w:r>
          </w:p>
        </w:tc>
        <w:tc>
          <w:tcPr>
            <w:tcW w:w="1625" w:type="dxa"/>
            <w:shd w:val="clear" w:color="auto" w:fill="FFFFFF" w:themeFill="background1"/>
            <w:tcMar>
              <w:top w:w="72" w:type="dxa"/>
              <w:left w:w="144" w:type="dxa"/>
              <w:bottom w:w="72" w:type="dxa"/>
              <w:right w:w="144" w:type="dxa"/>
            </w:tcMar>
            <w:hideMark/>
          </w:tcPr>
          <w:p w14:paraId="502423FA"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procesal</w:t>
            </w:r>
          </w:p>
        </w:tc>
        <w:tc>
          <w:tcPr>
            <w:tcW w:w="1842" w:type="dxa"/>
            <w:shd w:val="clear" w:color="auto" w:fill="FFFFFF" w:themeFill="background1"/>
            <w:tcMar>
              <w:top w:w="72" w:type="dxa"/>
              <w:left w:w="144" w:type="dxa"/>
              <w:bottom w:w="72" w:type="dxa"/>
              <w:right w:w="144" w:type="dxa"/>
            </w:tcMar>
            <w:hideMark/>
          </w:tcPr>
          <w:p w14:paraId="1585185F"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 xml:space="preserve">137.c </w:t>
            </w:r>
          </w:p>
          <w:p w14:paraId="2E04B33A"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Reenvío</w:t>
            </w:r>
          </w:p>
        </w:tc>
      </w:tr>
      <w:tr w:rsidR="000B2F75" w:rsidRPr="00D66245" w14:paraId="0ED85AA1" w14:textId="77777777" w:rsidTr="00D141D3">
        <w:trPr>
          <w:trHeight w:val="963"/>
        </w:trPr>
        <w:tc>
          <w:tcPr>
            <w:tcW w:w="1640" w:type="dxa"/>
            <w:shd w:val="clear" w:color="auto" w:fill="FFFFFF" w:themeFill="background1"/>
            <w:tcMar>
              <w:top w:w="72" w:type="dxa"/>
              <w:left w:w="144" w:type="dxa"/>
              <w:bottom w:w="72" w:type="dxa"/>
              <w:right w:w="144" w:type="dxa"/>
            </w:tcMar>
            <w:hideMark/>
          </w:tcPr>
          <w:p w14:paraId="4B87471E"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Preterición de prueba</w:t>
            </w:r>
          </w:p>
        </w:tc>
        <w:tc>
          <w:tcPr>
            <w:tcW w:w="2259" w:type="dxa"/>
            <w:shd w:val="clear" w:color="auto" w:fill="FFFFFF" w:themeFill="background1"/>
            <w:tcMar>
              <w:top w:w="72" w:type="dxa"/>
              <w:left w:w="144" w:type="dxa"/>
              <w:bottom w:w="72" w:type="dxa"/>
              <w:right w:w="144" w:type="dxa"/>
            </w:tcMar>
            <w:hideMark/>
          </w:tcPr>
          <w:p w14:paraId="1FC029F5"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Sana crítica</w:t>
            </w:r>
          </w:p>
        </w:tc>
        <w:tc>
          <w:tcPr>
            <w:tcW w:w="1625" w:type="dxa"/>
            <w:shd w:val="clear" w:color="auto" w:fill="FFFFFF" w:themeFill="background1"/>
            <w:tcMar>
              <w:top w:w="72" w:type="dxa"/>
              <w:left w:w="144" w:type="dxa"/>
              <w:bottom w:w="72" w:type="dxa"/>
              <w:right w:w="144" w:type="dxa"/>
            </w:tcMar>
            <w:hideMark/>
          </w:tcPr>
          <w:p w14:paraId="2A16709A"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Violación indirecta</w:t>
            </w:r>
          </w:p>
        </w:tc>
        <w:tc>
          <w:tcPr>
            <w:tcW w:w="1842" w:type="dxa"/>
            <w:shd w:val="clear" w:color="auto" w:fill="FFFFFF" w:themeFill="background1"/>
            <w:tcMar>
              <w:top w:w="72" w:type="dxa"/>
              <w:left w:w="144" w:type="dxa"/>
              <w:bottom w:w="72" w:type="dxa"/>
              <w:right w:w="144" w:type="dxa"/>
            </w:tcMar>
            <w:hideMark/>
          </w:tcPr>
          <w:p w14:paraId="39EA7A32"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138.a</w:t>
            </w:r>
          </w:p>
          <w:p w14:paraId="735E971E"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Fondo</w:t>
            </w:r>
          </w:p>
        </w:tc>
      </w:tr>
      <w:tr w:rsidR="000B2F75" w:rsidRPr="00D66245" w14:paraId="4C4F2592" w14:textId="77777777" w:rsidTr="00D141D3">
        <w:trPr>
          <w:trHeight w:val="1376"/>
        </w:trPr>
        <w:tc>
          <w:tcPr>
            <w:tcW w:w="1640" w:type="dxa"/>
            <w:shd w:val="clear" w:color="auto" w:fill="FFFFFF" w:themeFill="background1"/>
            <w:tcMar>
              <w:top w:w="72" w:type="dxa"/>
              <w:left w:w="144" w:type="dxa"/>
              <w:bottom w:w="72" w:type="dxa"/>
              <w:right w:w="144" w:type="dxa"/>
            </w:tcMar>
            <w:hideMark/>
          </w:tcPr>
          <w:p w14:paraId="1D19885D"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Indebida valoración</w:t>
            </w:r>
          </w:p>
        </w:tc>
        <w:tc>
          <w:tcPr>
            <w:tcW w:w="2259" w:type="dxa"/>
            <w:shd w:val="clear" w:color="auto" w:fill="FFFFFF" w:themeFill="background1"/>
            <w:tcMar>
              <w:top w:w="72" w:type="dxa"/>
              <w:left w:w="144" w:type="dxa"/>
              <w:bottom w:w="72" w:type="dxa"/>
              <w:right w:w="144" w:type="dxa"/>
            </w:tcMar>
            <w:hideMark/>
          </w:tcPr>
          <w:p w14:paraId="77912243"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Sana crítica</w:t>
            </w:r>
          </w:p>
        </w:tc>
        <w:tc>
          <w:tcPr>
            <w:tcW w:w="1625" w:type="dxa"/>
            <w:shd w:val="clear" w:color="auto" w:fill="FFFFFF" w:themeFill="background1"/>
            <w:tcMar>
              <w:top w:w="72" w:type="dxa"/>
              <w:left w:w="144" w:type="dxa"/>
              <w:bottom w:w="72" w:type="dxa"/>
              <w:right w:w="144" w:type="dxa"/>
            </w:tcMar>
            <w:hideMark/>
          </w:tcPr>
          <w:p w14:paraId="15DC5350"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Violación indirecta</w:t>
            </w:r>
          </w:p>
        </w:tc>
        <w:tc>
          <w:tcPr>
            <w:tcW w:w="1842" w:type="dxa"/>
            <w:shd w:val="clear" w:color="auto" w:fill="FFFFFF" w:themeFill="background1"/>
            <w:tcMar>
              <w:top w:w="72" w:type="dxa"/>
              <w:left w:w="144" w:type="dxa"/>
              <w:bottom w:w="72" w:type="dxa"/>
              <w:right w:w="144" w:type="dxa"/>
            </w:tcMar>
            <w:hideMark/>
          </w:tcPr>
          <w:p w14:paraId="4074D7FD"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138.a; 41.5 NCPC, 82 CPCA</w:t>
            </w:r>
          </w:p>
          <w:p w14:paraId="5D8EDA07"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Fondo</w:t>
            </w:r>
          </w:p>
        </w:tc>
      </w:tr>
      <w:tr w:rsidR="000B2F75" w:rsidRPr="00D66245" w14:paraId="02BA4DEA" w14:textId="77777777" w:rsidTr="00D141D3">
        <w:trPr>
          <w:trHeight w:val="1376"/>
        </w:trPr>
        <w:tc>
          <w:tcPr>
            <w:tcW w:w="1640" w:type="dxa"/>
            <w:shd w:val="clear" w:color="auto" w:fill="FFFFFF" w:themeFill="background1"/>
            <w:tcMar>
              <w:top w:w="72" w:type="dxa"/>
              <w:left w:w="144" w:type="dxa"/>
              <w:bottom w:w="72" w:type="dxa"/>
              <w:right w:w="144" w:type="dxa"/>
            </w:tcMar>
            <w:hideMark/>
          </w:tcPr>
          <w:p w14:paraId="13612284"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Ejercicio indebido de PMP</w:t>
            </w:r>
          </w:p>
        </w:tc>
        <w:tc>
          <w:tcPr>
            <w:tcW w:w="2259" w:type="dxa"/>
            <w:shd w:val="clear" w:color="auto" w:fill="FFFFFF" w:themeFill="background1"/>
            <w:tcMar>
              <w:top w:w="72" w:type="dxa"/>
              <w:left w:w="144" w:type="dxa"/>
              <w:bottom w:w="72" w:type="dxa"/>
              <w:right w:w="144" w:type="dxa"/>
            </w:tcMar>
            <w:hideMark/>
          </w:tcPr>
          <w:p w14:paraId="1075D894"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Debido proceso/indefensión</w:t>
            </w:r>
          </w:p>
        </w:tc>
        <w:tc>
          <w:tcPr>
            <w:tcW w:w="1625" w:type="dxa"/>
            <w:shd w:val="clear" w:color="auto" w:fill="FFFFFF" w:themeFill="background1"/>
            <w:tcMar>
              <w:top w:w="72" w:type="dxa"/>
              <w:left w:w="144" w:type="dxa"/>
              <w:bottom w:w="72" w:type="dxa"/>
              <w:right w:w="144" w:type="dxa"/>
            </w:tcMar>
            <w:hideMark/>
          </w:tcPr>
          <w:p w14:paraId="14026934"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Violación indirecta/</w:t>
            </w:r>
          </w:p>
          <w:p w14:paraId="3B8AB5A6"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Procesal</w:t>
            </w:r>
          </w:p>
        </w:tc>
        <w:tc>
          <w:tcPr>
            <w:tcW w:w="1842" w:type="dxa"/>
            <w:shd w:val="clear" w:color="auto" w:fill="FFFFFF" w:themeFill="background1"/>
            <w:tcMar>
              <w:top w:w="72" w:type="dxa"/>
              <w:left w:w="144" w:type="dxa"/>
              <w:bottom w:w="72" w:type="dxa"/>
              <w:right w:w="144" w:type="dxa"/>
            </w:tcMar>
            <w:hideMark/>
          </w:tcPr>
          <w:p w14:paraId="53677F44"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137.b, c</w:t>
            </w:r>
          </w:p>
          <w:p w14:paraId="448A2500"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Reenvío o fondo</w:t>
            </w:r>
          </w:p>
        </w:tc>
      </w:tr>
      <w:tr w:rsidR="000B2F75" w:rsidRPr="00D66245" w14:paraId="2D5CFBD3" w14:textId="77777777" w:rsidTr="00D141D3">
        <w:trPr>
          <w:trHeight w:val="963"/>
        </w:trPr>
        <w:tc>
          <w:tcPr>
            <w:tcW w:w="1640" w:type="dxa"/>
            <w:shd w:val="clear" w:color="auto" w:fill="FFFFFF" w:themeFill="background1"/>
            <w:tcMar>
              <w:top w:w="72" w:type="dxa"/>
              <w:left w:w="144" w:type="dxa"/>
              <w:bottom w:w="72" w:type="dxa"/>
              <w:right w:w="144" w:type="dxa"/>
            </w:tcMar>
            <w:hideMark/>
          </w:tcPr>
          <w:p w14:paraId="404BC67A"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Negación valor probatorio</w:t>
            </w:r>
          </w:p>
        </w:tc>
        <w:tc>
          <w:tcPr>
            <w:tcW w:w="2259" w:type="dxa"/>
            <w:shd w:val="clear" w:color="auto" w:fill="FFFFFF" w:themeFill="background1"/>
            <w:tcMar>
              <w:top w:w="72" w:type="dxa"/>
              <w:left w:w="144" w:type="dxa"/>
              <w:bottom w:w="72" w:type="dxa"/>
              <w:right w:w="144" w:type="dxa"/>
            </w:tcMar>
            <w:hideMark/>
          </w:tcPr>
          <w:p w14:paraId="360A0034"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Sana crítica</w:t>
            </w:r>
          </w:p>
        </w:tc>
        <w:tc>
          <w:tcPr>
            <w:tcW w:w="1625" w:type="dxa"/>
            <w:shd w:val="clear" w:color="auto" w:fill="FFFFFF" w:themeFill="background1"/>
            <w:tcMar>
              <w:top w:w="72" w:type="dxa"/>
              <w:left w:w="144" w:type="dxa"/>
              <w:bottom w:w="72" w:type="dxa"/>
              <w:right w:w="144" w:type="dxa"/>
            </w:tcMar>
            <w:hideMark/>
          </w:tcPr>
          <w:p w14:paraId="38B6991E"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Violación indirecta</w:t>
            </w:r>
          </w:p>
        </w:tc>
        <w:tc>
          <w:tcPr>
            <w:tcW w:w="1842" w:type="dxa"/>
            <w:shd w:val="clear" w:color="auto" w:fill="FFFFFF" w:themeFill="background1"/>
            <w:tcMar>
              <w:top w:w="72" w:type="dxa"/>
              <w:left w:w="144" w:type="dxa"/>
              <w:bottom w:w="72" w:type="dxa"/>
              <w:right w:w="144" w:type="dxa"/>
            </w:tcMar>
            <w:hideMark/>
          </w:tcPr>
          <w:p w14:paraId="501CDFA6"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138 a, b.</w:t>
            </w:r>
          </w:p>
          <w:p w14:paraId="7EBCD5A4" w14:textId="77777777" w:rsidR="000B2F75" w:rsidRPr="00D66245" w:rsidRDefault="000B2F75" w:rsidP="006D6B49">
            <w:pPr>
              <w:spacing w:line="240" w:lineRule="auto"/>
              <w:jc w:val="both"/>
              <w:rPr>
                <w:rFonts w:ascii="Palatino Linotype" w:hAnsi="Palatino Linotype" w:cs="Arial"/>
              </w:rPr>
            </w:pPr>
            <w:r w:rsidRPr="00D66245">
              <w:rPr>
                <w:rFonts w:ascii="Palatino Linotype" w:hAnsi="Palatino Linotype" w:cs="Arial"/>
                <w:lang w:val="es-CR"/>
              </w:rPr>
              <w:t>Fondo</w:t>
            </w:r>
          </w:p>
        </w:tc>
      </w:tr>
    </w:tbl>
    <w:p w14:paraId="6335A23F" w14:textId="77777777" w:rsidR="000B2F75" w:rsidRPr="00D66245" w:rsidRDefault="000B2F75" w:rsidP="000B2F75">
      <w:pPr>
        <w:spacing w:line="240" w:lineRule="auto"/>
        <w:jc w:val="both"/>
        <w:rPr>
          <w:rFonts w:ascii="Palatino Linotype" w:hAnsi="Palatino Linotype" w:cs="Arial"/>
          <w:lang w:val="es-CR"/>
        </w:rPr>
      </w:pPr>
    </w:p>
    <w:p w14:paraId="480546FC" w14:textId="77777777" w:rsidR="00DC6396" w:rsidRDefault="000B2F75" w:rsidP="000B2F75">
      <w:pPr>
        <w:spacing w:before="120" w:after="200"/>
        <w:jc w:val="both"/>
        <w:rPr>
          <w:rFonts w:ascii="Palatino Linotype" w:hAnsi="Palatino Linotype" w:cs="Arial"/>
        </w:rPr>
      </w:pPr>
      <w:r w:rsidRPr="00D66245">
        <w:rPr>
          <w:rFonts w:ascii="Palatino Linotype" w:hAnsi="Palatino Linotype" w:cs="Arial"/>
        </w:rPr>
        <w:t>Quedan a disposición las líneas compartidas, como base de discusión sobre estos temas tratados, sobre la relevante implicación de la prueba dentro del proceso contencioso administrativo, con algún detalle de las implicaciones que la Ley No. 9342 (NCPC) genera en esta dinámica procesal, por historia, complementada en gran parte, con las regulaciones de la normativa procesal civil.</w:t>
      </w:r>
    </w:p>
    <w:p w14:paraId="2D592736" w14:textId="77777777" w:rsidR="00BC4AB5" w:rsidRDefault="00BC4AB5" w:rsidP="000B2F75">
      <w:pPr>
        <w:spacing w:before="120" w:after="200"/>
        <w:jc w:val="both"/>
        <w:rPr>
          <w:rFonts w:ascii="Palatino Linotype" w:hAnsi="Palatino Linotype" w:cs="Arial"/>
        </w:rPr>
      </w:pPr>
    </w:p>
    <w:p w14:paraId="12A0EDCF" w14:textId="77777777" w:rsidR="00BC4AB5" w:rsidRDefault="00BC4AB5" w:rsidP="000B2F75">
      <w:pPr>
        <w:spacing w:before="120" w:after="200"/>
        <w:jc w:val="both"/>
        <w:rPr>
          <w:rFonts w:ascii="Palatino Linotype" w:hAnsi="Palatino Linotype" w:cs="Arial"/>
        </w:rPr>
      </w:pPr>
    </w:p>
    <w:p w14:paraId="3B8BB5EC" w14:textId="77777777" w:rsidR="00BC4AB5" w:rsidRDefault="00BC4AB5" w:rsidP="00E66130">
      <w:pPr>
        <w:pStyle w:val="Ttulo3"/>
        <w:spacing w:before="120" w:after="200"/>
        <w:jc w:val="center"/>
        <w:rPr>
          <w:rFonts w:ascii="Palatino Linotype" w:hAnsi="Palatino Linotype"/>
          <w:b/>
          <w:color w:val="auto"/>
          <w:sz w:val="22"/>
          <w:szCs w:val="22"/>
          <w:lang w:val="es-ES_tradnl"/>
        </w:rPr>
        <w:sectPr w:rsidR="00BC4AB5" w:rsidSect="00132111">
          <w:headerReference w:type="even" r:id="rId57"/>
          <w:type w:val="oddPage"/>
          <w:pgSz w:w="12242" w:h="15842" w:code="1"/>
          <w:pgMar w:top="1474" w:right="2098" w:bottom="1021" w:left="2778" w:header="851" w:footer="2835" w:gutter="0"/>
          <w:cols w:space="708"/>
          <w:titlePg/>
          <w:docGrid w:linePitch="360"/>
        </w:sectPr>
      </w:pPr>
      <w:bookmarkStart w:id="59" w:name="_Hlk8652429"/>
      <w:bookmarkStart w:id="60" w:name="_Toc490818928"/>
    </w:p>
    <w:p w14:paraId="146ACDD8" w14:textId="77777777" w:rsidR="00BC4AB5" w:rsidRDefault="00BC4AB5" w:rsidP="00E66130">
      <w:pPr>
        <w:pStyle w:val="Ttulo3"/>
        <w:spacing w:before="120" w:after="200"/>
        <w:jc w:val="center"/>
        <w:rPr>
          <w:rFonts w:ascii="Palatino Linotype" w:hAnsi="Palatino Linotype"/>
          <w:b/>
          <w:color w:val="auto"/>
          <w:sz w:val="22"/>
          <w:szCs w:val="22"/>
          <w:lang w:val="es-ES_tradnl"/>
        </w:rPr>
      </w:pPr>
    </w:p>
    <w:p w14:paraId="4C638DC7" w14:textId="79CEFA72" w:rsidR="00E66130" w:rsidRPr="00D66245" w:rsidRDefault="00E66130" w:rsidP="00E66130">
      <w:pPr>
        <w:pStyle w:val="Ttulo3"/>
        <w:spacing w:before="120" w:after="200"/>
        <w:jc w:val="center"/>
        <w:rPr>
          <w:rFonts w:ascii="Palatino Linotype" w:hAnsi="Palatino Linotype"/>
          <w:b/>
          <w:i/>
          <w:color w:val="auto"/>
          <w:sz w:val="22"/>
          <w:szCs w:val="22"/>
          <w:lang w:val="es-ES_tradnl"/>
        </w:rPr>
      </w:pPr>
      <w:r w:rsidRPr="00D66245">
        <w:rPr>
          <w:rFonts w:ascii="Palatino Linotype" w:hAnsi="Palatino Linotype"/>
          <w:b/>
          <w:color w:val="auto"/>
          <w:sz w:val="22"/>
          <w:szCs w:val="22"/>
          <w:lang w:val="es-ES_tradnl"/>
        </w:rPr>
        <w:t>PRESUNCIONES Y FIGURAS NO PRESUNTIVAS EN EL DERECHO TRIBUTARIO COSTARRICENSE: UNA PRÁCTICA URGIDA DE TEORÍA</w:t>
      </w:r>
    </w:p>
    <w:p w14:paraId="2242E463" w14:textId="55966A0B" w:rsidR="00E66130" w:rsidRPr="00D66245" w:rsidRDefault="00E66130" w:rsidP="00E66130">
      <w:pPr>
        <w:pStyle w:val="Ttulo3"/>
        <w:spacing w:before="120" w:after="200"/>
        <w:jc w:val="both"/>
        <w:rPr>
          <w:rFonts w:ascii="Palatino Linotype" w:hAnsi="Palatino Linotype"/>
          <w:i/>
          <w:color w:val="auto"/>
          <w:sz w:val="22"/>
          <w:szCs w:val="22"/>
          <w:lang w:val="es-ES_tradnl"/>
        </w:rPr>
      </w:pPr>
      <w:r w:rsidRPr="00D66245">
        <w:rPr>
          <w:rFonts w:ascii="Palatino Linotype" w:hAnsi="Palatino Linotype"/>
          <w:b/>
          <w:color w:val="auto"/>
          <w:sz w:val="22"/>
          <w:szCs w:val="22"/>
          <w:lang w:val="es-ES_tradnl"/>
        </w:rPr>
        <w:tab/>
      </w:r>
      <w:r w:rsidRPr="00D66245">
        <w:rPr>
          <w:rFonts w:ascii="Palatino Linotype" w:hAnsi="Palatino Linotype"/>
          <w:b/>
          <w:color w:val="auto"/>
          <w:sz w:val="22"/>
          <w:szCs w:val="22"/>
          <w:lang w:val="es-ES_tradnl"/>
        </w:rPr>
        <w:tab/>
      </w:r>
      <w:r w:rsidRPr="00D66245">
        <w:rPr>
          <w:rFonts w:ascii="Palatino Linotype" w:hAnsi="Palatino Linotype"/>
          <w:b/>
          <w:color w:val="auto"/>
          <w:sz w:val="22"/>
          <w:szCs w:val="22"/>
          <w:lang w:val="es-ES_tradnl"/>
        </w:rPr>
        <w:tab/>
      </w:r>
      <w:r w:rsidRPr="00D66245">
        <w:rPr>
          <w:rFonts w:ascii="Palatino Linotype" w:hAnsi="Palatino Linotype"/>
          <w:b/>
          <w:color w:val="auto"/>
          <w:sz w:val="22"/>
          <w:szCs w:val="22"/>
          <w:lang w:val="es-ES_tradnl"/>
        </w:rPr>
        <w:tab/>
      </w:r>
      <w:r w:rsidRPr="00D66245">
        <w:rPr>
          <w:rFonts w:ascii="Palatino Linotype" w:hAnsi="Palatino Linotype"/>
          <w:b/>
          <w:color w:val="auto"/>
          <w:sz w:val="22"/>
          <w:szCs w:val="22"/>
          <w:lang w:val="es-ES_tradnl"/>
        </w:rPr>
        <w:tab/>
      </w:r>
      <w:r w:rsidRPr="00D66245">
        <w:rPr>
          <w:rFonts w:ascii="Palatino Linotype" w:hAnsi="Palatino Linotype"/>
          <w:b/>
          <w:color w:val="auto"/>
          <w:sz w:val="22"/>
          <w:szCs w:val="22"/>
          <w:lang w:val="es-ES_tradnl"/>
        </w:rPr>
        <w:tab/>
        <w:t>Adrián Torrealba Navas</w:t>
      </w:r>
      <w:bookmarkEnd w:id="59"/>
      <w:r w:rsidRPr="00D66245">
        <w:rPr>
          <w:rStyle w:val="Refdenotaalpie"/>
          <w:rFonts w:ascii="Palatino Linotype" w:hAnsi="Palatino Linotype"/>
          <w:i/>
          <w:color w:val="auto"/>
          <w:sz w:val="22"/>
          <w:szCs w:val="22"/>
          <w:lang w:val="es-ES_tradnl"/>
        </w:rPr>
        <w:footnoteReference w:id="206"/>
      </w:r>
    </w:p>
    <w:p w14:paraId="7B405C50" w14:textId="77777777" w:rsidR="00E66130" w:rsidRPr="00D66245" w:rsidRDefault="00E66130" w:rsidP="00E66130">
      <w:pPr>
        <w:spacing w:before="120" w:after="200"/>
        <w:rPr>
          <w:rFonts w:ascii="Palatino Linotype" w:hAnsi="Palatino Linotype"/>
          <w:b/>
          <w:lang w:val="es-ES_tradnl" w:eastAsia="es-ES"/>
        </w:rPr>
      </w:pPr>
      <w:r w:rsidRPr="00D66245">
        <w:rPr>
          <w:rFonts w:ascii="Palatino Linotype" w:hAnsi="Palatino Linotype"/>
          <w:lang w:val="es-ES_tradnl" w:eastAsia="es-ES"/>
        </w:rPr>
        <w:tab/>
      </w:r>
      <w:r w:rsidRPr="00D66245">
        <w:rPr>
          <w:rFonts w:ascii="Palatino Linotype" w:hAnsi="Palatino Linotype"/>
          <w:lang w:val="es-ES_tradnl" w:eastAsia="es-ES"/>
        </w:rPr>
        <w:tab/>
      </w:r>
      <w:r w:rsidRPr="00D66245">
        <w:rPr>
          <w:rFonts w:ascii="Palatino Linotype" w:hAnsi="Palatino Linotype"/>
          <w:lang w:val="es-ES_tradnl" w:eastAsia="es-ES"/>
        </w:rPr>
        <w:tab/>
      </w:r>
      <w:r w:rsidRPr="00D66245">
        <w:rPr>
          <w:rFonts w:ascii="Palatino Linotype" w:hAnsi="Palatino Linotype"/>
          <w:lang w:val="es-ES_tradnl" w:eastAsia="es-ES"/>
        </w:rPr>
        <w:tab/>
      </w:r>
      <w:r w:rsidRPr="00D66245">
        <w:rPr>
          <w:rFonts w:ascii="Palatino Linotype" w:hAnsi="Palatino Linotype"/>
          <w:lang w:val="es-ES_tradnl" w:eastAsia="es-ES"/>
        </w:rPr>
        <w:tab/>
      </w:r>
      <w:r w:rsidRPr="00D66245">
        <w:rPr>
          <w:rFonts w:ascii="Palatino Linotype" w:hAnsi="Palatino Linotype"/>
          <w:b/>
          <w:lang w:val="es-ES_tradnl" w:eastAsia="es-ES"/>
        </w:rPr>
        <w:t>SUMARIO</w:t>
      </w:r>
    </w:p>
    <w:p w14:paraId="6F226BA9" w14:textId="77777777" w:rsidR="00E66130" w:rsidRPr="00D66245" w:rsidRDefault="00E66130" w:rsidP="00E66130">
      <w:pPr>
        <w:spacing w:before="120" w:after="200"/>
        <w:ind w:left="708"/>
        <w:jc w:val="both"/>
        <w:rPr>
          <w:rFonts w:ascii="Palatino Linotype" w:hAnsi="Palatino Linotype"/>
          <w:b/>
        </w:rPr>
      </w:pPr>
      <w:r w:rsidRPr="00D66245">
        <w:rPr>
          <w:rFonts w:ascii="Palatino Linotype" w:hAnsi="Palatino Linotype"/>
          <w:lang w:val="es-ES_tradnl" w:eastAsia="es-ES"/>
        </w:rPr>
        <w:t xml:space="preserve">I. Teoría general de las figuras presuntivas en materia tributaria. 1.Concepto y distinción respecto de otras figuras no presuntivas. 1.1. Introducción. 1.2. Figuras no presuntivas. </w:t>
      </w:r>
      <w:r w:rsidRPr="00D66245">
        <w:rPr>
          <w:rFonts w:ascii="Palatino Linotype" w:hAnsi="Palatino Linotype"/>
          <w:lang w:val="es-ES_tradnl"/>
        </w:rPr>
        <w:t>1.3.Concepto general y concepto estricto de presunción. 2. Estructura de la presunción. 3. Naturaleza jurídica. 4. Finalidad de las presunciones. 5. Clases de presunción.</w:t>
      </w:r>
      <w:r w:rsidRPr="00D66245">
        <w:rPr>
          <w:rFonts w:ascii="Palatino Linotype" w:hAnsi="Palatino Linotype"/>
          <w:lang w:val="es-MX"/>
        </w:rPr>
        <w:t xml:space="preserve"> II. Casos: crónica de una práctica viciada.1.Casos relacionados con figuras no presuntivas. 1.1. Ficción vs. Presunción. 1.2. Confusión entre base presunta y la regla de valoración de precios de transferencia.</w:t>
      </w:r>
      <w:r w:rsidRPr="00D66245">
        <w:rPr>
          <w:rFonts w:ascii="Palatino Linotype" w:hAnsi="Palatino Linotype"/>
          <w:b/>
          <w:lang w:val="es-MX"/>
        </w:rPr>
        <w:t xml:space="preserve"> </w:t>
      </w:r>
      <w:r w:rsidRPr="00D66245">
        <w:rPr>
          <w:rFonts w:ascii="Palatino Linotype" w:hAnsi="Palatino Linotype"/>
          <w:lang w:val="es-MX"/>
        </w:rPr>
        <w:t xml:space="preserve">1.3.No reconocimiento del valor probatorio de una declaración-autoliquidación prescrita. 2.Casos presunciones. 2.1. Casos en que la Administración construye una presunción cuyo hecho base es reconocidamente -por la propia Administración- falso. </w:t>
      </w:r>
      <w:r w:rsidRPr="00D66245">
        <w:rPr>
          <w:rFonts w:ascii="Palatino Linotype" w:hAnsi="Palatino Linotype"/>
          <w:lang w:val="es-CR"/>
        </w:rPr>
        <w:t xml:space="preserve">2.2.Casos en que el nexo lógico es débil o inexistente y se le hace prevalecer aun contra prueba en contrario. </w:t>
      </w:r>
      <w:r w:rsidRPr="00D66245">
        <w:rPr>
          <w:rFonts w:ascii="Palatino Linotype" w:hAnsi="Palatino Linotype"/>
        </w:rPr>
        <w:t>2.3.La prueba directa o indirecta en contrario.</w:t>
      </w:r>
    </w:p>
    <w:p w14:paraId="16892350" w14:textId="77777777" w:rsidR="00E66130" w:rsidRPr="00D66245" w:rsidRDefault="00E66130" w:rsidP="00E66130">
      <w:pPr>
        <w:spacing w:before="120" w:after="200" w:line="240" w:lineRule="auto"/>
        <w:jc w:val="both"/>
        <w:rPr>
          <w:rFonts w:ascii="Palatino Linotype" w:hAnsi="Palatino Linotype"/>
          <w:lang w:val="es-CR"/>
        </w:rPr>
      </w:pPr>
    </w:p>
    <w:p w14:paraId="261C83B7" w14:textId="77777777" w:rsidR="00E66130" w:rsidRPr="00D66245" w:rsidRDefault="00E66130" w:rsidP="00E66130">
      <w:pPr>
        <w:pStyle w:val="Ttulo3"/>
        <w:spacing w:before="120" w:after="200"/>
        <w:jc w:val="both"/>
        <w:rPr>
          <w:rFonts w:ascii="Palatino Linotype" w:hAnsi="Palatino Linotype"/>
          <w:i/>
          <w:color w:val="auto"/>
          <w:sz w:val="22"/>
          <w:szCs w:val="22"/>
          <w:lang w:val="es-ES_tradnl"/>
        </w:rPr>
      </w:pPr>
      <w:r w:rsidRPr="00D66245">
        <w:rPr>
          <w:rFonts w:ascii="Palatino Linotype" w:hAnsi="Palatino Linotype"/>
          <w:color w:val="auto"/>
          <w:sz w:val="22"/>
          <w:szCs w:val="22"/>
          <w:lang w:val="es-ES_tradnl"/>
        </w:rPr>
        <w:t>I.Teoría general de las figuras presuntivas</w:t>
      </w:r>
      <w:bookmarkEnd w:id="60"/>
      <w:r w:rsidRPr="00D66245">
        <w:rPr>
          <w:rFonts w:ascii="Palatino Linotype" w:hAnsi="Palatino Linotype"/>
          <w:color w:val="auto"/>
          <w:sz w:val="22"/>
          <w:szCs w:val="22"/>
          <w:lang w:val="es-ES_tradnl"/>
        </w:rPr>
        <w:t xml:space="preserve"> en materia tributaria</w:t>
      </w:r>
    </w:p>
    <w:p w14:paraId="2EF5BA2E" w14:textId="77777777" w:rsidR="00E66130" w:rsidRPr="00BC4AB5" w:rsidRDefault="00E66130" w:rsidP="00E66130">
      <w:pPr>
        <w:pStyle w:val="Ttulo4"/>
        <w:spacing w:before="120" w:after="200"/>
        <w:jc w:val="both"/>
        <w:rPr>
          <w:rFonts w:ascii="Palatino Linotype" w:hAnsi="Palatino Linotype"/>
          <w:b/>
          <w:color w:val="auto"/>
          <w:lang w:val="es-ES_tradnl"/>
        </w:rPr>
      </w:pPr>
      <w:bookmarkStart w:id="61" w:name="_Toc490818929"/>
      <w:r w:rsidRPr="00BC4AB5">
        <w:rPr>
          <w:rFonts w:ascii="Palatino Linotype" w:hAnsi="Palatino Linotype"/>
          <w:b/>
          <w:color w:val="auto"/>
          <w:lang w:val="es-ES_tradnl"/>
        </w:rPr>
        <w:t>1. Concepto</w:t>
      </w:r>
      <w:bookmarkEnd w:id="61"/>
      <w:r w:rsidRPr="00BC4AB5">
        <w:rPr>
          <w:rFonts w:ascii="Palatino Linotype" w:hAnsi="Palatino Linotype"/>
          <w:b/>
          <w:color w:val="auto"/>
          <w:lang w:val="es-ES_tradnl"/>
        </w:rPr>
        <w:t xml:space="preserve"> y distinción respecto de otras figuras no presuntivas</w:t>
      </w:r>
    </w:p>
    <w:p w14:paraId="23F4411E" w14:textId="77777777" w:rsidR="00E66130" w:rsidRPr="00D66245" w:rsidRDefault="00E66130" w:rsidP="00E66130">
      <w:pPr>
        <w:pStyle w:val="Prrafodelista"/>
        <w:numPr>
          <w:ilvl w:val="1"/>
          <w:numId w:val="34"/>
        </w:numPr>
        <w:spacing w:before="120" w:after="200" w:line="240" w:lineRule="auto"/>
        <w:ind w:right="74"/>
        <w:contextualSpacing w:val="0"/>
        <w:jc w:val="both"/>
        <w:rPr>
          <w:rFonts w:ascii="Palatino Linotype" w:hAnsi="Palatino Linotype"/>
          <w:b/>
          <w:lang w:val="es-ES_tradnl"/>
        </w:rPr>
      </w:pPr>
      <w:r w:rsidRPr="00D66245">
        <w:rPr>
          <w:rFonts w:ascii="Palatino Linotype" w:hAnsi="Palatino Linotype"/>
          <w:b/>
          <w:lang w:val="es-ES_tradnl"/>
        </w:rPr>
        <w:t>Introducción</w:t>
      </w:r>
    </w:p>
    <w:p w14:paraId="6C72DD89"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lang w:val="es-ES_tradnl"/>
        </w:rPr>
        <w:t>El uso del sustantivo "presunción" o del verbo "presumir", tanto en los textos normativos como en el mismo lenguaje científico, suele estar caracterizado por una buena dosis de imprecisión, llevando a confundir figuras de naturaleza diferente.</w:t>
      </w:r>
      <w:r w:rsidRPr="00D66245">
        <w:rPr>
          <w:rStyle w:val="Refdenotaalpie"/>
          <w:rFonts w:ascii="Palatino Linotype" w:hAnsi="Palatino Linotype"/>
          <w:vertAlign w:val="baseline"/>
          <w:lang w:val="es-ES_tradnl"/>
        </w:rPr>
        <w:footnoteReference w:id="207"/>
      </w:r>
      <w:r w:rsidRPr="00D66245">
        <w:rPr>
          <w:rFonts w:ascii="Palatino Linotype" w:hAnsi="Palatino Linotype"/>
          <w:lang w:val="es-ES_tradnl"/>
        </w:rPr>
        <w:t xml:space="preserve"> En esa dirección, la doctrina suele estar de acuerdo en que la verdadera presunción es aquella que opera en el campo del Derecho tributario formal y sirve para facilitar la acreditación del hecho generador o de la cuantía de las obligaciones tributarias, normalmente en circunstancias en que esa acreditación resulta difícil.  Asimismo, existen otras figuras afines que, si bien se diferencian de la presunción desde un punto de vista estructural, comparten con ésta su funcionalidad en el campo probatorio y, en consecuencia, tienen relevancia específica respecto de los procedimientos de aplicación de los tributos. En cambio, otras figuras, que disciplinan la regulación material del tributo, no deberían ser llamadas "presunciones". </w:t>
      </w:r>
    </w:p>
    <w:p w14:paraId="0DA9AF1C" w14:textId="77777777" w:rsidR="00E66130" w:rsidRPr="00D66245" w:rsidRDefault="00E66130" w:rsidP="00E66130">
      <w:pPr>
        <w:spacing w:before="120" w:after="200" w:line="240" w:lineRule="auto"/>
        <w:ind w:right="74"/>
        <w:jc w:val="both"/>
        <w:rPr>
          <w:rFonts w:ascii="Palatino Linotype" w:hAnsi="Palatino Linotype"/>
          <w:b/>
          <w:lang w:val="es-ES_tradnl"/>
        </w:rPr>
      </w:pPr>
      <w:r w:rsidRPr="00D66245">
        <w:rPr>
          <w:rFonts w:ascii="Palatino Linotype" w:hAnsi="Palatino Linotype"/>
          <w:b/>
          <w:lang w:val="es-ES_tradnl"/>
        </w:rPr>
        <w:t>1.2.Figuras no presuntivas</w:t>
      </w:r>
    </w:p>
    <w:p w14:paraId="41AF6CA9"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lang w:val="es-ES_tradnl"/>
        </w:rPr>
        <w:t xml:space="preserve">Resulta así importante distinguir las figuras presuntivas, que, como hemos dicho, por definición operan en el campo de la prueba, de otras figuras que, pese a presentar parecidos, operan fuera de este campo y, por el contrario, forman parte de la regulación material de los tributos.  Una consecuencia fundamental de esta distinción es que mientras que en el primer caso se abre todo el tema de la prueba en contrario, en el segundo tal prueba no procede. </w:t>
      </w:r>
    </w:p>
    <w:p w14:paraId="01E85EAC"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lang w:val="es-ES_tradnl"/>
        </w:rPr>
        <w:t>También encontramos figuras que, si bien operan en el campo de la prueba, no son presunciones en sentido estricto sino, más bien, reglas de valor probatorio, como las que hemos visto en la sección 4.4 anterior y que, como veremos más adelante, solo podrían encuadrar en un concepto “general” de presunción.</w:t>
      </w:r>
    </w:p>
    <w:p w14:paraId="4A84A6B4" w14:textId="77777777" w:rsidR="00E66130" w:rsidRPr="00D66245" w:rsidRDefault="00E66130" w:rsidP="00E66130">
      <w:pPr>
        <w:spacing w:before="120" w:after="200" w:line="240" w:lineRule="auto"/>
        <w:ind w:right="74"/>
        <w:jc w:val="both"/>
        <w:rPr>
          <w:rFonts w:ascii="Palatino Linotype" w:hAnsi="Palatino Linotype"/>
          <w:spacing w:val="-3"/>
          <w:lang w:val="es-ES_tradnl"/>
        </w:rPr>
      </w:pPr>
      <w:r w:rsidRPr="00D66245">
        <w:rPr>
          <w:rFonts w:ascii="Palatino Linotype" w:hAnsi="Palatino Linotype"/>
          <w:lang w:val="es-ES_tradnl"/>
        </w:rPr>
        <w:t xml:space="preserve">Veamos, en primer lugar, el caso de las llamadas "ficciones". </w:t>
      </w:r>
      <w:r w:rsidRPr="00D66245">
        <w:rPr>
          <w:rFonts w:ascii="Palatino Linotype" w:hAnsi="Palatino Linotype"/>
          <w:spacing w:val="-3"/>
          <w:lang w:val="es-ES_tradnl"/>
        </w:rPr>
        <w:t>Siguiendo una clásica construcción de J.L. PEREZ DE AYALA</w:t>
      </w:r>
      <w:r w:rsidRPr="00D66245">
        <w:rPr>
          <w:rFonts w:ascii="Palatino Linotype" w:hAnsi="Palatino Linotype"/>
          <w:spacing w:val="-3"/>
          <w:vertAlign w:val="superscript"/>
          <w:lang w:val="es-ES_tradnl"/>
        </w:rPr>
        <w:footnoteReference w:id="208"/>
      </w:r>
      <w:r w:rsidRPr="00D66245">
        <w:rPr>
          <w:rFonts w:ascii="Palatino Linotype" w:hAnsi="Palatino Linotype"/>
          <w:spacing w:val="-3"/>
          <w:lang w:val="es-ES_tradnl"/>
        </w:rPr>
        <w:t xml:space="preserve">,  la doctrina suele identificar las ficciones jurídicas en el campo tributario como aquellas normas de Derecho material que operan según este esquema: dado un hecho conocido (A), la ley impone la certeza jurídica de un hecho desconocido (B); siendo este hecho (B) un hecho naturalmente improbable dado el hecho (A) y un hecho jurídico. Por ejemplo, dado el hecho de que existe una diferencia entre el valor declarado de un bien que se transmite y el comprobado administrativamente, se impone la certeza jurídica de que ha existido una </w:t>
      </w:r>
      <w:r w:rsidRPr="00D66245">
        <w:rPr>
          <w:rFonts w:ascii="Palatino Linotype" w:hAnsi="Palatino Linotype"/>
          <w:i/>
          <w:spacing w:val="-3"/>
          <w:lang w:val="es-ES_tradnl"/>
        </w:rPr>
        <w:t>donación</w:t>
      </w:r>
      <w:r w:rsidRPr="00D66245">
        <w:rPr>
          <w:rFonts w:ascii="Palatino Linotype" w:hAnsi="Palatino Linotype"/>
          <w:spacing w:val="-3"/>
          <w:lang w:val="es-ES_tradnl"/>
        </w:rPr>
        <w:t xml:space="preserve"> de monto equivalente a la diferencia, aunque sea improbable que en la realidad haya existido efectivamente una donación (como hecho jurídico).  Así, lo que sucede es que se remite el hecho real a la regulación jurídica del hecho ficto. </w:t>
      </w:r>
    </w:p>
    <w:p w14:paraId="5DFC2667"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lang w:val="es-ES_tradnl"/>
        </w:rPr>
        <w:t xml:space="preserve">Por otra parte, encontramos las llamadas normas definitorias. </w:t>
      </w:r>
      <w:r w:rsidRPr="00D66245">
        <w:rPr>
          <w:rFonts w:ascii="Palatino Linotype" w:hAnsi="Palatino Linotype"/>
          <w:spacing w:val="-3"/>
          <w:lang w:val="es-ES_tradnl"/>
        </w:rPr>
        <w:t>Estas son "aquellas mediante las que el legislador dota de un significado jurídico preciso y específico a alguno de los términos que utiliza en la configuración del ordenamiento jurídico."</w:t>
      </w:r>
      <w:r w:rsidRPr="00D66245">
        <w:rPr>
          <w:rFonts w:ascii="Palatino Linotype" w:hAnsi="Palatino Linotype"/>
          <w:i/>
          <w:spacing w:val="-3"/>
          <w:lang w:val="es-ES_tradnl"/>
        </w:rPr>
        <w:t xml:space="preserve"> </w:t>
      </w:r>
      <w:r w:rsidRPr="00D66245">
        <w:rPr>
          <w:rFonts w:ascii="Palatino Linotype" w:hAnsi="Palatino Linotype"/>
          <w:spacing w:val="-3"/>
          <w:lang w:val="es-ES_tradnl"/>
        </w:rPr>
        <w:t xml:space="preserve"> Se basa en la fórmula</w:t>
      </w:r>
      <w:r w:rsidRPr="00D66245">
        <w:rPr>
          <w:rFonts w:ascii="Palatino Linotype" w:hAnsi="Palatino Linotype"/>
          <w:i/>
          <w:spacing w:val="-3"/>
          <w:lang w:val="es-ES_tradnl"/>
        </w:rPr>
        <w:t xml:space="preserve"> </w:t>
      </w:r>
      <w:r w:rsidRPr="00D66245">
        <w:rPr>
          <w:rFonts w:ascii="Palatino Linotype" w:hAnsi="Palatino Linotype"/>
          <w:spacing w:val="-3"/>
          <w:lang w:val="es-ES_tradnl"/>
        </w:rPr>
        <w:t>"a efectos de lo dispuesto en esta ley, cada vez que sea utilizado el término X, deberá entenderse que se hace referencia a lo expresamente descrito en su definición."</w:t>
      </w:r>
      <w:r w:rsidRPr="00D66245">
        <w:rPr>
          <w:rFonts w:ascii="Palatino Linotype" w:hAnsi="Palatino Linotype"/>
          <w:lang w:val="es-ES_tradnl"/>
        </w:rPr>
        <w:t xml:space="preserve"> </w:t>
      </w:r>
      <w:r w:rsidRPr="00D66245">
        <w:rPr>
          <w:rFonts w:ascii="Palatino Linotype" w:hAnsi="Palatino Linotype"/>
          <w:vertAlign w:val="superscript"/>
          <w:lang w:val="es-ES_tradnl"/>
        </w:rPr>
        <w:footnoteReference w:id="209"/>
      </w:r>
      <w:r w:rsidRPr="00D66245">
        <w:rPr>
          <w:rFonts w:ascii="Palatino Linotype" w:hAnsi="Palatino Linotype"/>
          <w:lang w:val="es-ES_tradnl"/>
        </w:rPr>
        <w:t xml:space="preserve"> Así, por ejemplo, encuadra en el concepto indicado la definición de “renta disponible” que encontramos en el aun vigente artículo 16 de la Ley del Impuesto sobre la Renta y, luego de la reforma por Ley 9635 a esta Ley, en el artículo 27 ter</w:t>
      </w:r>
      <w:r w:rsidRPr="00D66245">
        <w:rPr>
          <w:rStyle w:val="Refdenotaalpie"/>
          <w:rFonts w:ascii="Palatino Linotype" w:hAnsi="Palatino Linotype"/>
          <w:lang w:val="es-ES_tradnl"/>
        </w:rPr>
        <w:footnoteReference w:id="210"/>
      </w:r>
      <w:r w:rsidRPr="00D66245">
        <w:rPr>
          <w:rFonts w:ascii="Palatino Linotype" w:hAnsi="Palatino Linotype"/>
          <w:lang w:val="es-ES_tradnl"/>
        </w:rPr>
        <w:t xml:space="preserve">.     </w:t>
      </w:r>
    </w:p>
    <w:p w14:paraId="2D5A1430" w14:textId="77777777" w:rsidR="00E66130" w:rsidRPr="00D66245" w:rsidRDefault="00E66130" w:rsidP="00E66130">
      <w:pPr>
        <w:spacing w:before="120" w:after="200" w:line="240" w:lineRule="auto"/>
        <w:ind w:right="74"/>
        <w:jc w:val="both"/>
        <w:rPr>
          <w:rFonts w:ascii="Palatino Linotype" w:hAnsi="Palatino Linotype"/>
          <w:spacing w:val="-3"/>
          <w:lang w:val="es-ES_tradnl"/>
        </w:rPr>
      </w:pPr>
      <w:r w:rsidRPr="00D66245">
        <w:rPr>
          <w:rFonts w:ascii="Palatino Linotype" w:hAnsi="Palatino Linotype"/>
          <w:lang w:val="es-ES_tradnl"/>
        </w:rPr>
        <w:t xml:space="preserve">Mencionamos también las llamadas reglas de valoración. </w:t>
      </w:r>
      <w:r w:rsidRPr="00D66245">
        <w:rPr>
          <w:rFonts w:ascii="Palatino Linotype" w:hAnsi="Palatino Linotype"/>
          <w:spacing w:val="-3"/>
          <w:lang w:val="es-ES_tradnl"/>
        </w:rPr>
        <w:t xml:space="preserve"> Como explica D. MARIN-BARNUEVO, este</w:t>
      </w:r>
      <w:r w:rsidRPr="00D66245">
        <w:rPr>
          <w:rFonts w:ascii="Palatino Linotype" w:hAnsi="Palatino Linotype"/>
          <w:i/>
          <w:spacing w:val="-3"/>
          <w:lang w:val="es-ES_tradnl"/>
        </w:rPr>
        <w:t xml:space="preserve"> </w:t>
      </w:r>
      <w:r w:rsidRPr="00D66245">
        <w:rPr>
          <w:rFonts w:ascii="Palatino Linotype" w:hAnsi="Palatino Linotype"/>
          <w:spacing w:val="-3"/>
          <w:lang w:val="es-ES_tradnl"/>
        </w:rPr>
        <w:t>“ tipo de normas se caracteriza por disponer el valor por el que determinados bienes o derechos deben ser computados en la base imponible a los efectos de la cuantificación de la obligación tributaria."</w:t>
      </w:r>
      <w:r w:rsidRPr="00D66245">
        <w:rPr>
          <w:rFonts w:ascii="Palatino Linotype" w:hAnsi="Palatino Linotype"/>
          <w:spacing w:val="-3"/>
          <w:vertAlign w:val="superscript"/>
          <w:lang w:val="es-ES_tradnl"/>
        </w:rPr>
        <w:footnoteReference w:id="211"/>
      </w:r>
      <w:r w:rsidRPr="00D66245">
        <w:rPr>
          <w:rFonts w:ascii="Palatino Linotype" w:hAnsi="Palatino Linotype"/>
          <w:b/>
          <w:spacing w:val="-3"/>
          <w:lang w:val="es-ES_tradnl"/>
        </w:rPr>
        <w:t xml:space="preserve">  </w:t>
      </w:r>
      <w:r w:rsidRPr="00D66245">
        <w:rPr>
          <w:rFonts w:ascii="Palatino Linotype" w:hAnsi="Palatino Linotype"/>
          <w:spacing w:val="-3"/>
          <w:lang w:val="es-ES_tradnl"/>
        </w:rPr>
        <w:t>Según ESEVERRI</w:t>
      </w:r>
      <w:r w:rsidRPr="00D66245">
        <w:rPr>
          <w:rFonts w:ascii="Palatino Linotype" w:hAnsi="Palatino Linotype"/>
          <w:spacing w:val="-3"/>
          <w:vertAlign w:val="superscript"/>
          <w:lang w:val="es-ES_tradnl"/>
        </w:rPr>
        <w:footnoteReference w:id="212"/>
      </w:r>
      <w:r w:rsidRPr="00D66245">
        <w:rPr>
          <w:rFonts w:ascii="Palatino Linotype" w:hAnsi="Palatino Linotype"/>
          <w:spacing w:val="-3"/>
          <w:lang w:val="es-ES_tradnl"/>
        </w:rPr>
        <w:t>, “frente al proceso de deducción lógica que toda presunción legal plantea entre el hecho base y hecho presumido y su inequívoca función como instrumento de prueba, y frente a la ficción jurídica que crea una verdad formal o aparente con la finalidad de evitar situaciones en fraude a la ley por lo que la norma que las crea se convierte en norma de obligada aplicación y cumplimiento, la valoración es una regla que se lleva a la norma jurídica para fijar la magnitud de un elemento tributario que no es posible cuantificarlo de forma diferente convirtiéndose en regla de obligado acatamiento....porque a través de la regla de valoración no se establecen verdades formales o apariencias jurídicas, sino que se determina el valor de un elemento relacionado con el hecho imponible del tributo"</w:t>
      </w:r>
      <w:r w:rsidRPr="00D66245">
        <w:rPr>
          <w:rFonts w:ascii="Palatino Linotype" w:hAnsi="Palatino Linotype"/>
          <w:lang w:val="es-ES_tradnl"/>
        </w:rPr>
        <w:t xml:space="preserve">. </w:t>
      </w:r>
    </w:p>
    <w:p w14:paraId="73C535F3" w14:textId="77777777" w:rsidR="00E66130" w:rsidRPr="00D66245" w:rsidRDefault="00E66130" w:rsidP="00E66130">
      <w:pPr>
        <w:spacing w:before="120" w:after="200" w:line="240" w:lineRule="auto"/>
        <w:ind w:right="74"/>
        <w:jc w:val="both"/>
        <w:rPr>
          <w:rFonts w:ascii="Palatino Linotype" w:hAnsi="Palatino Linotype"/>
        </w:rPr>
      </w:pPr>
      <w:r w:rsidRPr="00D66245">
        <w:rPr>
          <w:rFonts w:ascii="Palatino Linotype" w:hAnsi="Palatino Linotype"/>
          <w:lang w:val="es-ES_tradnl"/>
        </w:rPr>
        <w:t>El ejemplo clásico de las reglas de valoración lo constituye las normas de precios de transferencia, comunes en los impuestos sobre la renta de las sociedades.</w:t>
      </w:r>
      <w:r w:rsidRPr="00D66245">
        <w:rPr>
          <w:rStyle w:val="Refdenotaalpie"/>
          <w:rFonts w:ascii="Palatino Linotype" w:hAnsi="Palatino Linotype"/>
          <w:lang w:val="es-ES_tradnl"/>
        </w:rPr>
        <w:footnoteReference w:id="213"/>
      </w:r>
      <w:r w:rsidRPr="00D66245">
        <w:rPr>
          <w:rFonts w:ascii="Palatino Linotype" w:hAnsi="Palatino Linotype"/>
          <w:lang w:val="es-ES_tradnl"/>
        </w:rPr>
        <w:t xml:space="preserve"> </w:t>
      </w:r>
      <w:r w:rsidRPr="00D66245">
        <w:rPr>
          <w:rFonts w:ascii="Palatino Linotype" w:hAnsi="Palatino Linotype"/>
        </w:rPr>
        <w:t xml:space="preserve">Es esencial retener que una regla de valoración es un elemento de derecho material, que define la base imponible de un impuesto. Así, la base imponible en un impuesto puede estar definida, sea en términos del precio efectivo de transacción, sea en términos de un valor medio o normal de mercado entre partes independientes. O bien, la regulación puede prever un sistema mixto, en que solo algunas transacciones deban valorarse al valor normal de mercado, como es el caso específico de las normas mencionadas de precios de transferencia. La regla general en los impuestos sobre la renta es que la base imponible se construye según el </w:t>
      </w:r>
      <w:r w:rsidRPr="00D66245">
        <w:rPr>
          <w:rFonts w:ascii="Palatino Linotype" w:hAnsi="Palatino Linotype"/>
          <w:bCs/>
        </w:rPr>
        <w:t>precio efectivo de transacción</w:t>
      </w:r>
      <w:r w:rsidRPr="00D66245">
        <w:rPr>
          <w:rFonts w:ascii="Palatino Linotype" w:hAnsi="Palatino Linotype"/>
        </w:rPr>
        <w:t xml:space="preserve">.  Las normas de precios de transferencia regulan una base imponible alternativa para ciertos casos, el valor normal de mercado, que puede no coincidir con el precio efectivo de transacción. </w:t>
      </w:r>
      <w:r w:rsidRPr="00D66245">
        <w:rPr>
          <w:rFonts w:ascii="Palatino Linotype" w:hAnsi="Palatino Linotype"/>
          <w:b/>
        </w:rPr>
        <w:t xml:space="preserve"> </w:t>
      </w:r>
    </w:p>
    <w:p w14:paraId="6FB3942D"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rPr>
        <w:t xml:space="preserve">En el contexto de una regla de valoración como la indicada, se acepta la realidad de la transacción y su precio, pero se ajusta según un valor teórico o hipotético que hubieran pactado partes independientes (el llamado valor de libre competencia o de mercado). Como puede verse, frente a este tipo de reglas, carece de todo sentido la prueba en contrario al valor de libre competencia teniendo por objeto la prueba del precio real de transacción. </w:t>
      </w:r>
    </w:p>
    <w:p w14:paraId="57486793" w14:textId="77777777" w:rsidR="00E66130" w:rsidRPr="00D66245" w:rsidRDefault="00E66130" w:rsidP="00E66130">
      <w:pPr>
        <w:spacing w:before="120" w:after="200" w:line="240" w:lineRule="auto"/>
        <w:jc w:val="both"/>
        <w:rPr>
          <w:rFonts w:ascii="Palatino Linotype" w:hAnsi="Palatino Linotype"/>
          <w:bCs/>
        </w:rPr>
      </w:pPr>
      <w:r w:rsidRPr="00D66245">
        <w:rPr>
          <w:rFonts w:ascii="Palatino Linotype" w:hAnsi="Palatino Linotype"/>
          <w:bCs/>
        </w:rPr>
        <w:t xml:space="preserve">Las reglas de valor probatorio son aquellas que atribuyen un valor probatorio específico (tasado) a determinados medios de prueba, como serían las mal llamadas “presunciones de certeza de las declaraciones tributarias” y de “veracidad de las actas”.   </w:t>
      </w:r>
    </w:p>
    <w:p w14:paraId="0FBA5B88"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lang w:val="es-ES_tradnl"/>
        </w:rPr>
        <w:t>En cuanto a las primeras, no estamos ante una presunción en sentido estricto; antes bien, se trata de una norma de prueba legal, en su modalidad de regla sobre valor probatorio.  En esencia, atribuye a la declaración valor de certeza, en el sentido de que los hechos afirmados en ella se tienen como ciertos.</w:t>
      </w:r>
      <w:r w:rsidRPr="00D66245">
        <w:rPr>
          <w:rStyle w:val="Refdenotaalpie"/>
          <w:rFonts w:ascii="Palatino Linotype" w:hAnsi="Palatino Linotype"/>
          <w:lang w:val="es-ES_tradnl"/>
        </w:rPr>
        <w:footnoteReference w:id="214"/>
      </w:r>
      <w:r w:rsidRPr="00D66245">
        <w:rPr>
          <w:rFonts w:ascii="Palatino Linotype" w:hAnsi="Palatino Linotype"/>
          <w:lang w:val="es-ES_tradnl"/>
        </w:rPr>
        <w:t xml:space="preserve">  Esto no significa que no se pueda demostrar, por otros medios, que no lo son: desde el punto de vista de la Administración, esta dispone de todas las potestades de comprobación e investigación para recopilar prueba que demuestre la inexactitud de los hechos de la declaración; desde el punto de vista del declarante, según el régimen de corrección o rectificación de declaración que se siga, para revertir lo declarado puede bastar una declaración en contrario o, bien, solicitar la corrección a la Administración aportando prueba que contradiga suficientemente lo declarado.</w:t>
      </w:r>
      <w:r w:rsidRPr="00D66245">
        <w:rPr>
          <w:rStyle w:val="Refdenotaalpie"/>
          <w:rFonts w:ascii="Palatino Linotype" w:hAnsi="Palatino Linotype"/>
          <w:lang w:val="es-ES_tradnl"/>
        </w:rPr>
        <w:footnoteReference w:id="215"/>
      </w:r>
      <w:r w:rsidRPr="00D66245">
        <w:rPr>
          <w:rFonts w:ascii="Palatino Linotype" w:hAnsi="Palatino Linotype"/>
          <w:lang w:val="es-ES_tradnl"/>
        </w:rPr>
        <w:t xml:space="preserve"> </w:t>
      </w:r>
    </w:p>
    <w:p w14:paraId="7B561DCF" w14:textId="77777777" w:rsidR="00E66130" w:rsidRPr="00D66245" w:rsidRDefault="00E66130" w:rsidP="00E66130">
      <w:pPr>
        <w:spacing w:before="120" w:after="200" w:line="240" w:lineRule="auto"/>
        <w:jc w:val="both"/>
        <w:rPr>
          <w:rFonts w:ascii="Palatino Linotype" w:hAnsi="Palatino Linotype"/>
          <w:bCs/>
        </w:rPr>
      </w:pPr>
      <w:r w:rsidRPr="00D66245">
        <w:rPr>
          <w:rFonts w:ascii="Palatino Linotype" w:hAnsi="Palatino Linotype"/>
          <w:lang w:val="es-ES_tradnl"/>
        </w:rPr>
        <w:t>Así, la norma de valor probatorio lo que establece es que, en ausencia de actividad probatoria en contrario, lo establecido en la declaración se tiene por cierto, pero en modo alguno adquiere el valor de “plena prueba”, sino tan solo eficacia probatoria provisional, susceptible de ser rectificada por ulterior actividad probatoria en contrario</w:t>
      </w:r>
      <w:r w:rsidRPr="00D66245">
        <w:rPr>
          <w:rStyle w:val="Refdenotaalpie"/>
          <w:rFonts w:ascii="Palatino Linotype" w:hAnsi="Palatino Linotype"/>
          <w:lang w:val="es-ES_tradnl"/>
        </w:rPr>
        <w:footnoteReference w:id="216"/>
      </w:r>
      <w:r w:rsidRPr="00D66245">
        <w:rPr>
          <w:rFonts w:ascii="Palatino Linotype" w:hAnsi="Palatino Linotype"/>
          <w:lang w:val="es-ES_tradnl"/>
        </w:rPr>
        <w:t xml:space="preserve">, o de consolidarse por el transcurso del plazo de prescripción.  </w:t>
      </w:r>
    </w:p>
    <w:p w14:paraId="31C29140" w14:textId="77777777" w:rsidR="00E66130" w:rsidRPr="00D66245" w:rsidRDefault="00E66130" w:rsidP="00E66130">
      <w:pPr>
        <w:spacing w:before="120" w:after="200" w:line="240" w:lineRule="auto"/>
        <w:ind w:right="74"/>
        <w:jc w:val="both"/>
        <w:rPr>
          <w:rFonts w:ascii="Palatino Linotype" w:hAnsi="Palatino Linotype"/>
          <w:b/>
          <w:bCs/>
        </w:rPr>
      </w:pPr>
      <w:r w:rsidRPr="00D66245">
        <w:rPr>
          <w:rFonts w:ascii="Palatino Linotype" w:hAnsi="Palatino Linotype"/>
          <w:lang w:val="es-ES_tradnl"/>
        </w:rPr>
        <w:t>Algo similar puede decirse de la llamada “presunción de veracidad de las actas” que levantan los funcionarios administrativos. Esta regla solo se extiende a los hechos directamente perceptibles u observables por el funcionario público, no a la veracidad o sinceridad de las declaraciones realizadas por las partes ni a las calificaciones jurídicas, juicios de valor o simples opiniones consignadas.</w:t>
      </w:r>
      <w:r w:rsidRPr="00D66245">
        <w:rPr>
          <w:rStyle w:val="Refdenotaalpie"/>
          <w:rFonts w:ascii="Palatino Linotype" w:hAnsi="Palatino Linotype"/>
          <w:lang w:val="es-ES_tradnl"/>
        </w:rPr>
        <w:footnoteReference w:id="217"/>
      </w:r>
      <w:r w:rsidRPr="00D66245">
        <w:rPr>
          <w:rFonts w:ascii="Palatino Linotype" w:hAnsi="Palatino Linotype"/>
          <w:lang w:val="es-ES_tradnl"/>
        </w:rPr>
        <w:t xml:space="preserve">  La regla de valor probatorio consiste, en este caso en que, en ausencia de prueba en contrario que contradiga las percepciones de los funcionarios públicos consignadas en las actas y diligencias, deben tenerse por ciertas.  Es decir, no podría el órgano que resuelve restarles credibilidad bajo el principio de libre valoración de la prueba.</w:t>
      </w:r>
      <w:r w:rsidRPr="00D66245">
        <w:rPr>
          <w:rStyle w:val="Refdenotaalpie"/>
          <w:rFonts w:ascii="Palatino Linotype" w:hAnsi="Palatino Linotype"/>
          <w:lang w:val="es-ES_tradnl"/>
        </w:rPr>
        <w:footnoteReference w:id="218"/>
      </w:r>
      <w:r w:rsidRPr="00D66245">
        <w:rPr>
          <w:rFonts w:ascii="Palatino Linotype" w:hAnsi="Palatino Linotype"/>
          <w:lang w:val="es-ES_tradnl"/>
        </w:rPr>
        <w:t xml:space="preserve"> </w:t>
      </w:r>
      <w:r w:rsidRPr="00D66245">
        <w:rPr>
          <w:rFonts w:ascii="Palatino Linotype" w:hAnsi="Palatino Linotype"/>
          <w:bCs/>
        </w:rPr>
        <w:t xml:space="preserve"> </w:t>
      </w:r>
    </w:p>
    <w:p w14:paraId="104B1241" w14:textId="5F971BA5" w:rsidR="00E66130" w:rsidRPr="00BC4AB5" w:rsidRDefault="00BC4AB5" w:rsidP="00BC4AB5">
      <w:pPr>
        <w:spacing w:before="120" w:after="200" w:line="240" w:lineRule="auto"/>
        <w:ind w:right="74"/>
        <w:jc w:val="both"/>
        <w:rPr>
          <w:rFonts w:ascii="Palatino Linotype" w:hAnsi="Palatino Linotype"/>
          <w:b/>
          <w:lang w:val="es-ES_tradnl"/>
        </w:rPr>
      </w:pPr>
      <w:r w:rsidRPr="00BC4AB5">
        <w:rPr>
          <w:rFonts w:ascii="Palatino Linotype" w:hAnsi="Palatino Linotype"/>
          <w:b/>
          <w:lang w:val="es-ES_tradnl"/>
        </w:rPr>
        <w:t xml:space="preserve">1.3 </w:t>
      </w:r>
      <w:r w:rsidR="00E66130" w:rsidRPr="00BC4AB5">
        <w:rPr>
          <w:rFonts w:ascii="Palatino Linotype" w:hAnsi="Palatino Linotype"/>
          <w:b/>
          <w:lang w:val="es-ES_tradnl"/>
        </w:rPr>
        <w:t>Concepto general y concepto estricto de presunción</w:t>
      </w:r>
    </w:p>
    <w:p w14:paraId="2B07FE76"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lang w:val="es-ES_tradnl"/>
        </w:rPr>
        <w:t>Para abordar el concepto de presunción, debe ante todo señalarse la diferencia entre una “concepción estricta” de presunción y una “concepción general”.</w:t>
      </w:r>
      <w:r w:rsidRPr="00D66245">
        <w:rPr>
          <w:rStyle w:val="Refdenotaalpie"/>
          <w:rFonts w:ascii="Palatino Linotype" w:hAnsi="Palatino Linotype"/>
          <w:lang w:val="es-ES_tradnl"/>
        </w:rPr>
        <w:footnoteReference w:id="219"/>
      </w:r>
      <w:r w:rsidRPr="00D66245">
        <w:rPr>
          <w:rFonts w:ascii="Palatino Linotype" w:hAnsi="Palatino Linotype"/>
          <w:lang w:val="es-ES_tradnl"/>
        </w:rPr>
        <w:t xml:space="preserve">  </w:t>
      </w:r>
    </w:p>
    <w:p w14:paraId="6CB9CD35"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lang w:val="es-ES_tradnl"/>
        </w:rPr>
        <w:t xml:space="preserve">En la concepción estricta, “el concepto comprende solo aquellas presunciones extraídas de la “propia realidad”, es decir, de las </w:t>
      </w:r>
      <w:r w:rsidRPr="00D66245">
        <w:rPr>
          <w:rFonts w:ascii="Palatino Linotype" w:hAnsi="Palatino Linotype"/>
          <w:i/>
          <w:lang w:val="es-ES_tradnl"/>
        </w:rPr>
        <w:t>máximas de la experiencia</w:t>
      </w:r>
      <w:r w:rsidRPr="00D66245">
        <w:rPr>
          <w:rFonts w:ascii="Palatino Linotype" w:hAnsi="Palatino Linotype"/>
          <w:lang w:val="es-ES_tradnl"/>
        </w:rPr>
        <w:t xml:space="preserve">” las cuales demuestran la existencia de un enlace entre dos hechos, de tal forma que con un </w:t>
      </w:r>
      <w:r w:rsidRPr="00D66245">
        <w:rPr>
          <w:rFonts w:ascii="Palatino Linotype" w:hAnsi="Palatino Linotype"/>
          <w:i/>
          <w:lang w:val="es-ES_tradnl"/>
        </w:rPr>
        <w:t>grado de probabilidad</w:t>
      </w:r>
      <w:r w:rsidRPr="00D66245">
        <w:rPr>
          <w:rFonts w:ascii="Palatino Linotype" w:hAnsi="Palatino Linotype"/>
          <w:lang w:val="es-ES_tradnl"/>
        </w:rPr>
        <w:t xml:space="preserve"> </w:t>
      </w:r>
      <w:r w:rsidRPr="00D66245">
        <w:rPr>
          <w:rFonts w:ascii="Palatino Linotype" w:hAnsi="Palatino Linotype"/>
          <w:i/>
          <w:lang w:val="es-ES_tradnl"/>
        </w:rPr>
        <w:t>muy alto</w:t>
      </w:r>
      <w:r w:rsidRPr="00D66245">
        <w:rPr>
          <w:rFonts w:ascii="Palatino Linotype" w:hAnsi="Palatino Linotype"/>
          <w:lang w:val="es-ES_tradnl"/>
        </w:rPr>
        <w:t>, realizado uno, se tiene que haber realizado el otro.” Así, la presunción se activa “al resultar probado el hecho indicio -o también llamado- “hecho base”.</w:t>
      </w:r>
      <w:r w:rsidRPr="00D66245">
        <w:rPr>
          <w:rStyle w:val="Refdenotaalpie"/>
          <w:rFonts w:ascii="Palatino Linotype" w:hAnsi="Palatino Linotype"/>
          <w:lang w:val="es-ES_tradnl"/>
        </w:rPr>
        <w:footnoteReference w:id="220"/>
      </w:r>
    </w:p>
    <w:p w14:paraId="2F024A03"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lang w:val="es-ES_tradnl"/>
        </w:rPr>
        <w:t>En la concepción general, la norma jurídica se limita a presumir un hecho, derecho</w:t>
      </w:r>
      <w:r w:rsidRPr="00D66245">
        <w:rPr>
          <w:rStyle w:val="Refdenotaalpie"/>
          <w:rFonts w:ascii="Palatino Linotype" w:hAnsi="Palatino Linotype"/>
          <w:lang w:val="es-ES_tradnl"/>
        </w:rPr>
        <w:footnoteReference w:id="221"/>
      </w:r>
      <w:r w:rsidRPr="00D66245">
        <w:rPr>
          <w:rFonts w:ascii="Palatino Linotype" w:hAnsi="Palatino Linotype"/>
          <w:lang w:val="es-ES_tradnl"/>
        </w:rPr>
        <w:t>, obligación</w:t>
      </w:r>
      <w:r w:rsidRPr="00D66245">
        <w:rPr>
          <w:rStyle w:val="Refdenotaalpie"/>
          <w:rFonts w:ascii="Palatino Linotype" w:hAnsi="Palatino Linotype"/>
          <w:lang w:val="es-ES_tradnl"/>
        </w:rPr>
        <w:footnoteReference w:id="222"/>
      </w:r>
      <w:r w:rsidRPr="00D66245">
        <w:rPr>
          <w:rFonts w:ascii="Palatino Linotype" w:hAnsi="Palatino Linotype"/>
          <w:lang w:val="es-ES_tradnl"/>
        </w:rPr>
        <w:t>, estado jurídico</w:t>
      </w:r>
      <w:r w:rsidRPr="00D66245">
        <w:rPr>
          <w:rStyle w:val="Refdenotaalpie"/>
          <w:rFonts w:ascii="Palatino Linotype" w:hAnsi="Palatino Linotype"/>
          <w:lang w:val="es-ES_tradnl"/>
        </w:rPr>
        <w:footnoteReference w:id="223"/>
      </w:r>
      <w:r w:rsidRPr="00D66245">
        <w:rPr>
          <w:rFonts w:ascii="Palatino Linotype" w:hAnsi="Palatino Linotype"/>
          <w:lang w:val="es-ES_tradnl"/>
        </w:rPr>
        <w:t xml:space="preserve"> u otro tipo de circunstancia</w:t>
      </w:r>
      <w:r w:rsidRPr="00D66245">
        <w:rPr>
          <w:rStyle w:val="Refdenotaalpie"/>
          <w:rFonts w:ascii="Palatino Linotype" w:hAnsi="Palatino Linotype"/>
          <w:lang w:val="es-ES_tradnl"/>
        </w:rPr>
        <w:footnoteReference w:id="224"/>
      </w:r>
      <w:r w:rsidRPr="00D66245">
        <w:rPr>
          <w:rFonts w:ascii="Palatino Linotype" w:hAnsi="Palatino Linotype"/>
          <w:lang w:val="es-ES_tradnl"/>
        </w:rPr>
        <w:t xml:space="preserve">. En estos casos, la norma jurídica prevé un único supuesto, el cual va a considerar como cierto, no por su conexión con otro hecho. La figura, no obstante, opera en el campo probatorio, pues se admite una actividad probatoria que demuestre la inexistencia del hecho, derecho, obligación, estado jurídico o circunstancia presumido por la norma.  </w:t>
      </w:r>
    </w:p>
    <w:p w14:paraId="05DE3454"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lang w:val="es-ES_tradnl"/>
        </w:rPr>
        <w:t>Un ejemplo del ámbito tributario es la presunción de veracidad de los datos facilitados por el propio obligado tributario consignados en las autoliquidaciones, declaraciones, comunicaciones y demás documentos presentados por los obligados tributarios, recogida en la LGT española en el artículo 108.4. En este caso, existe un solo hecho -la declaración o documento en que se manifiestan datos- que el ordenamiento jurídico da por cierto en su contenido, permitiendo, eso sí, que el propio autor de la manifestación de voluntad o conocimiento ejerza actividad probatoria en contrario.  Como señala RODRÍGUEZ-BEREIJO LEÓN</w:t>
      </w:r>
      <w:r w:rsidRPr="00D66245">
        <w:rPr>
          <w:rStyle w:val="Refdenotaalpie"/>
          <w:rFonts w:ascii="Palatino Linotype" w:hAnsi="Palatino Linotype"/>
          <w:lang w:val="es-ES_tradnl"/>
        </w:rPr>
        <w:footnoteReference w:id="225"/>
      </w:r>
      <w:r w:rsidRPr="00D66245">
        <w:rPr>
          <w:rFonts w:ascii="Palatino Linotype" w:hAnsi="Palatino Linotype"/>
          <w:lang w:val="es-ES_tradnl"/>
        </w:rPr>
        <w:t>,  no se trata de una auténtica presunción -en su concepto estricto- pues “no hay dos hechos conectados a efectos probatorios como es característico de las presunciones, sino uno solo, la declaración, que ha de ser tomada por cierta a los efectos administrativos oportunos salvo rectificación posterior en forma restringida o ulterior investigación administrativa contradictoria. Es claro que, más bien, se trata de una norma que atribuye una específica virtualidad probatoria a un documento privado específicamente tributario, que es la declaración.”</w:t>
      </w:r>
      <w:r w:rsidRPr="00D66245">
        <w:rPr>
          <w:rStyle w:val="Refdenotaalpie"/>
          <w:rFonts w:ascii="Palatino Linotype" w:hAnsi="Palatino Linotype"/>
          <w:lang w:val="es-ES_tradnl"/>
        </w:rPr>
        <w:footnoteReference w:id="226"/>
      </w:r>
      <w:r w:rsidRPr="00D66245">
        <w:rPr>
          <w:rFonts w:ascii="Palatino Linotype" w:hAnsi="Palatino Linotype"/>
          <w:lang w:val="es-ES_tradnl"/>
        </w:rPr>
        <w:t xml:space="preserve"> La presunción de certeza no vincula a la Administración -que puede probar la falsedad de lo manifestado por el obligado tributario,  ni tampoco releva al obligado tributario de probar ante la Administración los datos y elementos de hecho consignados en los documentos respectivos</w:t>
      </w:r>
      <w:r w:rsidRPr="00D66245">
        <w:rPr>
          <w:rStyle w:val="Refdenotaalpie"/>
          <w:rFonts w:ascii="Palatino Linotype" w:hAnsi="Palatino Linotype"/>
          <w:lang w:val="es-ES_tradnl"/>
        </w:rPr>
        <w:footnoteReference w:id="227"/>
      </w:r>
      <w:r w:rsidRPr="00D66245">
        <w:rPr>
          <w:rFonts w:ascii="Palatino Linotype" w:hAnsi="Palatino Linotype"/>
          <w:lang w:val="es-ES_tradnl"/>
        </w:rPr>
        <w:t xml:space="preserve">, limitándose entonces a erigirse en un obstáculo para que el obligado se desdiga en su beneficio, lo cual tiene una relación particular con el sistema para rectificar o corregir declaraciones-autoliquidaciones a que nos referiremos más adelante.    </w:t>
      </w:r>
    </w:p>
    <w:p w14:paraId="388A28D2"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lang w:val="es-ES_tradnl"/>
        </w:rPr>
        <w:t>De este modo, el concepto estricto nos dice que lo característico de las presunciones es que dan por cierto jurídicamente un hecho, no conocido, a partir de otro hecho, conocido mediante una operación lógica, enlace, realizada, bien por el legislador, o por la Administración o por el juez, empleando reglas extraídas de la realidad empírica</w:t>
      </w:r>
      <w:r w:rsidRPr="00D66245">
        <w:rPr>
          <w:rFonts w:ascii="Palatino Linotype" w:hAnsi="Palatino Linotype"/>
          <w:vertAlign w:val="superscript"/>
          <w:lang w:val="es-ES_tradnl"/>
        </w:rPr>
        <w:t>.</w:t>
      </w:r>
      <w:r w:rsidRPr="00D66245">
        <w:rPr>
          <w:rStyle w:val="Refdenotaalpie"/>
          <w:rFonts w:ascii="Palatino Linotype" w:hAnsi="Palatino Linotype"/>
          <w:lang w:val="es-ES_tradnl"/>
        </w:rPr>
        <w:footnoteReference w:id="228"/>
      </w:r>
      <w:r w:rsidRPr="00D66245">
        <w:rPr>
          <w:rFonts w:ascii="Palatino Linotype" w:hAnsi="Palatino Linotype"/>
          <w:lang w:val="es-ES_tradnl"/>
        </w:rPr>
        <w:t xml:space="preserve"> </w:t>
      </w:r>
    </w:p>
    <w:p w14:paraId="274CE3DF"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lang w:val="es-ES_tradnl"/>
        </w:rPr>
        <w:t>Ahora, el mecanismo presuntivo debe aspirar a lograr un grado de certeza máxima respecto de la realidad fáctica, aunque no total,  de modo que siempre es posible que del hecho conocido no siga necesariamente el hecho no conocido, lo que explica la relevancia de permitir la prueba en contrario.</w:t>
      </w:r>
      <w:r w:rsidRPr="00D66245">
        <w:rPr>
          <w:rStyle w:val="Refdenotaalpie"/>
          <w:rFonts w:ascii="Palatino Linotype" w:hAnsi="Palatino Linotype"/>
          <w:lang w:val="es-ES_tradnl"/>
        </w:rPr>
        <w:footnoteReference w:id="229"/>
      </w:r>
      <w:r w:rsidRPr="00D66245">
        <w:rPr>
          <w:rFonts w:ascii="Palatino Linotype" w:hAnsi="Palatino Linotype"/>
          <w:lang w:val="es-ES_tradnl"/>
        </w:rPr>
        <w:t xml:space="preserve"> De ahí que los juicios presuntivos son juicios de probabilidad calificados por una máxima de experiencia</w:t>
      </w:r>
      <w:r w:rsidRPr="00D66245">
        <w:rPr>
          <w:rStyle w:val="Refdenotaalpie"/>
          <w:rFonts w:ascii="Palatino Linotype" w:hAnsi="Palatino Linotype"/>
          <w:lang w:val="es-ES_tradnl"/>
        </w:rPr>
        <w:footnoteReference w:id="230"/>
      </w:r>
      <w:r w:rsidRPr="00D66245">
        <w:rPr>
          <w:rFonts w:ascii="Palatino Linotype" w:hAnsi="Palatino Linotype"/>
          <w:lang w:val="es-ES_tradnl"/>
        </w:rPr>
        <w:t xml:space="preserve"> “efectuados por el legislador o predeterminados legalmente, no pueden confundirse con una suerte de mecánica tasación”, sino que “constituyen una fuente supuesta de conocimiento que procura llegar a la verdad material mediante una aproximación, la más equitativa posible y adecuada a la realidad.”</w:t>
      </w:r>
      <w:r w:rsidRPr="00D66245">
        <w:rPr>
          <w:rStyle w:val="Refdenotaalpie"/>
          <w:rFonts w:ascii="Palatino Linotype" w:hAnsi="Palatino Linotype"/>
          <w:lang w:val="es-ES_tradnl"/>
        </w:rPr>
        <w:footnoteReference w:id="231"/>
      </w:r>
      <w:r w:rsidRPr="00D66245">
        <w:rPr>
          <w:rFonts w:ascii="Palatino Linotype" w:hAnsi="Palatino Linotype"/>
          <w:lang w:val="es-ES_tradnl"/>
        </w:rPr>
        <w:t xml:space="preserve"> Esta aspiración se refleja en la propia estructura de la presunción así como en su propia naturaleza probatoria. </w:t>
      </w:r>
    </w:p>
    <w:p w14:paraId="4BCEA4D9"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lang w:val="es-ES_tradnl"/>
        </w:rPr>
        <w:t>La norma que contiene una presunción en sentido estricto tiene tres elementos necesarios, que deben estar todos presentes, para poder hablar de una presunción en este sentido técnico jurídico: primero, el llamado "hecho base" o “hecho demostrado”, que debe comprobarse directamente por ser, en principio, de fácil acreditación; segundo, el "hecho presumido" o “deducido del primero”; tercero, un nexo lógico,  que es el enlace entre el hecho demostrado y el deducido, el cual se establece según las reglas del criterio humano, extraídas de la realidad, esto es, con base en la experiencia, según un criterio de normalidad o probabilístico. De este modo, comprobado o probado el hecho base, se puede tener por probado también el hecho presumido.</w:t>
      </w:r>
      <w:r w:rsidRPr="00D66245">
        <w:rPr>
          <w:rFonts w:ascii="Palatino Linotype" w:hAnsi="Palatino Linotype"/>
          <w:vertAlign w:val="superscript"/>
          <w:lang w:val="es-ES_tradnl"/>
        </w:rPr>
        <w:footnoteReference w:id="232"/>
      </w:r>
      <w:r w:rsidRPr="00D66245">
        <w:rPr>
          <w:rFonts w:ascii="Palatino Linotype" w:hAnsi="Palatino Linotype"/>
          <w:lang w:val="es-ES_tradnl"/>
        </w:rPr>
        <w:t xml:space="preserve">  </w:t>
      </w:r>
    </w:p>
    <w:p w14:paraId="5196F392" w14:textId="77777777" w:rsidR="00E66130" w:rsidRPr="00BC4AB5" w:rsidRDefault="00E66130" w:rsidP="00E66130">
      <w:pPr>
        <w:pStyle w:val="Ttulo4"/>
        <w:spacing w:before="120" w:after="200"/>
        <w:jc w:val="both"/>
        <w:rPr>
          <w:rFonts w:ascii="Palatino Linotype" w:hAnsi="Palatino Linotype"/>
          <w:b/>
          <w:color w:val="auto"/>
          <w:lang w:val="es-ES_tradnl"/>
        </w:rPr>
      </w:pPr>
      <w:bookmarkStart w:id="62" w:name="_Toc490818930"/>
      <w:r w:rsidRPr="00BC4AB5">
        <w:rPr>
          <w:rFonts w:ascii="Palatino Linotype" w:hAnsi="Palatino Linotype"/>
          <w:b/>
          <w:color w:val="auto"/>
          <w:lang w:val="es-ES_tradnl"/>
        </w:rPr>
        <w:t>2.Estructura</w:t>
      </w:r>
      <w:bookmarkEnd w:id="62"/>
      <w:r w:rsidRPr="00BC4AB5">
        <w:rPr>
          <w:rFonts w:ascii="Palatino Linotype" w:hAnsi="Palatino Linotype"/>
          <w:b/>
          <w:color w:val="auto"/>
          <w:lang w:val="es-ES_tradnl"/>
        </w:rPr>
        <w:t xml:space="preserve"> de la presunción</w:t>
      </w:r>
    </w:p>
    <w:p w14:paraId="270B009B"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lang w:val="es-ES_tradnl"/>
        </w:rPr>
        <w:t>L</w:t>
      </w:r>
      <w:r w:rsidRPr="00D66245">
        <w:rPr>
          <w:rFonts w:ascii="Palatino Linotype" w:hAnsi="Palatino Linotype"/>
          <w:lang w:val="es-MX"/>
        </w:rPr>
        <w:t>a estructura de la presunción está compuesta por una parte formal y una parte material.  La primera es la que refleja el núcleo central del concepto de presunción en tanto es la que tiene efectos jurídicos probatorios.  La segunda, se refiere a la consecuencia jurídica tributaria de tener por probado un hecho o conjunto de hechos a través de la presunción, esto es, refleja los efectos jurídicos materiales: por ejemplo, la sujeción a gravamen de un ingreso que se ha tenido por probado a través de la presunción.</w:t>
      </w:r>
      <w:r w:rsidRPr="00D66245">
        <w:rPr>
          <w:rStyle w:val="Refdenotaalpie"/>
          <w:rFonts w:ascii="Palatino Linotype" w:hAnsi="Palatino Linotype"/>
          <w:lang w:val="es-MX"/>
        </w:rPr>
        <w:footnoteReference w:id="233"/>
      </w:r>
    </w:p>
    <w:p w14:paraId="6C23089B"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lang w:val="es-MX"/>
        </w:rPr>
        <w:t>La parte formal está conformada, entonces, por estos elementos:</w:t>
      </w:r>
    </w:p>
    <w:p w14:paraId="170E1B65" w14:textId="77777777" w:rsidR="00E66130" w:rsidRPr="00D66245" w:rsidRDefault="00E66130" w:rsidP="00E66130">
      <w:pPr>
        <w:pStyle w:val="Prrafodelista"/>
        <w:numPr>
          <w:ilvl w:val="0"/>
          <w:numId w:val="30"/>
        </w:numPr>
        <w:spacing w:before="120" w:after="200" w:line="240" w:lineRule="auto"/>
        <w:ind w:right="74"/>
        <w:contextualSpacing w:val="0"/>
        <w:jc w:val="both"/>
        <w:rPr>
          <w:rFonts w:ascii="Palatino Linotype" w:hAnsi="Palatino Linotype"/>
          <w:lang w:val="es-MX"/>
        </w:rPr>
      </w:pPr>
      <w:r w:rsidRPr="00D66245">
        <w:rPr>
          <w:rFonts w:ascii="Palatino Linotype" w:hAnsi="Palatino Linotype"/>
          <w:lang w:val="es-MX"/>
        </w:rPr>
        <w:t>El hecho o afirmación base o indicio;</w:t>
      </w:r>
    </w:p>
    <w:p w14:paraId="133DB98D" w14:textId="77777777" w:rsidR="00E66130" w:rsidRPr="00D66245" w:rsidRDefault="00E66130" w:rsidP="00E66130">
      <w:pPr>
        <w:pStyle w:val="Prrafodelista"/>
        <w:numPr>
          <w:ilvl w:val="0"/>
          <w:numId w:val="30"/>
        </w:numPr>
        <w:spacing w:before="120" w:after="200" w:line="240" w:lineRule="auto"/>
        <w:ind w:right="74"/>
        <w:contextualSpacing w:val="0"/>
        <w:jc w:val="both"/>
        <w:rPr>
          <w:rFonts w:ascii="Palatino Linotype" w:hAnsi="Palatino Linotype"/>
          <w:lang w:val="es-MX"/>
        </w:rPr>
      </w:pPr>
      <w:r w:rsidRPr="00D66245">
        <w:rPr>
          <w:rFonts w:ascii="Palatino Linotype" w:hAnsi="Palatino Linotype"/>
          <w:lang w:val="es-MX"/>
        </w:rPr>
        <w:t>El hecho o afirmación resultado, consecuencia, presunto o deducido.</w:t>
      </w:r>
    </w:p>
    <w:p w14:paraId="4204111E" w14:textId="77777777" w:rsidR="00E66130" w:rsidRPr="00D66245" w:rsidRDefault="00E66130" w:rsidP="00E66130">
      <w:pPr>
        <w:pStyle w:val="Prrafodelista"/>
        <w:numPr>
          <w:ilvl w:val="0"/>
          <w:numId w:val="30"/>
        </w:numPr>
        <w:spacing w:before="120" w:after="200" w:line="240" w:lineRule="auto"/>
        <w:ind w:right="74"/>
        <w:contextualSpacing w:val="0"/>
        <w:jc w:val="both"/>
        <w:rPr>
          <w:rFonts w:ascii="Palatino Linotype" w:hAnsi="Palatino Linotype"/>
          <w:lang w:val="es-MX"/>
        </w:rPr>
      </w:pPr>
      <w:r w:rsidRPr="00D66245">
        <w:rPr>
          <w:rFonts w:ascii="Palatino Linotype" w:hAnsi="Palatino Linotype"/>
          <w:lang w:val="es-MX"/>
        </w:rPr>
        <w:t xml:space="preserve">El nexo lógico o de normalidad existente entre los hechos indicados.  </w:t>
      </w:r>
    </w:p>
    <w:p w14:paraId="31117CE6"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lang w:val="es-MX"/>
        </w:rPr>
        <w:t xml:space="preserve"> El hecho base</w:t>
      </w:r>
      <w:r w:rsidRPr="00D66245">
        <w:rPr>
          <w:rStyle w:val="Refdenotaalpie"/>
          <w:rFonts w:ascii="Palatino Linotype" w:hAnsi="Palatino Linotype"/>
          <w:lang w:val="es-MX"/>
        </w:rPr>
        <w:footnoteReference w:id="234"/>
      </w:r>
      <w:r w:rsidRPr="00D66245">
        <w:rPr>
          <w:rFonts w:ascii="Palatino Linotype" w:hAnsi="Palatino Linotype"/>
          <w:lang w:val="es-MX"/>
        </w:rPr>
        <w:t xml:space="preserve"> es el que fundamenta la presunción y su característica y razón de ser es que constituye “un hecho más fácil de probar en el futuro o ya probado, del cual se infiere la realización del hecho deducido.”  También se le denomina hecho demostrado (artículo 108,2 LGT española) o “hecho indicio” (artículo 385 LEC española).</w:t>
      </w:r>
      <w:r w:rsidRPr="00D66245">
        <w:rPr>
          <w:rStyle w:val="Refdenotaalpie"/>
          <w:rFonts w:ascii="Palatino Linotype" w:hAnsi="Palatino Linotype"/>
          <w:lang w:val="es-MX"/>
        </w:rPr>
        <w:footnoteReference w:id="235"/>
      </w:r>
      <w:r w:rsidRPr="00D66245">
        <w:rPr>
          <w:rFonts w:ascii="Palatino Linotype" w:hAnsi="Palatino Linotype"/>
          <w:lang w:val="es-MX"/>
        </w:rPr>
        <w:t xml:space="preserve"> Explica así  D. MARIN-BARNUEVO FABO</w:t>
      </w:r>
      <w:r w:rsidRPr="00D66245">
        <w:rPr>
          <w:rFonts w:ascii="Palatino Linotype" w:hAnsi="Palatino Linotype"/>
          <w:vertAlign w:val="superscript"/>
          <w:lang w:val="es-MX"/>
        </w:rPr>
        <w:footnoteReference w:id="236"/>
      </w:r>
      <w:r w:rsidRPr="00D66245">
        <w:rPr>
          <w:rFonts w:ascii="Palatino Linotype" w:hAnsi="Palatino Linotype"/>
          <w:lang w:val="es-MX"/>
        </w:rPr>
        <w:t xml:space="preserve"> que la “afirmación base es aquel hecho cuya acreditación permite al órgano decisor considerar cierta la realización de otro hecho diferente; es decir, está constituida por uno o varios hechos afirmados por las partes, cuya veracidad ha sido probada ante quien tiene encomendada la función de fijar los hechos de relevancia jurídica y que, normalmente, se manifiesta junto con otros hechos distintos, lo que permite que estos últimos se integren en el soporte fáctico de la resolución sin necesidad de haber sido probados directamente. Es, por tanto, un hecho probado con finalidad medial o instrumental: lograr el convencimiento del destinatario de la actividad probatoria sobre la realidad de otro hecho distinto.”</w:t>
      </w:r>
    </w:p>
    <w:p w14:paraId="06F14499" w14:textId="77777777" w:rsidR="00E66130" w:rsidRPr="00D66245" w:rsidRDefault="00E66130" w:rsidP="00E66130">
      <w:pPr>
        <w:spacing w:before="120" w:after="200" w:line="240" w:lineRule="auto"/>
        <w:ind w:right="74"/>
        <w:jc w:val="both"/>
        <w:rPr>
          <w:rFonts w:ascii="Palatino Linotype" w:hAnsi="Palatino Linotype"/>
          <w:lang w:val="es-CR"/>
        </w:rPr>
      </w:pPr>
      <w:r w:rsidRPr="00D66245">
        <w:rPr>
          <w:rFonts w:ascii="Palatino Linotype" w:hAnsi="Palatino Linotype"/>
          <w:lang w:val="es-MX"/>
        </w:rPr>
        <w:t>Deriva de lo dicho la necesidad de que el hecho base o indicio esté probado para activar la presunción.</w:t>
      </w:r>
      <w:r w:rsidRPr="00D66245">
        <w:rPr>
          <w:rStyle w:val="Refdenotaalpie"/>
          <w:rFonts w:ascii="Palatino Linotype" w:hAnsi="Palatino Linotype"/>
          <w:lang w:val="es-MX"/>
        </w:rPr>
        <w:footnoteReference w:id="237"/>
      </w:r>
      <w:r w:rsidRPr="00D66245">
        <w:rPr>
          <w:rFonts w:ascii="Palatino Linotype" w:hAnsi="Palatino Linotype"/>
        </w:rPr>
        <w:t xml:space="preserve">  Es decir, el beneficiario de una presunción debe probar la existencia de los hechos que le sirven de base, norma que se reproduce usualmente en los ordenamientos civiles o procesales civiles, como sucedía en el artículo 414 del Código Procesal Civil recientemente derogado por el nuevo Código Procesal Civil.  Según </w:t>
      </w:r>
      <w:r w:rsidRPr="00D66245">
        <w:rPr>
          <w:rFonts w:ascii="Palatino Linotype" w:hAnsi="Palatino Linotype"/>
          <w:bCs/>
          <w:lang w:val="es-CR"/>
        </w:rPr>
        <w:t>D. MARÍN BARNUEVO-FABO</w:t>
      </w:r>
      <w:r w:rsidRPr="00D66245">
        <w:rPr>
          <w:rFonts w:ascii="Palatino Linotype" w:hAnsi="Palatino Linotype"/>
          <w:bCs/>
          <w:vertAlign w:val="superscript"/>
          <w:lang w:val="es-CR"/>
        </w:rPr>
        <w:footnoteReference w:id="238"/>
      </w:r>
      <w:r w:rsidRPr="00D66245">
        <w:rPr>
          <w:rFonts w:ascii="Palatino Linotype" w:hAnsi="Palatino Linotype"/>
          <w:bCs/>
          <w:lang w:val="es-CR"/>
        </w:rPr>
        <w:t xml:space="preserve">, “las reglas de presunción permiten la prueba de determinados hechos a través de la prueba de otros distintos, ello supone que su efecto es la liberación de la carga que entraña la prueba del hecho presumido a la parte a quien beneficia, </w:t>
      </w:r>
      <w:r w:rsidRPr="00D66245">
        <w:rPr>
          <w:rFonts w:ascii="Palatino Linotype" w:hAnsi="Palatino Linotype"/>
          <w:lang w:val="es-CR"/>
        </w:rPr>
        <w:t xml:space="preserve">pero en ningún caso quiere decir que el favorecido por la regla de presunción quede por ello liberado de su específico deber de prueba, pues todavía está obligado a afirmar y probar el hecho base de la presunción.” </w:t>
      </w:r>
    </w:p>
    <w:p w14:paraId="70E1482B" w14:textId="77777777" w:rsidR="00E66130" w:rsidRPr="00D66245" w:rsidRDefault="00E66130" w:rsidP="00E66130">
      <w:pPr>
        <w:spacing w:before="120" w:after="200" w:line="240" w:lineRule="auto"/>
        <w:ind w:right="74"/>
        <w:jc w:val="both"/>
        <w:rPr>
          <w:rFonts w:ascii="Palatino Linotype" w:hAnsi="Palatino Linotype"/>
        </w:rPr>
      </w:pPr>
      <w:r w:rsidRPr="00D66245">
        <w:rPr>
          <w:rFonts w:ascii="Palatino Linotype" w:hAnsi="Palatino Linotype"/>
        </w:rPr>
        <w:t>Mal haría, en este sentido, la Administración Tributaria -en tanto favorecida por una presunción- con fundar un hecho presunto en un hecho que ella misma pone en duda o desconoce. La práctica administrativa suele dar cuenta, como veremos, de alguna incongruencia en este sentido, como cuando se identifica un costo de ventas no declarado y se pretende presumir la existencia de ventas no declaradas, para lo cual se utiliza como hecho base de la presunción el margen de utilidad declarado, para mediante su adición al costo de ventas adicional descubierto llegar al precio de venta presuntamente no declarado: salta a la vista que el margen de utilidad declarado está siendo puesto en duda, pues con el mero hecho de agregar el costo adicional no declarado, tal margen de utilidad declarado deviene falso, por pura necesidad matemática. Así, si el hecho base utilizado es cuando menos dudoso, resulta lógica y jurídicamente imposible sustentar sobre éste el hecho presunto o deducido y las consecuencias jurídicas materiales correspondientes.</w:t>
      </w:r>
    </w:p>
    <w:p w14:paraId="0D9A885E" w14:textId="77777777" w:rsidR="00E66130" w:rsidRPr="00D66245" w:rsidRDefault="00E66130" w:rsidP="00E66130">
      <w:pPr>
        <w:spacing w:before="120" w:after="200" w:line="240" w:lineRule="auto"/>
        <w:ind w:right="74"/>
        <w:jc w:val="both"/>
        <w:rPr>
          <w:rFonts w:ascii="Palatino Linotype" w:hAnsi="Palatino Linotype"/>
          <w:bCs/>
          <w:iCs/>
        </w:rPr>
      </w:pPr>
      <w:r w:rsidRPr="00D66245">
        <w:rPr>
          <w:rFonts w:ascii="Palatino Linotype" w:hAnsi="Palatino Linotype"/>
          <w:bCs/>
          <w:iCs/>
        </w:rPr>
        <w:t>Debemos apuntar, finalmente, que el hecho base debe estar probado directamente y no a través de presunciones, esto es, no resultan admisibles las llamadas “presunciones de segundo grado”, esto es, aquellas en que el hecho deducido de la presunción de primer grado sirve de base para otra presunción.  De lo contrario, el nivel de incertidumbre tolerable de la presunción de primer grado se vería sometido a un incremento intolerable.</w:t>
      </w:r>
      <w:r w:rsidRPr="00D66245">
        <w:rPr>
          <w:rStyle w:val="Refdenotaalpie"/>
          <w:rFonts w:ascii="Palatino Linotype" w:hAnsi="Palatino Linotype"/>
          <w:bCs/>
        </w:rPr>
        <w:footnoteReference w:id="239"/>
      </w:r>
    </w:p>
    <w:p w14:paraId="7C6E439B"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rPr>
        <w:t xml:space="preserve">El segundo elemento de la parte formal de las presunciones es el hecho deducido, presunto, consecuencia o resultado. </w:t>
      </w:r>
      <w:r w:rsidRPr="00D66245">
        <w:rPr>
          <w:rFonts w:ascii="Palatino Linotype" w:hAnsi="Palatino Linotype"/>
          <w:lang w:val="es-MX"/>
        </w:rPr>
        <w:t>BENAVENTE CUESTA</w:t>
      </w:r>
      <w:r w:rsidRPr="00D66245">
        <w:rPr>
          <w:rStyle w:val="Refdenotaalpie"/>
          <w:rFonts w:ascii="Palatino Linotype" w:hAnsi="Palatino Linotype"/>
          <w:lang w:val="es-MX"/>
        </w:rPr>
        <w:footnoteReference w:id="240"/>
      </w:r>
      <w:r w:rsidRPr="00D66245">
        <w:rPr>
          <w:rFonts w:ascii="Palatino Linotype" w:hAnsi="Palatino Linotype"/>
          <w:lang w:val="es-MX"/>
        </w:rPr>
        <w:t xml:space="preserve"> argumenta sobre la mayor precisión de la expresión “hecho deducido” o “hecho consecuencia” (que es equivalente a “resultado”) que la expresión “hecho presunto”: cuando un hecho es “presunto”, se habla tan solo de una “posibilidad de certeza”, “mientras que el objeto de la presunción es, por el contrario, calificar tal hecho de cierto con efectos jurídicos probatorios.”  Más allá del tema terminológico, lo esencial del hecho deducido o presunto es que constituye un “hecho problemático de probar, en la medida que es muy difícil o imposible su prueba para una de las partes (obligado tributario o Administración), porque, por ejemplo, la prueba está en poder a la otra parte o ésta no existe, pero que por la aplicación de la presunción el legislador, órganos de la Administración tributaria o el juez, lo tienen por cierto, como consecuencia de la certeza de otro hecho probado (hecho base) entre los que existe un enlace, elemento deductivo.”</w:t>
      </w:r>
      <w:r w:rsidRPr="00D66245">
        <w:rPr>
          <w:rStyle w:val="Refdenotaalpie"/>
          <w:rFonts w:ascii="Palatino Linotype" w:hAnsi="Palatino Linotype"/>
          <w:lang w:val="es-MX"/>
        </w:rPr>
        <w:footnoteReference w:id="241"/>
      </w:r>
      <w:r w:rsidRPr="00D66245">
        <w:rPr>
          <w:rFonts w:ascii="Palatino Linotype" w:hAnsi="Palatino Linotype"/>
          <w:lang w:val="es-MX"/>
        </w:rPr>
        <w:t xml:space="preserve">  De esencia en este concepto es que el hecho deducido o presunto no es acreditado directamente a través de un específico medio de prueba, sino indirectamente a partir de la prueba de otro hecho, el base o indicio.</w:t>
      </w:r>
      <w:r w:rsidRPr="00D66245">
        <w:rPr>
          <w:rStyle w:val="Refdenotaalpie"/>
          <w:rFonts w:ascii="Palatino Linotype" w:hAnsi="Palatino Linotype"/>
          <w:lang w:val="es-MX"/>
        </w:rPr>
        <w:footnoteReference w:id="242"/>
      </w:r>
      <w:r w:rsidRPr="00D66245">
        <w:rPr>
          <w:rFonts w:ascii="Palatino Linotype" w:hAnsi="Palatino Linotype"/>
          <w:lang w:val="es-MX"/>
        </w:rPr>
        <w:t xml:space="preserve">  </w:t>
      </w:r>
    </w:p>
    <w:p w14:paraId="2D2479C3"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lang w:val="es-MX"/>
        </w:rPr>
        <w:t xml:space="preserve">El tercer elemento, que es de carácter deductivo y establece la conexión entre los otros dos, es el enlace lógico: </w:t>
      </w:r>
      <w:r w:rsidRPr="00D66245">
        <w:rPr>
          <w:rFonts w:ascii="Palatino Linotype" w:hAnsi="Palatino Linotype"/>
          <w:lang w:val="es-ES_tradnl"/>
        </w:rPr>
        <w:t>entre el indicio o hecho demostrado y el hecho presunto o deducido debe existir un enlace preciso y directo según las reglas del criterio humano.</w:t>
      </w:r>
      <w:r w:rsidRPr="00D66245">
        <w:rPr>
          <w:rFonts w:ascii="Palatino Linotype" w:hAnsi="Palatino Linotype"/>
          <w:vertAlign w:val="superscript"/>
          <w:lang w:val="es-ES_tradnl"/>
        </w:rPr>
        <w:footnoteReference w:id="243"/>
      </w:r>
      <w:r w:rsidRPr="00D66245">
        <w:rPr>
          <w:rFonts w:ascii="Palatino Linotype" w:hAnsi="Palatino Linotype"/>
          <w:lang w:val="es-ES_tradnl"/>
        </w:rPr>
        <w:t xml:space="preserve"> Mediante este nexo, el hecho base adquiere el ribete de “signo inequívoco” del hecho presunto.</w:t>
      </w:r>
      <w:r w:rsidRPr="00D66245">
        <w:rPr>
          <w:rStyle w:val="Refdenotaalpie"/>
          <w:rFonts w:ascii="Palatino Linotype" w:hAnsi="Palatino Linotype"/>
          <w:lang w:val="es-ES_tradnl"/>
        </w:rPr>
        <w:footnoteReference w:id="244"/>
      </w:r>
    </w:p>
    <w:p w14:paraId="6B5FE968"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lang w:val="es-MX"/>
        </w:rPr>
        <w:t xml:space="preserve">De ahí que este elemento está conformado, “en primer lugar, por </w:t>
      </w:r>
      <w:r w:rsidRPr="00D66245">
        <w:rPr>
          <w:rFonts w:ascii="Palatino Linotype" w:hAnsi="Palatino Linotype"/>
          <w:i/>
          <w:lang w:val="es-MX"/>
        </w:rPr>
        <w:t>reglas del criterio humano</w:t>
      </w:r>
      <w:r w:rsidRPr="00D66245">
        <w:rPr>
          <w:rFonts w:ascii="Palatino Linotype" w:hAnsi="Palatino Linotype"/>
          <w:lang w:val="es-MX"/>
        </w:rPr>
        <w:t xml:space="preserve"> extraídas de la realidad, es decir, reglas que la experiencia demuestra que se cumplen con </w:t>
      </w:r>
      <w:r w:rsidRPr="00D66245">
        <w:rPr>
          <w:rFonts w:ascii="Palatino Linotype" w:hAnsi="Palatino Linotype"/>
          <w:i/>
          <w:lang w:val="es-MX"/>
        </w:rPr>
        <w:t>criterio de normalidad</w:t>
      </w:r>
      <w:r w:rsidRPr="00D66245">
        <w:rPr>
          <w:rFonts w:ascii="Palatino Linotype" w:hAnsi="Palatino Linotype"/>
          <w:lang w:val="es-MX"/>
        </w:rPr>
        <w:t xml:space="preserve">”, y, en segundo lugar, por un </w:t>
      </w:r>
      <w:r w:rsidRPr="00D66245">
        <w:rPr>
          <w:rFonts w:ascii="Palatino Linotype" w:hAnsi="Palatino Linotype"/>
          <w:i/>
          <w:lang w:val="es-MX"/>
        </w:rPr>
        <w:t>componente de juicio o racionalidad</w:t>
      </w:r>
      <w:r w:rsidRPr="00D66245">
        <w:rPr>
          <w:rFonts w:ascii="Palatino Linotype" w:hAnsi="Palatino Linotype"/>
          <w:lang w:val="es-MX"/>
        </w:rPr>
        <w:t>, la argumentación de la inferencia entre el hecho probado y un hecho deducido.” Hay una relación de causalidad entre ambos hechos, de modo que “el indicio puede ser la causa del hecho a probar, o bien, su efecto, o bien, una circunstancia necesaria para que el hecho se produzca.”</w:t>
      </w:r>
      <w:r w:rsidRPr="00D66245">
        <w:rPr>
          <w:rStyle w:val="Refdenotaalpie"/>
          <w:rFonts w:ascii="Palatino Linotype" w:hAnsi="Palatino Linotype"/>
          <w:vertAlign w:val="baseline"/>
          <w:lang w:val="es-MX"/>
        </w:rPr>
        <w:t xml:space="preserve"> </w:t>
      </w:r>
      <w:r w:rsidRPr="00D66245">
        <w:rPr>
          <w:rStyle w:val="Refdenotaalpie"/>
          <w:rFonts w:ascii="Palatino Linotype" w:hAnsi="Palatino Linotype"/>
          <w:lang w:val="es-MX"/>
        </w:rPr>
        <w:footnoteReference w:id="245"/>
      </w:r>
      <w:r w:rsidRPr="00D66245">
        <w:rPr>
          <w:rStyle w:val="Refdenotaalpie"/>
          <w:rFonts w:ascii="Palatino Linotype" w:hAnsi="Palatino Linotype"/>
          <w:vertAlign w:val="baseline"/>
          <w:lang w:val="es-MX"/>
        </w:rPr>
        <w:t xml:space="preserve"> </w:t>
      </w:r>
    </w:p>
    <w:p w14:paraId="598A2421"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lang w:val="es-MX"/>
        </w:rPr>
        <w:t>En ese sentido, las máximas de la experiencia “son aquellas reglas obtenidas de la observación de la realidad, las cuales corroboran que ciertos hechos o sucesos se comportan reiteradamente de determinada manera.”</w:t>
      </w:r>
      <w:r w:rsidRPr="00D66245">
        <w:rPr>
          <w:rStyle w:val="Refdenotaalpie"/>
          <w:rFonts w:ascii="Palatino Linotype" w:hAnsi="Palatino Linotype"/>
          <w:lang w:val="es-MX"/>
        </w:rPr>
        <w:footnoteReference w:id="246"/>
      </w:r>
      <w:r w:rsidRPr="00D66245">
        <w:rPr>
          <w:rFonts w:ascii="Palatino Linotype" w:hAnsi="Palatino Linotype"/>
          <w:lang w:val="es-MX"/>
        </w:rPr>
        <w:t xml:space="preserve"> Por ello, la máxima o regla de experiencia que fundamenta la presunción debe ser una regla predicable para la generalidad de los casos y, además, ser predicable también para el caso particular, según sus circunstancias, de modo que la aplicación de la presunción puede ser combatida sea a través de la demostración de que la supuesta regla de experiencia es inexistente para la generalidad de los casos o, bien,  que es inexistente en el caso particular.</w:t>
      </w:r>
      <w:r w:rsidRPr="00D66245">
        <w:rPr>
          <w:rStyle w:val="Refdenotaalpie"/>
          <w:rFonts w:ascii="Palatino Linotype" w:hAnsi="Palatino Linotype"/>
          <w:lang w:val="es-MX"/>
        </w:rPr>
        <w:footnoteReference w:id="247"/>
      </w:r>
    </w:p>
    <w:p w14:paraId="2398EED1"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lang w:val="es-MX"/>
        </w:rPr>
        <w:t>La estructura de la presunción se completa con sus “elementos personales”. Así, debe distinguirse, por una parte, entre la parte beneficiada por la presunción (</w:t>
      </w:r>
      <w:r w:rsidRPr="00D66245">
        <w:rPr>
          <w:rFonts w:ascii="Palatino Linotype" w:hAnsi="Palatino Linotype"/>
          <w:i/>
          <w:lang w:val="es-MX"/>
        </w:rPr>
        <w:t>elemento personal pasivo</w:t>
      </w:r>
      <w:r w:rsidRPr="00D66245">
        <w:rPr>
          <w:rFonts w:ascii="Palatino Linotype" w:hAnsi="Palatino Linotype"/>
          <w:lang w:val="es-MX"/>
        </w:rPr>
        <w:t>) y la parte perjudicada por ésta (</w:t>
      </w:r>
      <w:r w:rsidRPr="00D66245">
        <w:rPr>
          <w:rFonts w:ascii="Palatino Linotype" w:hAnsi="Palatino Linotype"/>
          <w:i/>
          <w:lang w:val="es-MX"/>
        </w:rPr>
        <w:t>elemento personal activo</w:t>
      </w:r>
      <w:r w:rsidRPr="00D66245">
        <w:rPr>
          <w:rFonts w:ascii="Palatino Linotype" w:hAnsi="Palatino Linotype"/>
          <w:lang w:val="es-MX"/>
        </w:rPr>
        <w:t>).  El beneficiado resulta descargado de toda actividad probatoria una vez probado el hecho base -de ahí su carácter pasivo-, mientras que el perjudicado debe desplegar su actividad probatoria para enervar la aplicación de la presunción.</w:t>
      </w:r>
      <w:r w:rsidRPr="00D66245">
        <w:rPr>
          <w:rStyle w:val="Refdenotaalpie"/>
          <w:rFonts w:ascii="Palatino Linotype" w:hAnsi="Palatino Linotype"/>
          <w:lang w:val="es-MX"/>
        </w:rPr>
        <w:footnoteReference w:id="248"/>
      </w:r>
    </w:p>
    <w:p w14:paraId="3D0E7FD3"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lang w:val="es-MX"/>
        </w:rPr>
        <w:t>Por otra parte, cabe identificar a los “destinatarios” de las presunciones: en primer lugar, los obligados tributarios quienes, en particular por la prevalencia del sistema de autoliquidación, son los primeros aplicadores de las presunciones que les favorece o deben considerar desde que autoliquidan las que favorecen a la Administración para estar preparados para evitar su aplicación; luego, en un segundo nivel, dentro de las funciones de control y revisión, aparecen como destinatarios la Administración Tributaria, los Tribunales Administrativos y los Tribunales de Justicia.</w:t>
      </w:r>
      <w:r w:rsidRPr="00D66245">
        <w:rPr>
          <w:rStyle w:val="Refdenotaalpie"/>
          <w:rFonts w:ascii="Palatino Linotype" w:hAnsi="Palatino Linotype"/>
          <w:lang w:val="es-MX"/>
        </w:rPr>
        <w:footnoteReference w:id="249"/>
      </w:r>
    </w:p>
    <w:p w14:paraId="704A8875"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lang w:val="es-MX"/>
        </w:rPr>
        <w:t xml:space="preserve">Según la participación de los elementos personales en la elaboración de las presunciones, tenemos que, tratándose de las presunciones legales -cuyo concepto precisaremos en breve-, quien las elabora es el legislador.  En cuanto a las presunciones </w:t>
      </w:r>
      <w:r w:rsidRPr="00D66245">
        <w:rPr>
          <w:rFonts w:ascii="Palatino Linotype" w:hAnsi="Palatino Linotype"/>
          <w:i/>
          <w:lang w:val="es-ES_tradnl"/>
        </w:rPr>
        <w:t>hominis</w:t>
      </w:r>
      <w:r w:rsidRPr="00D66245">
        <w:rPr>
          <w:rFonts w:ascii="Palatino Linotype" w:hAnsi="Palatino Linotype"/>
          <w:lang w:val="es-ES_tradnl"/>
        </w:rPr>
        <w:t xml:space="preserve"> -también nos referiremos a esta categoría-, sus autores intelectuales pueden ser los obligados tributarios</w:t>
      </w:r>
      <w:r w:rsidRPr="00D66245">
        <w:rPr>
          <w:rStyle w:val="Refdenotaalpie"/>
          <w:rFonts w:ascii="Palatino Linotype" w:hAnsi="Palatino Linotype"/>
          <w:lang w:val="es-ES_tradnl"/>
        </w:rPr>
        <w:footnoteReference w:id="250"/>
      </w:r>
      <w:r w:rsidRPr="00D66245">
        <w:rPr>
          <w:rFonts w:ascii="Palatino Linotype" w:hAnsi="Palatino Linotype"/>
          <w:lang w:val="es-ES_tradnl"/>
        </w:rPr>
        <w:t>, la Administración Tributaria o los Jueces.</w:t>
      </w:r>
      <w:r w:rsidRPr="00D66245">
        <w:rPr>
          <w:rStyle w:val="Refdenotaalpie"/>
          <w:rFonts w:ascii="Palatino Linotype" w:hAnsi="Palatino Linotype"/>
          <w:lang w:val="es-ES_tradnl"/>
        </w:rPr>
        <w:footnoteReference w:id="251"/>
      </w:r>
      <w:r w:rsidRPr="00D66245">
        <w:rPr>
          <w:rFonts w:ascii="Palatino Linotype" w:hAnsi="Palatino Linotype"/>
          <w:lang w:val="es-ES_tradnl"/>
        </w:rPr>
        <w:t xml:space="preserve"> </w:t>
      </w:r>
    </w:p>
    <w:p w14:paraId="7661E34B" w14:textId="77777777" w:rsidR="00E66130" w:rsidRPr="00D66245" w:rsidRDefault="00E66130" w:rsidP="00E66130">
      <w:pPr>
        <w:spacing w:before="120" w:after="200" w:line="240" w:lineRule="auto"/>
        <w:ind w:right="74"/>
        <w:jc w:val="both"/>
        <w:rPr>
          <w:rFonts w:ascii="Palatino Linotype" w:hAnsi="Palatino Linotype"/>
        </w:rPr>
      </w:pPr>
      <w:r w:rsidRPr="00D66245">
        <w:rPr>
          <w:rFonts w:ascii="Palatino Linotype" w:hAnsi="Palatino Linotype"/>
          <w:lang w:val="es-MX"/>
        </w:rPr>
        <w:t>P</w:t>
      </w:r>
      <w:r w:rsidRPr="00D66245">
        <w:rPr>
          <w:rFonts w:ascii="Palatino Linotype" w:hAnsi="Palatino Linotype"/>
        </w:rPr>
        <w:t xml:space="preserve">or último, dado el concepto estricto de presunción, debemos dar cuenta de una figura afín a la presunción legal que, sin embargo, parte de la doctrina diferencia: las denominadas </w:t>
      </w:r>
      <w:r w:rsidRPr="00D66245">
        <w:rPr>
          <w:rFonts w:ascii="Palatino Linotype" w:hAnsi="Palatino Linotype"/>
          <w:i/>
        </w:rPr>
        <w:t>verdades interinas</w:t>
      </w:r>
      <w:r w:rsidRPr="00D66245">
        <w:rPr>
          <w:rFonts w:ascii="Palatino Linotype" w:hAnsi="Palatino Linotype"/>
        </w:rPr>
        <w:t>. Como explica D. MARÍN-BARNUEVO</w:t>
      </w:r>
      <w:r w:rsidRPr="00D66245">
        <w:rPr>
          <w:rFonts w:ascii="Palatino Linotype" w:hAnsi="Palatino Linotype"/>
          <w:spacing w:val="-3"/>
          <w:vertAlign w:val="superscript"/>
        </w:rPr>
        <w:footnoteReference w:id="252"/>
      </w:r>
      <w:r w:rsidRPr="00D66245">
        <w:rPr>
          <w:rFonts w:ascii="Palatino Linotype" w:hAnsi="Palatino Linotype"/>
        </w:rPr>
        <w:t xml:space="preserve">, estas consisten en “normas que suponen el establecimiento de una exención de prueba de determinados hechos, respecto de los cuales su mera alegación desencadenará los efectos jurídicos que les son propios, salvo que sean acreditados otros hechos que le sean incompatibles.” “No se trata como en las </w:t>
      </w:r>
      <w:r w:rsidRPr="00D66245">
        <w:rPr>
          <w:rFonts w:ascii="Palatino Linotype" w:hAnsi="Palatino Linotype"/>
          <w:i/>
        </w:rPr>
        <w:t>reglas de presunción</w:t>
      </w:r>
      <w:r w:rsidRPr="00D66245">
        <w:rPr>
          <w:rFonts w:ascii="Palatino Linotype" w:hAnsi="Palatino Linotype"/>
        </w:rPr>
        <w:t xml:space="preserve">, de sustituir la prueba del hecho por la prueba de otro hecho distinto, sino de algo esencialmente distinto, consistente en admitir que se tenga por existente dicho presupuesto tributario, sin necesidad de prueba alguna.” </w:t>
      </w:r>
    </w:p>
    <w:p w14:paraId="24599894" w14:textId="77777777" w:rsidR="00E66130" w:rsidRPr="00D66245" w:rsidRDefault="00E66130" w:rsidP="00E66130">
      <w:pPr>
        <w:spacing w:before="120" w:after="200" w:line="240" w:lineRule="auto"/>
        <w:ind w:right="74"/>
        <w:jc w:val="both"/>
        <w:rPr>
          <w:rFonts w:ascii="Palatino Linotype" w:hAnsi="Palatino Linotype"/>
          <w:spacing w:val="-3"/>
          <w:lang w:val="es-MX"/>
        </w:rPr>
      </w:pPr>
      <w:r w:rsidRPr="00D66245">
        <w:rPr>
          <w:rFonts w:ascii="Palatino Linotype" w:hAnsi="Palatino Linotype"/>
        </w:rPr>
        <w:t>Es decir, se exime a la Administración de la prueba de un elemento del hecho generador, esto es, de una parte del mismo hecho. Ejemplo clásico lo constituye la presunción de onerosidad de ciertos contratos, como los de préstamo, en que se entiende que por el hecho de existir un financiamiento sinalagmático, no asociativo, se entiende también que se ha cobrado un interés por éste.</w:t>
      </w:r>
    </w:p>
    <w:p w14:paraId="1C3F21A3" w14:textId="77777777" w:rsidR="00E66130" w:rsidRPr="00D66245" w:rsidRDefault="00E66130" w:rsidP="00E66130">
      <w:pPr>
        <w:spacing w:before="120" w:after="200" w:line="240" w:lineRule="auto"/>
        <w:ind w:right="74"/>
        <w:jc w:val="both"/>
        <w:rPr>
          <w:rFonts w:ascii="Palatino Linotype" w:hAnsi="Palatino Linotype"/>
        </w:rPr>
      </w:pPr>
      <w:r w:rsidRPr="00D66245">
        <w:rPr>
          <w:rFonts w:ascii="Palatino Linotype" w:hAnsi="Palatino Linotype"/>
        </w:rPr>
        <w:t xml:space="preserve">En estos casos, se exime a la Administración de la prueba de que el financiamiento sea remunerado, bastando con la prueba de que se dio el financiamiento. MARÍN-BARNUEVO destaca que este tipo de normas efectivamente producen una inversión de la carga de la prueba, a diferencia de las reglas de presunción, que se limitan a alterar el objeto de la prueba. </w:t>
      </w:r>
    </w:p>
    <w:p w14:paraId="3CFA22B6"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spacing w:val="-3"/>
        </w:rPr>
        <w:t xml:space="preserve">En este tipo de figura, lo particular en relación con las presunciones en sentido estricto es, entonces, que en lugar de derivar un hecho presunto a partir de la prueba de un hecho base sustancialmente distinto del hecho generador, se permite derivar de la prueba de cierta parte del hecho generador la existencia del resto del hecho generador. De este modo, el nexo, de nuevo entre la parte del hecho generador probada y la no probada es también de probabilidad o causalidad. Por lo demás, al igual que sucede respecto del hecho base de la presunción, hay una parte del hecho generador que sí debe ser probada por la Administración, pudiendo el obligado tributario probar en contrario sea, como contraprueba, que dicha parte no se verificó, o como prueba de lo contrario, esto es, que la otra parte tampoco se verificó. </w:t>
      </w:r>
    </w:p>
    <w:p w14:paraId="6312784E" w14:textId="77777777" w:rsidR="00E66130" w:rsidRPr="00BC4AB5" w:rsidRDefault="00E66130" w:rsidP="00E66130">
      <w:pPr>
        <w:pStyle w:val="Ttulo4"/>
        <w:spacing w:before="120" w:after="200"/>
        <w:jc w:val="both"/>
        <w:rPr>
          <w:rFonts w:ascii="Palatino Linotype" w:hAnsi="Palatino Linotype"/>
          <w:b/>
          <w:color w:val="auto"/>
          <w:lang w:val="es-MX"/>
        </w:rPr>
      </w:pPr>
      <w:bookmarkStart w:id="63" w:name="_Toc490818931"/>
      <w:r w:rsidRPr="00BC4AB5">
        <w:rPr>
          <w:rFonts w:ascii="Palatino Linotype" w:hAnsi="Palatino Linotype"/>
          <w:b/>
          <w:color w:val="auto"/>
          <w:lang w:val="es-ES_tradnl"/>
        </w:rPr>
        <w:t>3.Naturaleza jurídica</w:t>
      </w:r>
      <w:bookmarkEnd w:id="63"/>
      <w:r w:rsidRPr="00BC4AB5">
        <w:rPr>
          <w:rFonts w:ascii="Palatino Linotype" w:hAnsi="Palatino Linotype"/>
          <w:b/>
          <w:color w:val="auto"/>
          <w:lang w:val="es-ES_tradnl"/>
        </w:rPr>
        <w:t xml:space="preserve"> </w:t>
      </w:r>
    </w:p>
    <w:p w14:paraId="569E4085"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lang w:val="es-MX"/>
        </w:rPr>
        <w:t>Ya dicho que las verdaderas presunciones operan en el campo de la prueba, debe precisarse de qué manera se relacionan con las reglas generales de distribución de la carga de la prueba.</w:t>
      </w:r>
    </w:p>
    <w:p w14:paraId="101E15A5"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lang w:val="es-MX"/>
        </w:rPr>
        <w:t>En general, la doctrina especializada en el tema</w:t>
      </w:r>
      <w:r w:rsidRPr="00D66245">
        <w:rPr>
          <w:rStyle w:val="Refdenotaalpie"/>
          <w:rFonts w:ascii="Palatino Linotype" w:hAnsi="Palatino Linotype"/>
          <w:lang w:val="es-MX"/>
        </w:rPr>
        <w:footnoteReference w:id="253"/>
      </w:r>
      <w:r w:rsidRPr="00D66245">
        <w:rPr>
          <w:rFonts w:ascii="Palatino Linotype" w:hAnsi="Palatino Linotype"/>
          <w:lang w:val="es-MX"/>
        </w:rPr>
        <w:t xml:space="preserve"> coincide en que las presunciones, más que producir una inversión de la carga de la prueba, lo que causan es una alteración del objeto de la prueba: en lugar de probar el hecho que tiene la consecuencia jurídica material que se busca aplicar (el hecho presunto o deducido), se debe probar el hecho base o indicio.  BENAVENTE CUESTA</w:t>
      </w:r>
      <w:r w:rsidRPr="00D66245">
        <w:rPr>
          <w:rStyle w:val="Refdenotaalpie"/>
          <w:rFonts w:ascii="Palatino Linotype" w:hAnsi="Palatino Linotype"/>
          <w:lang w:val="es-MX"/>
        </w:rPr>
        <w:footnoteReference w:id="254"/>
      </w:r>
      <w:r w:rsidRPr="00D66245">
        <w:rPr>
          <w:rFonts w:ascii="Palatino Linotype" w:hAnsi="Palatino Linotype"/>
          <w:lang w:val="es-MX"/>
        </w:rPr>
        <w:t xml:space="preserve"> advierte acertadamente que esto es cierto desde el punto de vista de la parte favorecida con la presunción, mas no así desde el punto de vista de la parte afectada. Para ésta, el objeto de prueba se mantiene inalterado -el hecho deducido-, solo que, aquí sí, se produce una inversión de la carga de la prueba, pues quien debe probar la no realización del hecho deducido es dicha parte afectada. Recuérdese, en ese sentido, que, por regla general, la carga de la prueba de los elementos constitutivos de la obligación tributaria recae sobre la Administración; en caso de que esta se vea favorecida por una presunción, ya no tendrá que probar directamente dicho elemento fáctico constitutivo, siendo que la prueba negativa de su no realización se ha trasladado al afectado por la presunción (en este caso, el obligado tributario).  Es decir, aquí sí se ha producido una inversión de la carga de la prueba. </w:t>
      </w:r>
    </w:p>
    <w:p w14:paraId="6D3120EC"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lang w:val="es-MX"/>
        </w:rPr>
        <w:t xml:space="preserve">También se produce una inversión de la carga de la prueba en los casos en que aplica la presunción </w:t>
      </w:r>
      <w:r w:rsidRPr="00D66245">
        <w:rPr>
          <w:rFonts w:ascii="Palatino Linotype" w:hAnsi="Palatino Linotype"/>
          <w:i/>
          <w:lang w:val="es-MX"/>
        </w:rPr>
        <w:t>hominis</w:t>
      </w:r>
      <w:r w:rsidRPr="00D66245">
        <w:rPr>
          <w:rFonts w:ascii="Palatino Linotype" w:hAnsi="Palatino Linotype"/>
          <w:lang w:val="es-MX"/>
        </w:rPr>
        <w:t xml:space="preserve"> para la determinación de la base imponible por base presunta (artículos 125 b), 124 y 116 CNPT).  En ese sentido, recordemos que la regla general de distribución de la carga de la prueba establece que ésta recae sobre la Administración respecto de las circunstancias constitutivas y aumentadoras de la obligación tributaria, mientras que recae sobre el obligado tributaria respecto de las circunstancias que excluyen o disminuyen la obligación tributaria.  Pues bien, cuando nos encontramos, por ejemplo, ante la determinación de la base imponible de un impuesto que es de carácter neto, la Administración, ante la falta de documentación fehaciente de los gastos deducibles por parte del obligado tributario, deberá asumir la carga de probar un hecho base del que derive como hecho presunto una cierta cuantía de gastos a deducir. Se ha producido una inversión de la carga de la prueba. En cambio, respecto de los ingresos, la Administración mantiene su carga, pero se altera el objeto de prueba, al poder lograr la prueba de los ingresos reales probando un hecho distinto (por ejemplo, los ingresos de otros períodos o de terceros en situación similar).</w:t>
      </w:r>
      <w:r w:rsidRPr="00D66245">
        <w:rPr>
          <w:rStyle w:val="Refdenotaalpie"/>
          <w:rFonts w:ascii="Palatino Linotype" w:hAnsi="Palatino Linotype"/>
          <w:lang w:val="es-MX"/>
        </w:rPr>
        <w:footnoteReference w:id="255"/>
      </w:r>
      <w:r w:rsidRPr="00D66245">
        <w:rPr>
          <w:rFonts w:ascii="Palatino Linotype" w:hAnsi="Palatino Linotype"/>
          <w:lang w:val="es-MX"/>
        </w:rPr>
        <w:t xml:space="preserve"> </w:t>
      </w:r>
    </w:p>
    <w:p w14:paraId="10C8F09A"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lang w:val="es-MX"/>
        </w:rPr>
        <w:t>Para comprender cómo transcurre la actividad probatoria en la aplicación de presunciones, resultan de utilidad los conceptos de activación de la presunción, por una parte, y de desactivación y destrucción de esta, por otra.</w:t>
      </w:r>
      <w:r w:rsidRPr="00D66245">
        <w:rPr>
          <w:rStyle w:val="Refdenotaalpie"/>
          <w:rFonts w:ascii="Palatino Linotype" w:hAnsi="Palatino Linotype"/>
          <w:lang w:val="es-MX"/>
        </w:rPr>
        <w:footnoteReference w:id="256"/>
      </w:r>
      <w:r w:rsidRPr="00D66245">
        <w:rPr>
          <w:rFonts w:ascii="Palatino Linotype" w:hAnsi="Palatino Linotype"/>
          <w:lang w:val="es-MX"/>
        </w:rPr>
        <w:t xml:space="preserve"> La activación de la presunción se produce por la prueba del hecho base o indicio, a cargo del beneficiado por la presunción. La desactivación se produce cuando se prueba en contrario del hecho base (contraprueba)</w:t>
      </w:r>
      <w:r w:rsidRPr="00D66245">
        <w:rPr>
          <w:rStyle w:val="Refdenotaalpie"/>
          <w:rFonts w:ascii="Palatino Linotype" w:hAnsi="Palatino Linotype"/>
          <w:lang w:val="es-MX"/>
        </w:rPr>
        <w:footnoteReference w:id="257"/>
      </w:r>
      <w:r w:rsidRPr="00D66245">
        <w:rPr>
          <w:rFonts w:ascii="Palatino Linotype" w:hAnsi="Palatino Linotype"/>
          <w:lang w:val="es-MX"/>
        </w:rPr>
        <w:t>, a cargo del afectado por la presunción.</w:t>
      </w:r>
      <w:r w:rsidRPr="00D66245">
        <w:rPr>
          <w:rStyle w:val="Refdenotaalpie"/>
          <w:rFonts w:ascii="Palatino Linotype" w:hAnsi="Palatino Linotype"/>
          <w:vertAlign w:val="baseline"/>
          <w:lang w:val="es-MX"/>
        </w:rPr>
        <w:t xml:space="preserve">  </w:t>
      </w:r>
      <w:r w:rsidRPr="00D66245">
        <w:rPr>
          <w:rFonts w:ascii="Palatino Linotype" w:hAnsi="Palatino Linotype"/>
          <w:lang w:val="es-MX"/>
        </w:rPr>
        <w:t xml:space="preserve"> La destrucción se produce cuando, también a cargo del afectado por la presunción, se prueba la inexistencia del nexo lógico en el caso particular, la inexistencia del hecho deducido o la inexistencia de la máxima de experiencia en general. No obstante, se ha planteado la duda si, en una presunción legal, es dable cuestionar la existencia de la máxima de experiencia y el enlace o nexo lógico, pues, como señala SÁNCHEZ PINO, al aplicador de la presunción se le impone el nexo previsto por el legislador, de modo que aun cuando éste “dude” que del hecho conocido se deduzca, según las reglas de la experiencia, la existencia del hecho ignorado, deberá en todo caso tener por probado el hecho presunto.</w:t>
      </w:r>
      <w:r w:rsidRPr="00D66245">
        <w:rPr>
          <w:rStyle w:val="Refdenotaalpie"/>
          <w:rFonts w:ascii="Palatino Linotype" w:hAnsi="Palatino Linotype"/>
          <w:lang w:val="es-MX"/>
        </w:rPr>
        <w:footnoteReference w:id="258"/>
      </w:r>
    </w:p>
    <w:p w14:paraId="07C308F5"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lang w:val="es-MX"/>
        </w:rPr>
        <w:t>Cuando las presunciones admiten prueba en contrario (</w:t>
      </w:r>
      <w:r w:rsidRPr="00D66245">
        <w:rPr>
          <w:rFonts w:ascii="Palatino Linotype" w:hAnsi="Palatino Linotype"/>
          <w:i/>
          <w:lang w:val="es-MX"/>
        </w:rPr>
        <w:t>iuris tantum</w:t>
      </w:r>
      <w:r w:rsidRPr="00D66245">
        <w:rPr>
          <w:rFonts w:ascii="Palatino Linotype" w:hAnsi="Palatino Linotype"/>
          <w:lang w:val="es-MX"/>
        </w:rPr>
        <w:t xml:space="preserve">),  “concurren dos tipos de actividades probatorias opuestas, unas dirigidas a la aplicación de la presunción (activación) y otras, por el contrario, encaminadas a su no aplicación (destrucción o desactivación). Existe, pues, una </w:t>
      </w:r>
      <w:r w:rsidRPr="00D66245">
        <w:rPr>
          <w:rFonts w:ascii="Palatino Linotype" w:hAnsi="Palatino Linotype"/>
          <w:i/>
          <w:lang w:val="es-MX"/>
        </w:rPr>
        <w:t>actividad probatoria positiva</w:t>
      </w:r>
      <w:r w:rsidRPr="00D66245">
        <w:rPr>
          <w:rFonts w:ascii="Palatino Linotype" w:hAnsi="Palatino Linotype"/>
          <w:lang w:val="es-MX"/>
        </w:rPr>
        <w:t xml:space="preserve">, es decir, probando la realización del hecho base, a cargo de la parte beneficiada, y una </w:t>
      </w:r>
      <w:r w:rsidRPr="00D66245">
        <w:rPr>
          <w:rFonts w:ascii="Palatino Linotype" w:hAnsi="Palatino Linotype"/>
          <w:i/>
          <w:lang w:val="es-MX"/>
        </w:rPr>
        <w:t>actividad probatoria negativa</w:t>
      </w:r>
      <w:r w:rsidRPr="00D66245">
        <w:rPr>
          <w:rFonts w:ascii="Palatino Linotype" w:hAnsi="Palatino Linotype"/>
          <w:lang w:val="es-MX"/>
        </w:rPr>
        <w:t>, probando la no realización del hecho deducido, a cargo de la parte perjudicada.”</w:t>
      </w:r>
      <w:r w:rsidRPr="00D66245">
        <w:rPr>
          <w:rStyle w:val="Refdenotaalpie"/>
          <w:rFonts w:ascii="Palatino Linotype" w:hAnsi="Palatino Linotype"/>
          <w:lang w:val="es-MX"/>
        </w:rPr>
        <w:footnoteReference w:id="259"/>
      </w:r>
    </w:p>
    <w:p w14:paraId="603B5DA4"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lang w:val="es-MX"/>
        </w:rPr>
        <w:t>En relación con el hecho deducido o presunto, la prueba</w:t>
      </w:r>
      <w:r w:rsidRPr="00D66245">
        <w:rPr>
          <w:rFonts w:ascii="Palatino Linotype" w:hAnsi="Palatino Linotype"/>
        </w:rPr>
        <w:t xml:space="preserve"> de lo contrario implica la comprobación de </w:t>
      </w:r>
      <w:r w:rsidRPr="00D66245">
        <w:rPr>
          <w:rFonts w:ascii="Palatino Linotype" w:hAnsi="Palatino Linotype"/>
          <w:lang w:val="es-MX"/>
        </w:rPr>
        <w:t>otros hechos que hacen incoherente derivar el hecho presunto del hecho base.</w:t>
      </w:r>
      <w:r w:rsidRPr="00D66245">
        <w:rPr>
          <w:rFonts w:ascii="Palatino Linotype" w:hAnsi="Palatino Linotype"/>
          <w:vertAlign w:val="superscript"/>
          <w:lang w:val="es-MX"/>
        </w:rPr>
        <w:footnoteReference w:id="260"/>
      </w:r>
    </w:p>
    <w:p w14:paraId="60845716"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rPr>
        <w:t xml:space="preserve">La prueba de lo contrario puede ser directa o indirecta. </w:t>
      </w:r>
      <w:r w:rsidRPr="00D66245">
        <w:rPr>
          <w:rFonts w:ascii="Palatino Linotype" w:hAnsi="Palatino Linotype"/>
          <w:lang w:val="es-MX"/>
        </w:rPr>
        <w:t xml:space="preserve">Desde este punto de vista, caben dos formas de prueba: la prueba directa de lo contrario, esto es, aquella orientada a demostrar que el hecho presumido no es verdadero (por ejemplo, en la presunción de incremento no justificado de patrimonio típica de muchos ordenamientos, se evidencia que éste no ha constituido renta gravable); la prueba indirecta de lo contrario, esto es, aquella que, a través de elementos indiciarios permite demostrar lo improbable del hecho presumido (en el ejemplo, la ausencia de una renta gravable de la magnitud presumida). En efecto, de acuerdo con el artículo 140 CNPT, pueden invocarse todos los medios de prueba admitidos en derecho, siendo que es usual en las legislaciones procesales civiles el reconocimiento como medio o método de prueba las presunciones, que se basan en indicios. En particular, es la presunción </w:t>
      </w:r>
      <w:r w:rsidRPr="00D66245">
        <w:rPr>
          <w:rFonts w:ascii="Palatino Linotype" w:hAnsi="Palatino Linotype"/>
          <w:i/>
          <w:lang w:val="es-MX"/>
        </w:rPr>
        <w:t>hominis</w:t>
      </w:r>
      <w:r w:rsidRPr="00D66245">
        <w:rPr>
          <w:rFonts w:ascii="Palatino Linotype" w:hAnsi="Palatino Linotype"/>
          <w:lang w:val="es-MX"/>
        </w:rPr>
        <w:t xml:space="preserve"> la clase de presunción que se adapta a este supuesto.</w:t>
      </w:r>
      <w:r w:rsidRPr="00D66245">
        <w:rPr>
          <w:rStyle w:val="Refdenotaalpie"/>
          <w:rFonts w:ascii="Palatino Linotype" w:hAnsi="Palatino Linotype"/>
          <w:lang w:val="es-MX"/>
        </w:rPr>
        <w:footnoteReference w:id="261"/>
      </w:r>
    </w:p>
    <w:p w14:paraId="500DC028"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lang w:val="es-MX"/>
        </w:rPr>
        <w:t>También la prueba de lo contrario puede tener por objeto el que en el caso particular no se cumple la máxima de experiencia establecida con carácter general en la presunción o, incluso, probar que ésta no se cumple con carácter universal.</w:t>
      </w:r>
      <w:r w:rsidRPr="00D66245">
        <w:rPr>
          <w:rStyle w:val="Refdenotaalpie"/>
          <w:rFonts w:ascii="Palatino Linotype" w:hAnsi="Palatino Linotype"/>
          <w:lang w:val="es-MX"/>
        </w:rPr>
        <w:footnoteReference w:id="262"/>
      </w:r>
    </w:p>
    <w:p w14:paraId="3A919E37" w14:textId="77777777" w:rsidR="00E66130" w:rsidRPr="00D66245" w:rsidRDefault="00E66130" w:rsidP="00E66130">
      <w:pPr>
        <w:widowControl w:val="0"/>
        <w:spacing w:before="120" w:after="200" w:line="240" w:lineRule="auto"/>
        <w:ind w:right="74"/>
        <w:jc w:val="both"/>
        <w:rPr>
          <w:rFonts w:ascii="Palatino Linotype" w:hAnsi="Palatino Linotype"/>
          <w:lang w:val="es-MX"/>
        </w:rPr>
      </w:pPr>
      <w:r w:rsidRPr="00D66245">
        <w:rPr>
          <w:rFonts w:ascii="Palatino Linotype" w:hAnsi="Palatino Linotype"/>
          <w:lang w:val="es-MX"/>
        </w:rPr>
        <w:t>En las presunciones absolutas, en que no cabe prueba en contrario del hecho deducido o presunto, si bien como veremos, parte de la doctrina se inclina por no considerarlas verdaderas presunciones sino más bien figuras pertenecientes a la disciplina material del tributo, lo cierto es que tienen algún aspecto relevante desde el punto de vista probatorio: de los dos tipos de actividad probatoria indicados, en este tipo de presunciones subsiste  la actividad probatoria positiva por parte del beneficiado por la pretensión, en relación con la existencia del hecho base o indicio.</w:t>
      </w:r>
      <w:r w:rsidRPr="00D66245">
        <w:rPr>
          <w:rStyle w:val="Refdenotaalpie"/>
          <w:rFonts w:ascii="Palatino Linotype" w:hAnsi="Palatino Linotype"/>
          <w:lang w:val="es-MX"/>
        </w:rPr>
        <w:footnoteReference w:id="263"/>
      </w:r>
      <w:r w:rsidRPr="00D66245">
        <w:rPr>
          <w:rFonts w:ascii="Palatino Linotype" w:hAnsi="Palatino Linotype"/>
          <w:lang w:val="es-MX"/>
        </w:rPr>
        <w:t xml:space="preserve"> </w:t>
      </w:r>
    </w:p>
    <w:p w14:paraId="7F6F7C18" w14:textId="77777777" w:rsidR="00E66130" w:rsidRPr="00D66245" w:rsidRDefault="00E66130" w:rsidP="00E66130">
      <w:pPr>
        <w:widowControl w:val="0"/>
        <w:spacing w:before="120" w:after="200" w:line="240" w:lineRule="auto"/>
        <w:ind w:right="74"/>
        <w:jc w:val="both"/>
        <w:rPr>
          <w:rFonts w:ascii="Palatino Linotype" w:hAnsi="Palatino Linotype"/>
          <w:lang w:val="es-MX"/>
        </w:rPr>
      </w:pPr>
      <w:r w:rsidRPr="00D66245">
        <w:rPr>
          <w:rFonts w:ascii="Palatino Linotype" w:hAnsi="Palatino Linotype"/>
          <w:lang w:val="es-MX"/>
        </w:rPr>
        <w:t>Ahora, en ambos tipos de presunciones, la parte afectada también puede realizar una actividad probatoria negativa, denominada contraprueba, dirigida a demostrar la inexistencia del hecho base o, bien, a demostrar la ilicitud de los elementos de prueba del hecho base.</w:t>
      </w:r>
    </w:p>
    <w:p w14:paraId="72F895EF"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lang w:val="es-MX"/>
        </w:rPr>
        <w:t>Luego, la aplicación de las presunciones por parte de sus destinatarios abarca distintos momentos</w:t>
      </w:r>
      <w:r w:rsidRPr="00D66245">
        <w:rPr>
          <w:rStyle w:val="Refdenotaalpie"/>
          <w:rFonts w:ascii="Palatino Linotype" w:hAnsi="Palatino Linotype"/>
          <w:lang w:val="es-MX"/>
        </w:rPr>
        <w:footnoteReference w:id="264"/>
      </w:r>
      <w:r w:rsidRPr="00D66245">
        <w:rPr>
          <w:rFonts w:ascii="Palatino Linotype" w:hAnsi="Palatino Linotype"/>
          <w:lang w:val="es-MX"/>
        </w:rPr>
        <w:t xml:space="preserve">: </w:t>
      </w:r>
    </w:p>
    <w:p w14:paraId="459CDD59" w14:textId="77777777" w:rsidR="00E66130" w:rsidRPr="00D66245" w:rsidRDefault="00E66130" w:rsidP="00E66130">
      <w:pPr>
        <w:pStyle w:val="Prrafodelista"/>
        <w:numPr>
          <w:ilvl w:val="0"/>
          <w:numId w:val="31"/>
        </w:numPr>
        <w:spacing w:before="120" w:after="200" w:line="240" w:lineRule="auto"/>
        <w:ind w:right="74"/>
        <w:contextualSpacing w:val="0"/>
        <w:jc w:val="both"/>
        <w:rPr>
          <w:rFonts w:ascii="Palatino Linotype" w:hAnsi="Palatino Linotype"/>
          <w:lang w:val="es-MX"/>
        </w:rPr>
      </w:pPr>
      <w:r w:rsidRPr="00D66245">
        <w:rPr>
          <w:rFonts w:ascii="Palatino Linotype" w:hAnsi="Palatino Linotype"/>
          <w:lang w:val="es-MX"/>
        </w:rPr>
        <w:t>el espacio de tiempo anterior a la presentación de la autoliquidación, en que el obligado tributario realiza, en su ámbito natural de actuación, el hecho base. En esta etapa, el obligado debe conformar el conjunto de elementos de juicio o pruebas sobre cuya base se presentará su autoliquidación, valorarlos y calificar jurídicamente los hechos y cuantificarlos para su ulterior traslado a la autoliquidación, sea para evitar la aplicación de la presunción (si le desfavorece), sea para asegurar que no le será desactivada o destruida (si le favorece). Aquí se da actividad probatoria en sentido amplio, como indicamos atrás;</w:t>
      </w:r>
    </w:p>
    <w:p w14:paraId="2DE46BFC" w14:textId="77777777" w:rsidR="00E66130" w:rsidRPr="00D66245" w:rsidRDefault="00E66130" w:rsidP="00E66130">
      <w:pPr>
        <w:pStyle w:val="Prrafodelista"/>
        <w:numPr>
          <w:ilvl w:val="0"/>
          <w:numId w:val="31"/>
        </w:numPr>
        <w:spacing w:before="120" w:after="200" w:line="240" w:lineRule="auto"/>
        <w:ind w:right="74"/>
        <w:contextualSpacing w:val="0"/>
        <w:jc w:val="both"/>
        <w:rPr>
          <w:rFonts w:ascii="Palatino Linotype" w:hAnsi="Palatino Linotype"/>
          <w:lang w:val="es-MX"/>
        </w:rPr>
      </w:pPr>
      <w:r w:rsidRPr="00D66245">
        <w:rPr>
          <w:rFonts w:ascii="Palatino Linotype" w:hAnsi="Palatino Linotype"/>
          <w:lang w:val="es-MX"/>
        </w:rPr>
        <w:t>en los procedimientos de comprobación, en que las presunciones producen efectos probatorios en sentido estricto, como fundamento del acto de liquidación;</w:t>
      </w:r>
    </w:p>
    <w:p w14:paraId="2F0F756B" w14:textId="77777777" w:rsidR="00E66130" w:rsidRPr="00D66245" w:rsidRDefault="00E66130" w:rsidP="00E66130">
      <w:pPr>
        <w:pStyle w:val="Prrafodelista"/>
        <w:numPr>
          <w:ilvl w:val="0"/>
          <w:numId w:val="31"/>
        </w:numPr>
        <w:spacing w:before="120" w:after="200" w:line="240" w:lineRule="auto"/>
        <w:ind w:right="74"/>
        <w:contextualSpacing w:val="0"/>
        <w:jc w:val="both"/>
        <w:rPr>
          <w:rFonts w:ascii="Palatino Linotype" w:hAnsi="Palatino Linotype"/>
          <w:lang w:val="es-MX"/>
        </w:rPr>
      </w:pPr>
      <w:r w:rsidRPr="00D66245">
        <w:rPr>
          <w:rFonts w:ascii="Palatino Linotype" w:hAnsi="Palatino Linotype"/>
          <w:lang w:val="es-MX"/>
        </w:rPr>
        <w:t>en el procedimiento de revisión administrativa en que la propia Administración directamente o por medio de los Tribunales Administrativos controla si los actos de liquidación fundados en pretensiones se ajustan a la legalidad.</w:t>
      </w:r>
    </w:p>
    <w:p w14:paraId="7F185FA9" w14:textId="77777777" w:rsidR="00E66130" w:rsidRPr="00D66245" w:rsidRDefault="00E66130" w:rsidP="00E66130">
      <w:pPr>
        <w:pStyle w:val="Prrafodelista"/>
        <w:numPr>
          <w:ilvl w:val="0"/>
          <w:numId w:val="31"/>
        </w:numPr>
        <w:spacing w:before="120" w:after="200" w:line="240" w:lineRule="auto"/>
        <w:ind w:right="74"/>
        <w:contextualSpacing w:val="0"/>
        <w:jc w:val="both"/>
        <w:rPr>
          <w:rFonts w:ascii="Palatino Linotype" w:hAnsi="Palatino Linotype"/>
          <w:lang w:val="es-MX"/>
        </w:rPr>
      </w:pPr>
      <w:r w:rsidRPr="00D66245">
        <w:rPr>
          <w:rFonts w:ascii="Palatino Linotype" w:hAnsi="Palatino Linotype"/>
          <w:lang w:val="es-MX"/>
        </w:rPr>
        <w:t xml:space="preserve"> en el proceso Contencioso-Administrativo, en que la jurisdicción revisará la legalidad en la aplicación de las presunciones. </w:t>
      </w:r>
    </w:p>
    <w:p w14:paraId="651AD5C5" w14:textId="77777777" w:rsidR="00E66130" w:rsidRPr="00BC4AB5" w:rsidRDefault="00E66130" w:rsidP="00E66130">
      <w:pPr>
        <w:pStyle w:val="Ttulo4"/>
        <w:spacing w:before="120" w:after="200"/>
        <w:jc w:val="both"/>
        <w:rPr>
          <w:rFonts w:ascii="Palatino Linotype" w:hAnsi="Palatino Linotype"/>
          <w:b/>
          <w:color w:val="auto"/>
          <w:lang w:val="es-MX"/>
        </w:rPr>
      </w:pPr>
      <w:bookmarkStart w:id="64" w:name="_Toc490818932"/>
      <w:r w:rsidRPr="00BC4AB5">
        <w:rPr>
          <w:rFonts w:ascii="Palatino Linotype" w:hAnsi="Palatino Linotype"/>
          <w:b/>
          <w:color w:val="auto"/>
          <w:lang w:val="es-MX"/>
        </w:rPr>
        <w:t xml:space="preserve">4. </w:t>
      </w:r>
      <w:r w:rsidRPr="00BC4AB5">
        <w:rPr>
          <w:rFonts w:ascii="Palatino Linotype" w:hAnsi="Palatino Linotype"/>
          <w:b/>
          <w:color w:val="auto"/>
          <w:lang w:val="es-ES_tradnl"/>
        </w:rPr>
        <w:t>Finalidad de las presunciones</w:t>
      </w:r>
      <w:bookmarkEnd w:id="64"/>
    </w:p>
    <w:p w14:paraId="5187DEAD"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lang w:val="es-ES_tradnl"/>
        </w:rPr>
        <w:t>En cuanto a su finalidad, las presunciones obedecen a dos tipos de objetivos fundamentales: por una parte, como un mecanismo de prevención o lucha contra el fraude fiscal, “al disuadir a los defraudadores de la realización de determinadas conductas”; por otra parte, “como un mecanismo jurídico idóneo en manos del legislador para reducir el elevado número de conflictos en aquellos temas caracterizados por una especial dificultad de la prueba.”</w:t>
      </w:r>
      <w:r w:rsidRPr="00D66245">
        <w:rPr>
          <w:rStyle w:val="Refdenotaalpie"/>
          <w:rFonts w:ascii="Palatino Linotype" w:hAnsi="Palatino Linotype"/>
          <w:lang w:val="es-ES_tradnl"/>
        </w:rPr>
        <w:footnoteReference w:id="265"/>
      </w:r>
      <w:r w:rsidRPr="00D66245">
        <w:rPr>
          <w:rFonts w:ascii="Palatino Linotype" w:hAnsi="Palatino Linotype"/>
          <w:lang w:val="es-ES_tradnl"/>
        </w:rPr>
        <w:t xml:space="preserve"> </w:t>
      </w:r>
    </w:p>
    <w:p w14:paraId="64767334" w14:textId="77777777" w:rsidR="00E66130" w:rsidRPr="00D66245" w:rsidRDefault="00E66130" w:rsidP="00E66130">
      <w:pPr>
        <w:pStyle w:val="Ttulo4"/>
        <w:spacing w:before="120" w:after="200"/>
        <w:jc w:val="both"/>
        <w:rPr>
          <w:rFonts w:ascii="Palatino Linotype" w:hAnsi="Palatino Linotype"/>
          <w:b/>
          <w:color w:val="auto"/>
          <w:lang w:val="es-MX"/>
        </w:rPr>
      </w:pPr>
      <w:bookmarkStart w:id="65" w:name="_Toc490818933"/>
      <w:r w:rsidRPr="00D66245">
        <w:rPr>
          <w:rFonts w:ascii="Palatino Linotype" w:hAnsi="Palatino Linotype"/>
          <w:b/>
          <w:color w:val="auto"/>
          <w:lang w:val="es-MX"/>
        </w:rPr>
        <w:t>5.  Clases de presunciones</w:t>
      </w:r>
      <w:bookmarkEnd w:id="65"/>
      <w:r w:rsidRPr="00D66245">
        <w:rPr>
          <w:rFonts w:ascii="Palatino Linotype" w:hAnsi="Palatino Linotype"/>
          <w:b/>
          <w:color w:val="auto"/>
          <w:lang w:val="es-MX"/>
        </w:rPr>
        <w:t xml:space="preserve">  </w:t>
      </w:r>
    </w:p>
    <w:p w14:paraId="2F2E825C"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lang w:val="es-MX"/>
        </w:rPr>
        <w:t xml:space="preserve">Dos son los criterios tradicionalmente utilizados para clasificar las presunciones: el primero es según quien realice la deducción lógica entre el hecho probado y el hecho presumido.  En el ámbito procesal, este criterio llevó a distinguir entre presunciones </w:t>
      </w:r>
      <w:r w:rsidRPr="00D66245">
        <w:rPr>
          <w:rFonts w:ascii="Palatino Linotype" w:hAnsi="Palatino Linotype"/>
          <w:i/>
          <w:lang w:val="es-MX"/>
        </w:rPr>
        <w:t>iuris</w:t>
      </w:r>
      <w:r w:rsidRPr="00D66245">
        <w:rPr>
          <w:rFonts w:ascii="Palatino Linotype" w:hAnsi="Palatino Linotype"/>
          <w:lang w:val="es-MX"/>
        </w:rPr>
        <w:t xml:space="preserve"> o legales, en que quien realiza tal deducción o proceso mental es el legislador y  presunciones </w:t>
      </w:r>
      <w:r w:rsidRPr="00D66245">
        <w:rPr>
          <w:rFonts w:ascii="Palatino Linotype" w:hAnsi="Palatino Linotype"/>
          <w:i/>
          <w:lang w:val="es-MX"/>
        </w:rPr>
        <w:t>hominis</w:t>
      </w:r>
      <w:r w:rsidRPr="00D66245">
        <w:rPr>
          <w:rFonts w:ascii="Palatino Linotype" w:hAnsi="Palatino Linotype"/>
          <w:lang w:val="es-MX"/>
        </w:rPr>
        <w:t xml:space="preserve">, también llamadas presunciones de hecho o </w:t>
      </w:r>
      <w:r w:rsidRPr="00D66245">
        <w:rPr>
          <w:rFonts w:ascii="Palatino Linotype" w:hAnsi="Palatino Linotype"/>
          <w:i/>
          <w:lang w:val="es-MX"/>
        </w:rPr>
        <w:t xml:space="preserve">facti, </w:t>
      </w:r>
      <w:r w:rsidRPr="00D66245">
        <w:rPr>
          <w:rFonts w:ascii="Palatino Linotype" w:hAnsi="Palatino Linotype"/>
          <w:lang w:val="es-MX"/>
        </w:rPr>
        <w:t>o “presunciones no legales o deductivas”, en que quien la (o) realiza es el juez.</w:t>
      </w:r>
      <w:r w:rsidRPr="00D66245">
        <w:rPr>
          <w:rStyle w:val="Refdenotaalpie"/>
          <w:rFonts w:ascii="Palatino Linotype" w:hAnsi="Palatino Linotype"/>
          <w:lang w:val="es-MX"/>
        </w:rPr>
        <w:footnoteReference w:id="266"/>
      </w:r>
      <w:r w:rsidRPr="00D66245">
        <w:rPr>
          <w:rFonts w:ascii="Palatino Linotype" w:hAnsi="Palatino Linotype"/>
          <w:lang w:val="es-MX"/>
        </w:rPr>
        <w:t xml:space="preserve"> El segundo criterio está en función de si es posible o no la prueba en contrario, de donde deriva la distinción entre presunciones </w:t>
      </w:r>
      <w:r w:rsidRPr="00D66245">
        <w:rPr>
          <w:rFonts w:ascii="Palatino Linotype" w:hAnsi="Palatino Linotype"/>
          <w:i/>
          <w:lang w:val="es-MX"/>
        </w:rPr>
        <w:t>iure et de iure</w:t>
      </w:r>
      <w:r w:rsidRPr="00D66245">
        <w:rPr>
          <w:rFonts w:ascii="Palatino Linotype" w:hAnsi="Palatino Linotype"/>
          <w:lang w:val="es-MX"/>
        </w:rPr>
        <w:t xml:space="preserve"> o absolutas y presunciones </w:t>
      </w:r>
      <w:r w:rsidRPr="00D66245">
        <w:rPr>
          <w:rFonts w:ascii="Palatino Linotype" w:hAnsi="Palatino Linotype"/>
          <w:i/>
          <w:lang w:val="es-MX"/>
        </w:rPr>
        <w:t>iuris tantum</w:t>
      </w:r>
      <w:r w:rsidRPr="00D66245">
        <w:rPr>
          <w:rFonts w:ascii="Palatino Linotype" w:hAnsi="Palatino Linotype"/>
          <w:lang w:val="es-MX"/>
        </w:rPr>
        <w:t xml:space="preserve"> o relativas. </w:t>
      </w:r>
    </w:p>
    <w:p w14:paraId="264BCF8D"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lang w:val="es-MX"/>
        </w:rPr>
        <w:t xml:space="preserve">En cuanto al primer criterio de clasificación, la incorporación del instituto de las presunciones a Códigos Tributarios o Leyes Generales marca una diferencia importante en cuanto a quien realiza la deducción lógica en las presunciones </w:t>
      </w:r>
      <w:r w:rsidRPr="00D66245">
        <w:rPr>
          <w:rFonts w:ascii="Palatino Linotype" w:hAnsi="Palatino Linotype"/>
          <w:i/>
          <w:lang w:val="es-MX"/>
        </w:rPr>
        <w:t>hominis</w:t>
      </w:r>
      <w:r w:rsidRPr="00D66245">
        <w:rPr>
          <w:rFonts w:ascii="Palatino Linotype" w:hAnsi="Palatino Linotype"/>
          <w:lang w:val="es-MX"/>
        </w:rPr>
        <w:t xml:space="preserve">, pues ya no va a ser en primera instancia el juez sino la propia Administración Tributaria o, incluso, los obligados tributarios cuando utilizan este tipo de presunciones, como vimos, para combatir la aplicación de una presunción que los desfavorece. Hecha esta precisión, habría que decir que en las presunciones legales el legislador se adelante a resolver (o prevenir) un problema probatorio que puede plantearse en el futuro, mientras que en las presunciones </w:t>
      </w:r>
      <w:r w:rsidRPr="00D66245">
        <w:rPr>
          <w:rFonts w:ascii="Palatino Linotype" w:hAnsi="Palatino Linotype"/>
          <w:i/>
          <w:lang w:val="es-MX"/>
        </w:rPr>
        <w:t>hominis</w:t>
      </w:r>
      <w:r w:rsidRPr="00D66245">
        <w:rPr>
          <w:rFonts w:ascii="Palatino Linotype" w:hAnsi="Palatino Linotype"/>
          <w:lang w:val="es-MX"/>
        </w:rPr>
        <w:t xml:space="preserve"> “se solventa un problema probatorio del presente, es decir, las presunciones </w:t>
      </w:r>
      <w:r w:rsidRPr="00D66245">
        <w:rPr>
          <w:rFonts w:ascii="Palatino Linotype" w:hAnsi="Palatino Linotype"/>
          <w:i/>
          <w:lang w:val="es-MX"/>
        </w:rPr>
        <w:t>hominis</w:t>
      </w:r>
      <w:r w:rsidRPr="00D66245">
        <w:rPr>
          <w:rFonts w:ascii="Palatino Linotype" w:hAnsi="Palatino Linotype"/>
          <w:lang w:val="es-MX"/>
        </w:rPr>
        <w:t xml:space="preserve"> se presentan en la práctica como “último recurso probatorio”, cuando se constate la inexistencia o ausencia de pruebas directas.”</w:t>
      </w:r>
      <w:r w:rsidRPr="00D66245">
        <w:rPr>
          <w:rStyle w:val="Refdenotaalpie"/>
          <w:rFonts w:ascii="Palatino Linotype" w:hAnsi="Palatino Linotype"/>
          <w:lang w:val="es-MX"/>
        </w:rPr>
        <w:footnoteReference w:id="267"/>
      </w:r>
      <w:r w:rsidRPr="00D66245">
        <w:rPr>
          <w:rFonts w:ascii="Palatino Linotype" w:hAnsi="Palatino Linotype"/>
          <w:lang w:val="es-MX"/>
        </w:rPr>
        <w:t xml:space="preserve">    </w:t>
      </w:r>
    </w:p>
    <w:p w14:paraId="45661CAE"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rPr>
        <w:t xml:space="preserve">Ahora, entendemos que, además de diferenciarse a nivel de quien realiza la deducción lógica, las presunciones legales y las </w:t>
      </w:r>
      <w:r w:rsidRPr="00D66245">
        <w:rPr>
          <w:rFonts w:ascii="Palatino Linotype" w:hAnsi="Palatino Linotype"/>
          <w:i/>
        </w:rPr>
        <w:t>hominis</w:t>
      </w:r>
      <w:r w:rsidRPr="00D66245">
        <w:rPr>
          <w:rFonts w:ascii="Palatino Linotype" w:hAnsi="Palatino Linotype"/>
        </w:rPr>
        <w:t xml:space="preserve"> se diferencian también porque, en las primeras, también el legislador define el hecho base y el hecho presunto, como </w:t>
      </w:r>
      <w:r w:rsidRPr="00D66245">
        <w:rPr>
          <w:rFonts w:ascii="Palatino Linotype" w:hAnsi="Palatino Linotype"/>
          <w:lang w:val="es-ES_tradnl"/>
        </w:rPr>
        <w:t xml:space="preserve">sucede con la presunción de incremento no justificado de patrimonio regulada en la mayoría de los ordenamientos jurídicos. En cambio, en las segundas, la selección del hecho base -constituido por “indicios”- así como el hecho deducido será realizada por los aplicadores de la norma según las circunstancias fácticas y jurídicas concretas.  Adicionalmente, a quien se beneficia de una presunción legal, le bastará probar el hecho base para que deba tenerse por probado el hecho presunto, sin tener que convencer al juez o a la Administración sobre el nexo lógico existente entre ambos; en cambio, quien pretende beneficiarse de una presunción </w:t>
      </w:r>
      <w:r w:rsidRPr="00D66245">
        <w:rPr>
          <w:rFonts w:ascii="Palatino Linotype" w:hAnsi="Palatino Linotype"/>
          <w:i/>
          <w:lang w:val="es-ES_tradnl"/>
        </w:rPr>
        <w:t>hominis</w:t>
      </w:r>
      <w:r w:rsidRPr="00D66245">
        <w:rPr>
          <w:rFonts w:ascii="Palatino Linotype" w:hAnsi="Palatino Linotype"/>
          <w:lang w:val="es-ES_tradnl"/>
        </w:rPr>
        <w:t xml:space="preserve"> debe también convencer sobre la existencia de ese nexo entre el hecho base y el presunto</w:t>
      </w:r>
      <w:r w:rsidRPr="00D66245">
        <w:rPr>
          <w:rFonts w:ascii="Palatino Linotype" w:hAnsi="Palatino Linotype"/>
          <w:vertAlign w:val="superscript"/>
          <w:lang w:val="es-ES_tradnl"/>
        </w:rPr>
        <w:t>.</w:t>
      </w:r>
      <w:r w:rsidRPr="00D66245">
        <w:rPr>
          <w:rStyle w:val="Refdenotaalpie"/>
          <w:rFonts w:ascii="Palatino Linotype" w:hAnsi="Palatino Linotype"/>
          <w:lang w:val="es-ES_tradnl"/>
        </w:rPr>
        <w:footnoteReference w:id="268"/>
      </w:r>
      <w:r w:rsidRPr="00D66245">
        <w:rPr>
          <w:rFonts w:ascii="Palatino Linotype" w:hAnsi="Palatino Linotype"/>
          <w:lang w:val="es-ES_tradnl"/>
        </w:rPr>
        <w:t xml:space="preserve">     </w:t>
      </w:r>
    </w:p>
    <w:p w14:paraId="79670B7C"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lang w:val="es-ES_tradnl"/>
        </w:rPr>
        <w:t xml:space="preserve">El método de base presunta regulado en los artículos 125 b), 124 y 116 CNPT es una modalidad de “presunción </w:t>
      </w:r>
      <w:r w:rsidRPr="00D66245">
        <w:rPr>
          <w:rFonts w:ascii="Palatino Linotype" w:hAnsi="Palatino Linotype"/>
          <w:i/>
          <w:lang w:val="es-ES_tradnl"/>
        </w:rPr>
        <w:t>hominis</w:t>
      </w:r>
      <w:r w:rsidRPr="00D66245">
        <w:rPr>
          <w:rFonts w:ascii="Palatino Linotype" w:hAnsi="Palatino Linotype"/>
          <w:lang w:val="es-ES_tradnl"/>
        </w:rPr>
        <w:t>”.</w:t>
      </w:r>
      <w:r w:rsidRPr="00D66245">
        <w:rPr>
          <w:rStyle w:val="Refdenotaalpie"/>
          <w:rFonts w:ascii="Palatino Linotype" w:hAnsi="Palatino Linotype"/>
          <w:lang w:val="es-ES_tradnl"/>
        </w:rPr>
        <w:footnoteReference w:id="269"/>
      </w:r>
      <w:r w:rsidRPr="00D66245">
        <w:rPr>
          <w:rFonts w:ascii="Palatino Linotype" w:hAnsi="Palatino Linotype"/>
          <w:lang w:val="es-ES_tradnl"/>
        </w:rPr>
        <w:t xml:space="preserve"> Se trata, en esta modalidad, de</w:t>
      </w:r>
      <w:r w:rsidRPr="00D66245">
        <w:rPr>
          <w:rFonts w:ascii="Palatino Linotype" w:hAnsi="Palatino Linotype"/>
          <w:lang w:val="es-MX"/>
        </w:rPr>
        <w:t xml:space="preserve"> indicios que se extraen de la conexión de ciertos hechos demostrados con otros hechos que se presumen de acuerdo con reglas o máximas de experiencia, no estando los hechos demostrados ni los presumidos taxativamente indicados en la ley sino, a lo sumo, ejemplificados, y que deberán identificarse en cada caso concreto.  Este esquema de indicios es, precisamente, el regulado por el artículo 116 CNPT. </w:t>
      </w:r>
    </w:p>
    <w:p w14:paraId="013090CF"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lang w:val="es-MX"/>
        </w:rPr>
        <w:t xml:space="preserve">Ahora, el método de base presunta no puede ser aplicado por la Administración en vía principal, sino tan solo en vía subsidiaria, esto es, cuando se den las circunstancias previstas en los literales a, b y c del artículo 124 CNPT. Esto marca una diferencia relevante con el ordenamiento español, pues en éste las presunciones </w:t>
      </w:r>
      <w:r w:rsidRPr="00D66245">
        <w:rPr>
          <w:rFonts w:ascii="Palatino Linotype" w:hAnsi="Palatino Linotype"/>
          <w:i/>
          <w:lang w:val="es-MX"/>
        </w:rPr>
        <w:t xml:space="preserve">hominis </w:t>
      </w:r>
      <w:r w:rsidRPr="00D66245">
        <w:rPr>
          <w:rFonts w:ascii="Palatino Linotype" w:hAnsi="Palatino Linotype"/>
          <w:lang w:val="es-MX"/>
        </w:rPr>
        <w:t>pueden ser aplicadas de manera independiente de la aplicación del método de estimación indirecta y de sus requisitos. En otras palabras, la Administración española puede acudir a un método de prueba presuntiva indiciaria fuera de los requisitos de aplicación del método de estimación indirecta.</w:t>
      </w:r>
      <w:r w:rsidRPr="00D66245">
        <w:rPr>
          <w:rStyle w:val="Refdenotaalpie"/>
          <w:rFonts w:ascii="Palatino Linotype" w:hAnsi="Palatino Linotype"/>
          <w:lang w:val="es-MX"/>
        </w:rPr>
        <w:footnoteReference w:id="270"/>
      </w:r>
      <w:r w:rsidRPr="00D66245">
        <w:rPr>
          <w:rFonts w:ascii="Palatino Linotype" w:hAnsi="Palatino Linotype"/>
          <w:lang w:val="es-MX"/>
        </w:rPr>
        <w:t xml:space="preserve"> En el sistema costarricense esto no es posible, al no estar contempladas las presunciones </w:t>
      </w:r>
      <w:r w:rsidRPr="00D66245">
        <w:rPr>
          <w:rFonts w:ascii="Palatino Linotype" w:hAnsi="Palatino Linotype"/>
          <w:i/>
          <w:lang w:val="es-MX"/>
        </w:rPr>
        <w:t xml:space="preserve">hominis </w:t>
      </w:r>
      <w:r w:rsidRPr="00D66245">
        <w:rPr>
          <w:rFonts w:ascii="Palatino Linotype" w:hAnsi="Palatino Linotype"/>
          <w:lang w:val="es-MX"/>
        </w:rPr>
        <w:t>de manera independiente al método de base presunta. Por ello,</w:t>
      </w:r>
      <w:r w:rsidRPr="00D66245">
        <w:rPr>
          <w:rFonts w:ascii="Palatino Linotype" w:hAnsi="Palatino Linotype"/>
          <w:i/>
          <w:lang w:val="es-MX"/>
        </w:rPr>
        <w:t xml:space="preserve"> </w:t>
      </w:r>
      <w:r w:rsidRPr="00D66245">
        <w:rPr>
          <w:rFonts w:ascii="Palatino Linotype" w:hAnsi="Palatino Linotype"/>
          <w:lang w:val="es-MX"/>
        </w:rPr>
        <w:t xml:space="preserve">en aras del principio de legalidad que rige en materia administrativa, de acuerdo con el CNPT, la Administración Tributaria no podría acudir a la prueba de indicios si no es en el contexto de la aplicación del método de base presunta. </w:t>
      </w:r>
    </w:p>
    <w:p w14:paraId="3F2FF2F2"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lang w:val="es-MX"/>
        </w:rPr>
        <w:t xml:space="preserve">En cambio, desde el punto de vista del obligado tributario, la posibilidad de ofrecer indicios como prueba aun en el contexto de la aplicación del método de base cierta parece estar expedito, al no existir normas especiales que limiten, como sucede en el caso de la Administración, la aplicación supletoria de las normas procesales civiles sobre prueba, que suelen admitir como medio probatorio los “indicios”.  Por supuesto, esta posibilidad de aportar como prueba la de indicios también se presenta cuando la propia Administración aplica el método de base presunta u otras formas de presunción, como ya hemos visto. </w:t>
      </w:r>
    </w:p>
    <w:p w14:paraId="2D880C07"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lang w:val="es-ES_tradnl"/>
        </w:rPr>
        <w:t>En cuanto a la distinción entre presunciones absolutas y relativas, la diferencia está en que, en las primeras, no se admite prueba de lo contrario (ni de la inexistencia del hecho deducido ni del nexo lógico) -aunque sí se debe probar el hecho base- mientras que en las segundas sí se permite. En las primeras –que solo pueden tener la condición de presunción legal- la conexión que hace el legislador entre el hecho base y el presunto es más fuerte que en las segundas: en efecto, en las presunciones absolutas, tal conexión es indestructible una vez probado el hecho base; en las relativas, en cambio, aun demostrado el hecho base, se puede probar en contra del hecho presunto.</w:t>
      </w:r>
      <w:r w:rsidRPr="00D66245">
        <w:rPr>
          <w:rStyle w:val="Refdenotaalpie"/>
          <w:rFonts w:ascii="Palatino Linotype" w:hAnsi="Palatino Linotype"/>
          <w:lang w:val="es-ES_tradnl"/>
        </w:rPr>
        <w:footnoteReference w:id="271"/>
      </w:r>
    </w:p>
    <w:p w14:paraId="57422CE0"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lang w:val="es-ES_tradnl"/>
        </w:rPr>
        <w:t>Existe por ello discrepancia en la doctrina en cuanto a si las llamadas presunciones absolutas, que impiden cualquier actividad probatoria tendente a desvirtuar que en un caso concreto se haya producido el hecho presunto, son verdaderas presunciones. Así, por una parte, un sector de la doctrina</w:t>
      </w:r>
      <w:r w:rsidRPr="00D66245">
        <w:rPr>
          <w:rStyle w:val="Refdenotaalpie"/>
          <w:rFonts w:ascii="Palatino Linotype" w:hAnsi="Palatino Linotype"/>
          <w:lang w:val="es-ES_tradnl"/>
        </w:rPr>
        <w:footnoteReference w:id="272"/>
      </w:r>
      <w:r w:rsidRPr="00D66245">
        <w:rPr>
          <w:rFonts w:ascii="Palatino Linotype" w:hAnsi="Palatino Linotype"/>
          <w:lang w:val="es-ES_tradnl"/>
        </w:rPr>
        <w:t xml:space="preserve"> sostiene que en las presunciones absolutas se mantiene la estructura del nexo lógico o juicio de probabilidad o, incluso, que la Administración podría realizar de oficio una actividad probatoria en contrario si tiene otros elementos de juicio que aconsejen desactivar la presunción.    Otro sector, en cambio, las considera "normas de remisión", en el sentido de que no hacen más que disponer, dentro de la regulación material de un tributo, que las consecuencias jurídicas previstas para un cierto hecho, se le aplicarán </w:t>
      </w:r>
      <w:r w:rsidRPr="00D66245">
        <w:rPr>
          <w:rFonts w:ascii="Palatino Linotype" w:hAnsi="Palatino Linotype"/>
          <w:i/>
          <w:lang w:val="es-ES_tradnl"/>
        </w:rPr>
        <w:t>también</w:t>
      </w:r>
      <w:r w:rsidRPr="00D66245">
        <w:rPr>
          <w:rFonts w:ascii="Palatino Linotype" w:hAnsi="Palatino Linotype"/>
          <w:lang w:val="es-ES_tradnl"/>
        </w:rPr>
        <w:t xml:space="preserve"> a un hecho distinto, que tendrá que ser comprobado de manera directa.</w:t>
      </w:r>
      <w:r w:rsidRPr="00D66245">
        <w:rPr>
          <w:rFonts w:ascii="Palatino Linotype" w:hAnsi="Palatino Linotype"/>
          <w:vertAlign w:val="superscript"/>
          <w:lang w:val="es-ES_tradnl"/>
        </w:rPr>
        <w:footnoteReference w:id="273"/>
      </w:r>
      <w:r w:rsidRPr="00D66245">
        <w:rPr>
          <w:rFonts w:ascii="Palatino Linotype" w:hAnsi="Palatino Linotype"/>
          <w:lang w:val="es-ES_tradnl"/>
        </w:rPr>
        <w:t xml:space="preserve">  En tal sentido, se dice, el hecho base deja de ser tal para convertirse en supuesto de hecho, al que se anuda directamente las consecuencias jurídicas materiales.</w:t>
      </w:r>
      <w:r w:rsidRPr="00D66245">
        <w:rPr>
          <w:rStyle w:val="Refdenotaalpie"/>
          <w:rFonts w:ascii="Palatino Linotype" w:hAnsi="Palatino Linotype"/>
          <w:lang w:val="es-ES_tradnl"/>
        </w:rPr>
        <w:footnoteReference w:id="274"/>
      </w:r>
      <w:r w:rsidRPr="00D66245">
        <w:rPr>
          <w:rFonts w:ascii="Palatino Linotype" w:hAnsi="Palatino Linotype"/>
          <w:lang w:val="es-ES_tradnl"/>
        </w:rPr>
        <w:t xml:space="preserve"> </w:t>
      </w:r>
    </w:p>
    <w:p w14:paraId="140A4F34" w14:textId="77777777" w:rsidR="00E66130" w:rsidRPr="00D66245" w:rsidRDefault="00E66130" w:rsidP="00E66130">
      <w:pPr>
        <w:spacing w:before="120" w:after="200" w:line="240" w:lineRule="auto"/>
        <w:ind w:right="74"/>
        <w:jc w:val="both"/>
        <w:rPr>
          <w:rFonts w:ascii="Palatino Linotype" w:hAnsi="Palatino Linotype"/>
        </w:rPr>
      </w:pPr>
      <w:r w:rsidRPr="00D66245">
        <w:rPr>
          <w:rFonts w:ascii="Palatino Linotype" w:hAnsi="Palatino Linotype"/>
        </w:rPr>
        <w:t>Sea que se admita la tesis de que la presunción absoluta no es presunción sino parte de la regulación material o no, lo cierto es que se trata de una figura susceptible de entrar en conflictos de constitucionalidad.  Si se le considera “presunción”, entra en conflicto con el derecho constitucional de defensa, que incluye el derecho a la prueba.</w:t>
      </w:r>
      <w:r w:rsidRPr="00D66245">
        <w:rPr>
          <w:rStyle w:val="Refdenotaalpie"/>
          <w:rFonts w:ascii="Palatino Linotype" w:hAnsi="Palatino Linotype"/>
        </w:rPr>
        <w:footnoteReference w:id="275"/>
      </w:r>
      <w:r w:rsidRPr="00D66245">
        <w:rPr>
          <w:rFonts w:ascii="Palatino Linotype" w:hAnsi="Palatino Linotype"/>
        </w:rPr>
        <w:t xml:space="preserve"> Si no, entra en conflicto con el principio de capacidad económica.</w:t>
      </w:r>
    </w:p>
    <w:p w14:paraId="6A8D2D51" w14:textId="77777777" w:rsidR="00E66130" w:rsidRPr="00D66245" w:rsidRDefault="00E66130" w:rsidP="00E66130">
      <w:pPr>
        <w:spacing w:before="120" w:after="200" w:line="240" w:lineRule="auto"/>
        <w:ind w:right="74"/>
        <w:jc w:val="both"/>
        <w:rPr>
          <w:rFonts w:ascii="Palatino Linotype" w:hAnsi="Palatino Linotype"/>
          <w:b/>
          <w:lang w:val="es-MX"/>
        </w:rPr>
      </w:pPr>
      <w:r w:rsidRPr="00D66245">
        <w:rPr>
          <w:rFonts w:ascii="Palatino Linotype" w:hAnsi="Palatino Linotype"/>
          <w:b/>
          <w:lang w:val="es-MX"/>
        </w:rPr>
        <w:t>II. Casos: crónica de una práctica viciada.</w:t>
      </w:r>
    </w:p>
    <w:p w14:paraId="45107BCE" w14:textId="77777777" w:rsidR="00E66130" w:rsidRPr="00D66245" w:rsidRDefault="00E66130" w:rsidP="00E66130">
      <w:pPr>
        <w:spacing w:before="120" w:after="200" w:line="240" w:lineRule="auto"/>
        <w:ind w:right="74"/>
        <w:jc w:val="both"/>
        <w:rPr>
          <w:rFonts w:ascii="Palatino Linotype" w:hAnsi="Palatino Linotype"/>
          <w:b/>
          <w:lang w:val="es-MX"/>
        </w:rPr>
      </w:pPr>
      <w:r w:rsidRPr="00D66245">
        <w:rPr>
          <w:rFonts w:ascii="Palatino Linotype" w:hAnsi="Palatino Linotype"/>
          <w:b/>
          <w:lang w:val="es-MX"/>
        </w:rPr>
        <w:t>1.Casos relacionados con figuras no presuntivas</w:t>
      </w:r>
    </w:p>
    <w:p w14:paraId="246A5F96" w14:textId="609AE277" w:rsidR="00E66130" w:rsidRDefault="00E66130" w:rsidP="00BC4AB5">
      <w:pPr>
        <w:pStyle w:val="Textoindependiente2"/>
        <w:spacing w:before="120" w:after="200" w:line="240" w:lineRule="auto"/>
        <w:jc w:val="both"/>
        <w:rPr>
          <w:rFonts w:ascii="Palatino Linotype" w:hAnsi="Palatino Linotype"/>
          <w:b/>
          <w:szCs w:val="22"/>
          <w:lang w:val="es-MX"/>
        </w:rPr>
      </w:pPr>
      <w:r w:rsidRPr="00D66245">
        <w:rPr>
          <w:rFonts w:ascii="Palatino Linotype" w:hAnsi="Palatino Linotype"/>
          <w:b/>
          <w:szCs w:val="22"/>
          <w:lang w:val="es-MX"/>
        </w:rPr>
        <w:t>1.1.  Ficción vs. presunción</w:t>
      </w:r>
    </w:p>
    <w:p w14:paraId="1FE1B77D" w14:textId="77777777" w:rsidR="00E66130" w:rsidRPr="00D66245" w:rsidRDefault="00E66130" w:rsidP="00E66130">
      <w:pPr>
        <w:pStyle w:val="Textoindependiente2"/>
        <w:spacing w:before="120" w:after="200" w:line="240" w:lineRule="auto"/>
        <w:jc w:val="both"/>
        <w:rPr>
          <w:rFonts w:ascii="Palatino Linotype" w:hAnsi="Palatino Linotype"/>
          <w:szCs w:val="22"/>
          <w:lang w:val="es-CR"/>
        </w:rPr>
      </w:pPr>
      <w:r w:rsidRPr="00D66245">
        <w:rPr>
          <w:rFonts w:ascii="Palatino Linotype" w:hAnsi="Palatino Linotype"/>
          <w:szCs w:val="22"/>
          <w:lang w:val="es-MX"/>
        </w:rPr>
        <w:t xml:space="preserve">El caso que referimos fue resuelto por resolución No. 148-2012-VI de las 15 horas 35 minutos del 24 de julio  del 2012 del Tribunal Contencioso Administrativo, confirmada por la </w:t>
      </w:r>
      <w:r w:rsidRPr="00D66245">
        <w:rPr>
          <w:rFonts w:ascii="Palatino Linotype" w:hAnsi="Palatino Linotype"/>
          <w:bCs/>
          <w:szCs w:val="22"/>
          <w:lang w:val="es-MX"/>
        </w:rPr>
        <w:t xml:space="preserve">Res. 000774-F-S1-2014 de </w:t>
      </w:r>
      <w:r w:rsidRPr="00D66245">
        <w:rPr>
          <w:rFonts w:ascii="Palatino Linotype" w:hAnsi="Palatino Linotype"/>
          <w:szCs w:val="22"/>
          <w:lang w:val="es-MX"/>
        </w:rPr>
        <w:t>la Sala Primera de la Corte Suprema de Justicia.</w:t>
      </w:r>
    </w:p>
    <w:p w14:paraId="31490084" w14:textId="77777777" w:rsidR="00E66130" w:rsidRPr="00D66245" w:rsidRDefault="00E66130" w:rsidP="00E66130">
      <w:pPr>
        <w:pStyle w:val="Textoindependiente2"/>
        <w:spacing w:before="120" w:after="200" w:line="240" w:lineRule="auto"/>
        <w:jc w:val="both"/>
        <w:rPr>
          <w:rFonts w:ascii="Palatino Linotype" w:hAnsi="Palatino Linotype"/>
          <w:szCs w:val="22"/>
          <w:lang w:val="es-CR"/>
        </w:rPr>
      </w:pPr>
      <w:r w:rsidRPr="00D66245">
        <w:rPr>
          <w:rFonts w:ascii="Palatino Linotype" w:hAnsi="Palatino Linotype"/>
          <w:szCs w:val="22"/>
          <w:lang w:val="es-CR"/>
        </w:rPr>
        <w:t xml:space="preserve">El artículo 10 de la Ley del Impuesto sobre la Renta (y su desarrollo reglamentario) establece una </w:t>
      </w:r>
      <w:r w:rsidRPr="00D66245">
        <w:rPr>
          <w:rFonts w:ascii="Palatino Linotype" w:hAnsi="Palatino Linotype"/>
          <w:i/>
          <w:szCs w:val="22"/>
          <w:lang w:val="es-CR"/>
        </w:rPr>
        <w:t xml:space="preserve">presunción </w:t>
      </w:r>
      <w:r w:rsidRPr="00D66245">
        <w:rPr>
          <w:rFonts w:ascii="Palatino Linotype" w:hAnsi="Palatino Linotype"/>
          <w:szCs w:val="22"/>
          <w:lang w:val="es-CR"/>
        </w:rPr>
        <w:t xml:space="preserve">de </w:t>
      </w:r>
      <w:r w:rsidRPr="00D66245">
        <w:rPr>
          <w:rFonts w:ascii="Palatino Linotype" w:hAnsi="Palatino Linotype"/>
          <w:i/>
          <w:szCs w:val="22"/>
          <w:lang w:val="es-CR"/>
        </w:rPr>
        <w:t>intereses</w:t>
      </w:r>
      <w:r w:rsidRPr="00D66245">
        <w:rPr>
          <w:rFonts w:ascii="Palatino Linotype" w:hAnsi="Palatino Linotype"/>
          <w:szCs w:val="22"/>
          <w:lang w:val="es-CR"/>
        </w:rPr>
        <w:t xml:space="preserve">. Como toda presunción, tiene un hecho base, que debe ser acreditado y probado por el beneficiado de la exención y un hecho presunto que se conecta con el hecho base por criterios de </w:t>
      </w:r>
      <w:r w:rsidRPr="00D66245">
        <w:rPr>
          <w:rFonts w:ascii="Palatino Linotype" w:hAnsi="Palatino Linotype"/>
          <w:i/>
          <w:szCs w:val="22"/>
          <w:lang w:val="es-CR"/>
        </w:rPr>
        <w:t>normalidad y probabilidad.</w:t>
      </w:r>
      <w:r w:rsidRPr="00D66245">
        <w:rPr>
          <w:rFonts w:ascii="Palatino Linotype" w:hAnsi="Palatino Linotype"/>
          <w:szCs w:val="22"/>
          <w:lang w:val="es-CR"/>
        </w:rPr>
        <w:t xml:space="preserve"> Es decir, dado el hecho base, resulta normal y probable la existencia del hecho presunto.</w:t>
      </w:r>
    </w:p>
    <w:p w14:paraId="58A59414" w14:textId="77777777" w:rsidR="00E66130" w:rsidRPr="00D66245" w:rsidRDefault="00E66130" w:rsidP="00E66130">
      <w:pPr>
        <w:pStyle w:val="Textoindependiente2"/>
        <w:spacing w:before="120" w:after="200" w:line="240" w:lineRule="auto"/>
        <w:jc w:val="both"/>
        <w:rPr>
          <w:rStyle w:val="Irene"/>
          <w:rFonts w:ascii="Palatino Linotype" w:hAnsi="Palatino Linotype"/>
          <w:spacing w:val="-3"/>
          <w:szCs w:val="22"/>
          <w:lang w:val="es-CR"/>
        </w:rPr>
      </w:pPr>
      <w:r w:rsidRPr="00D66245">
        <w:rPr>
          <w:rFonts w:ascii="Palatino Linotype" w:hAnsi="Palatino Linotype"/>
          <w:szCs w:val="22"/>
          <w:lang w:val="es-CR"/>
        </w:rPr>
        <w:t xml:space="preserve">En este caso, el hecho base es un </w:t>
      </w:r>
      <w:r w:rsidRPr="00D66245">
        <w:rPr>
          <w:rFonts w:ascii="Palatino Linotype" w:hAnsi="Palatino Linotype"/>
          <w:i/>
          <w:szCs w:val="22"/>
          <w:lang w:val="es-CR"/>
        </w:rPr>
        <w:t>préstamo o financiamiento</w:t>
      </w:r>
      <w:r w:rsidRPr="00D66245">
        <w:rPr>
          <w:rFonts w:ascii="Palatino Linotype" w:hAnsi="Palatino Linotype"/>
          <w:szCs w:val="22"/>
          <w:lang w:val="es-CR"/>
        </w:rPr>
        <w:t xml:space="preserve">, y el hecho presunto una renta de </w:t>
      </w:r>
      <w:r w:rsidRPr="00D66245">
        <w:rPr>
          <w:rFonts w:ascii="Palatino Linotype" w:hAnsi="Palatino Linotype"/>
          <w:i/>
          <w:szCs w:val="22"/>
          <w:lang w:val="es-CR"/>
        </w:rPr>
        <w:t>interés.</w:t>
      </w:r>
      <w:r w:rsidRPr="00D66245">
        <w:rPr>
          <w:rFonts w:ascii="Palatino Linotype" w:hAnsi="Palatino Linotype"/>
          <w:szCs w:val="22"/>
          <w:lang w:val="es-CR"/>
        </w:rPr>
        <w:t xml:space="preserve"> Como señala</w:t>
      </w:r>
      <w:r w:rsidRPr="00D66245">
        <w:rPr>
          <w:rFonts w:ascii="Palatino Linotype" w:hAnsi="Palatino Linotype"/>
          <w:i/>
          <w:szCs w:val="22"/>
          <w:lang w:val="es-CR"/>
        </w:rPr>
        <w:t xml:space="preserve"> </w:t>
      </w:r>
      <w:r w:rsidRPr="00D66245">
        <w:rPr>
          <w:rStyle w:val="Irene"/>
          <w:rFonts w:ascii="Palatino Linotype" w:hAnsi="Palatino Linotype"/>
          <w:spacing w:val="-3"/>
          <w:szCs w:val="22"/>
          <w:lang w:val="es-CR"/>
        </w:rPr>
        <w:t>R. LUPI</w:t>
      </w:r>
      <w:r w:rsidRPr="00D66245">
        <w:rPr>
          <w:rStyle w:val="Refdenotaalpie"/>
          <w:rFonts w:ascii="Palatino Linotype" w:hAnsi="Palatino Linotype"/>
          <w:szCs w:val="22"/>
        </w:rPr>
        <w:footnoteReference w:id="276"/>
      </w:r>
      <w:r w:rsidRPr="00D66245">
        <w:rPr>
          <w:rStyle w:val="Irene"/>
          <w:rFonts w:ascii="Palatino Linotype" w:hAnsi="Palatino Linotype"/>
          <w:spacing w:val="-3"/>
          <w:szCs w:val="22"/>
          <w:lang w:val="es-CR"/>
        </w:rPr>
        <w:t>:</w:t>
      </w:r>
    </w:p>
    <w:p w14:paraId="632EB215" w14:textId="77777777" w:rsidR="00E66130" w:rsidRPr="00D66245" w:rsidRDefault="00E66130" w:rsidP="00E66130">
      <w:pPr>
        <w:pStyle w:val="Textoindependiente2"/>
        <w:spacing w:before="120" w:after="200" w:line="240" w:lineRule="auto"/>
        <w:ind w:left="705"/>
        <w:jc w:val="both"/>
        <w:rPr>
          <w:rFonts w:ascii="Palatino Linotype" w:hAnsi="Palatino Linotype"/>
          <w:szCs w:val="22"/>
          <w:lang w:val="es-CR"/>
        </w:rPr>
      </w:pPr>
      <w:r w:rsidRPr="00D66245">
        <w:rPr>
          <w:rStyle w:val="Irene"/>
          <w:rFonts w:ascii="Palatino Linotype" w:hAnsi="Palatino Linotype"/>
          <w:spacing w:val="-3"/>
          <w:szCs w:val="22"/>
          <w:lang w:val="es-CR"/>
        </w:rPr>
        <w:t>“los intereses se caracterizan por la directa proporcionalidad a un período de tiempo, por la predeterminación (entendida como "determinabilidad"), así como por la particular relación con el capital frugífero [...]</w:t>
      </w:r>
    </w:p>
    <w:p w14:paraId="1172C246" w14:textId="77777777" w:rsidR="00E66130" w:rsidRPr="00D66245" w:rsidRDefault="00E66130" w:rsidP="00E66130">
      <w:pPr>
        <w:pStyle w:val="Textoindependiente2"/>
        <w:spacing w:before="120" w:after="200" w:line="240" w:lineRule="auto"/>
        <w:jc w:val="both"/>
        <w:rPr>
          <w:rFonts w:ascii="Palatino Linotype" w:hAnsi="Palatino Linotype"/>
          <w:szCs w:val="22"/>
          <w:lang w:val="es-CR"/>
        </w:rPr>
      </w:pPr>
      <w:r w:rsidRPr="00D66245">
        <w:rPr>
          <w:rFonts w:ascii="Palatino Linotype" w:hAnsi="Palatino Linotype"/>
          <w:szCs w:val="22"/>
          <w:lang w:val="es-CR"/>
        </w:rPr>
        <w:t xml:space="preserve">Para que pueda existir un nexo de </w:t>
      </w:r>
      <w:r w:rsidRPr="00D66245">
        <w:rPr>
          <w:rFonts w:ascii="Palatino Linotype" w:hAnsi="Palatino Linotype"/>
          <w:i/>
          <w:szCs w:val="22"/>
          <w:lang w:val="es-CR"/>
        </w:rPr>
        <w:t>normalidad y probabilidad</w:t>
      </w:r>
      <w:r w:rsidRPr="00D66245">
        <w:rPr>
          <w:rFonts w:ascii="Palatino Linotype" w:hAnsi="Palatino Linotype"/>
          <w:szCs w:val="22"/>
          <w:lang w:val="es-CR"/>
        </w:rPr>
        <w:t xml:space="preserve"> entre el hecho base y el presunto, el préstamo o financiamiento </w:t>
      </w:r>
      <w:r w:rsidRPr="00D66245">
        <w:rPr>
          <w:rFonts w:ascii="Palatino Linotype" w:hAnsi="Palatino Linotype"/>
          <w:b/>
          <w:szCs w:val="22"/>
          <w:lang w:val="es-CR"/>
        </w:rPr>
        <w:t>necesariamente</w:t>
      </w:r>
      <w:r w:rsidRPr="00D66245">
        <w:rPr>
          <w:rFonts w:ascii="Palatino Linotype" w:hAnsi="Palatino Linotype"/>
          <w:szCs w:val="22"/>
          <w:lang w:val="es-CR"/>
        </w:rPr>
        <w:t xml:space="preserve"> debe ser de carácter sinalagmático y no asociativo, pues es anormal e improbable –aparte de jurídicamente imposible- que un financiamiento que se materialice en un aporte de capital o inversión patrimonial (como puede ser un capital en exceso) tenga como remuneración un </w:t>
      </w:r>
      <w:r w:rsidRPr="00D66245">
        <w:rPr>
          <w:rFonts w:ascii="Palatino Linotype" w:hAnsi="Palatino Linotype"/>
          <w:i/>
          <w:szCs w:val="22"/>
          <w:lang w:val="es-CR"/>
        </w:rPr>
        <w:t>interés</w:t>
      </w:r>
      <w:r w:rsidRPr="00D66245">
        <w:rPr>
          <w:rFonts w:ascii="Palatino Linotype" w:hAnsi="Palatino Linotype"/>
          <w:szCs w:val="22"/>
          <w:lang w:val="es-CR"/>
        </w:rPr>
        <w:t xml:space="preserve">, ya que la renta que se produce en este caso es un </w:t>
      </w:r>
      <w:r w:rsidRPr="00D66245">
        <w:rPr>
          <w:rFonts w:ascii="Palatino Linotype" w:hAnsi="Palatino Linotype"/>
          <w:i/>
          <w:szCs w:val="22"/>
          <w:lang w:val="es-CR"/>
        </w:rPr>
        <w:t>dividendo.</w:t>
      </w:r>
      <w:r w:rsidRPr="00D66245">
        <w:rPr>
          <w:rFonts w:ascii="Palatino Linotype" w:hAnsi="Palatino Linotype"/>
          <w:szCs w:val="22"/>
          <w:lang w:val="es-CR"/>
        </w:rPr>
        <w:t xml:space="preserve"> </w:t>
      </w:r>
    </w:p>
    <w:p w14:paraId="7A93A775" w14:textId="77777777" w:rsidR="00E66130" w:rsidRPr="00D66245" w:rsidRDefault="00E66130" w:rsidP="00E66130">
      <w:pPr>
        <w:pStyle w:val="Textoindependiente2"/>
        <w:spacing w:before="120" w:after="200" w:line="240" w:lineRule="auto"/>
        <w:jc w:val="both"/>
        <w:rPr>
          <w:rFonts w:ascii="Palatino Linotype" w:hAnsi="Palatino Linotype"/>
          <w:szCs w:val="22"/>
          <w:lang w:val="es-CR"/>
        </w:rPr>
      </w:pPr>
      <w:r w:rsidRPr="00D66245">
        <w:rPr>
          <w:rFonts w:ascii="Palatino Linotype" w:hAnsi="Palatino Linotype"/>
          <w:szCs w:val="22"/>
          <w:lang w:val="es-CR"/>
        </w:rPr>
        <w:t>La sentencia, en cambio, interpreta la norma como si también incluyera los financiamientos de carácter asociativo. El pasaje clave:</w:t>
      </w:r>
    </w:p>
    <w:p w14:paraId="0D8C1DE8" w14:textId="77777777" w:rsidR="00E66130" w:rsidRPr="00D66245" w:rsidRDefault="00E66130" w:rsidP="00E66130">
      <w:pPr>
        <w:pStyle w:val="Textoindependiente2"/>
        <w:spacing w:before="120" w:after="200" w:line="240" w:lineRule="auto"/>
        <w:ind w:left="705"/>
        <w:jc w:val="both"/>
        <w:rPr>
          <w:rFonts w:ascii="Palatino Linotype" w:hAnsi="Palatino Linotype"/>
          <w:szCs w:val="22"/>
          <w:lang w:val="es-CR"/>
        </w:rPr>
      </w:pPr>
      <w:r w:rsidRPr="00D66245">
        <w:rPr>
          <w:rFonts w:ascii="Palatino Linotype" w:hAnsi="Palatino Linotype"/>
          <w:szCs w:val="22"/>
          <w:lang w:val="es-CR"/>
        </w:rPr>
        <w:t xml:space="preserve">“En el caso del artículo 10 en cuestión, la norma presume que todo préstamo o financiamiento genera intereses o réditos, por tratarse de una operación onerosa de la cual el acreedor obtiene de dicha transacción, un ingreso o renta; sin que se plantee diferencia alguna respecto de la fuente o tipo de financiamiento. Por ello, estimamos que no resulta jurídicamente válida la argumentación que, en ese sentido, hace la actora, en tanto se prpetende una exclusión que no está prevista en la norma. Partiendo de lo anterior, la actora alega que no prestó ningún financiamiento sinalagmático a las compañías relacionadas, sino que lo que realizó fue un aporte patrimonial. Debe reiterarse que, en la forma en que está redactado el numeral 10 ibídem, la presunción se aplica para cualquier tipo de financiamiento, y no solo el sinalagmático.” </w:t>
      </w:r>
    </w:p>
    <w:p w14:paraId="5363FE0F" w14:textId="77777777" w:rsidR="00E66130" w:rsidRPr="00D66245" w:rsidRDefault="00E66130" w:rsidP="00E66130">
      <w:pPr>
        <w:pStyle w:val="Textoindependiente2"/>
        <w:spacing w:before="120" w:after="200" w:line="240" w:lineRule="auto"/>
        <w:jc w:val="both"/>
        <w:rPr>
          <w:rFonts w:ascii="Palatino Linotype" w:hAnsi="Palatino Linotype"/>
          <w:i/>
          <w:szCs w:val="22"/>
          <w:lang w:val="es-CR"/>
        </w:rPr>
      </w:pPr>
      <w:r w:rsidRPr="00D66245">
        <w:rPr>
          <w:rFonts w:ascii="Palatino Linotype" w:hAnsi="Palatino Linotype"/>
          <w:szCs w:val="22"/>
          <w:lang w:val="es-CR"/>
        </w:rPr>
        <w:t xml:space="preserve">La interpretación de la norma del artículo 10 LISR como una presunción es pacífica, de lo que son un ejemplo tanto  la propia sentencia, como las sentencias de la propia Sala Primera de la Corte  que ésta cita en su apoyo al final de su considerando IV (No. 1163-F-S1-2009, No. 0617-F-S1-2010 y 0529-F-S1-2011). Sin embargo, en el pasaje transcrito, la sentencia interpreta la norma </w:t>
      </w:r>
      <w:r w:rsidRPr="00D66245">
        <w:rPr>
          <w:rFonts w:ascii="Palatino Linotype" w:hAnsi="Palatino Linotype"/>
          <w:i/>
          <w:szCs w:val="22"/>
          <w:lang w:val="es-CR"/>
        </w:rPr>
        <w:t>como si lo que regulara es una ficción y no una presunción.</w:t>
      </w:r>
    </w:p>
    <w:p w14:paraId="3E1668CE" w14:textId="77777777" w:rsidR="00E66130" w:rsidRPr="00D66245" w:rsidRDefault="00E66130" w:rsidP="00E66130">
      <w:pPr>
        <w:pStyle w:val="Textoindependiente2"/>
        <w:spacing w:before="120" w:after="200" w:line="240" w:lineRule="auto"/>
        <w:jc w:val="both"/>
        <w:rPr>
          <w:rFonts w:ascii="Palatino Linotype" w:hAnsi="Palatino Linotype"/>
          <w:szCs w:val="22"/>
          <w:lang w:val="es-CR"/>
        </w:rPr>
      </w:pPr>
      <w:r w:rsidRPr="00D66245">
        <w:rPr>
          <w:rFonts w:ascii="Palatino Linotype" w:hAnsi="Palatino Linotype"/>
          <w:szCs w:val="22"/>
          <w:lang w:val="es-CR"/>
        </w:rPr>
        <w:t>Para ilustrar esta afirmación, MARÍN-BARNUEVO</w:t>
      </w:r>
      <w:r w:rsidRPr="00D66245">
        <w:rPr>
          <w:rStyle w:val="Refdenotaalpie"/>
          <w:rFonts w:ascii="Palatino Linotype" w:eastAsiaTheme="majorEastAsia" w:hAnsi="Palatino Linotype"/>
          <w:szCs w:val="22"/>
        </w:rPr>
        <w:footnoteReference w:id="277"/>
      </w:r>
      <w:r w:rsidRPr="00D66245">
        <w:rPr>
          <w:rFonts w:ascii="Palatino Linotype" w:hAnsi="Palatino Linotype"/>
          <w:szCs w:val="22"/>
          <w:lang w:val="es-CR"/>
        </w:rPr>
        <w:t xml:space="preserve"> resalta la diferencia con la presunción, incluso respecto de la presunción absoluta, al decir que:</w:t>
      </w:r>
    </w:p>
    <w:p w14:paraId="7CBF7B20" w14:textId="77777777" w:rsidR="00E66130" w:rsidRPr="00D66245" w:rsidRDefault="00E66130" w:rsidP="00E66130">
      <w:pPr>
        <w:pStyle w:val="Textoindependiente2"/>
        <w:spacing w:before="120" w:after="200" w:line="240" w:lineRule="auto"/>
        <w:ind w:left="705"/>
        <w:jc w:val="both"/>
        <w:rPr>
          <w:rFonts w:ascii="Palatino Linotype" w:hAnsi="Palatino Linotype"/>
          <w:szCs w:val="22"/>
          <w:lang w:val="es-CR"/>
        </w:rPr>
      </w:pPr>
      <w:r w:rsidRPr="00D66245">
        <w:rPr>
          <w:rFonts w:ascii="Palatino Linotype" w:hAnsi="Palatino Linotype"/>
          <w:szCs w:val="22"/>
          <w:lang w:val="es-CR"/>
        </w:rPr>
        <w:t xml:space="preserve">“…reside en las probabilidades existentes de que el presupuesto fáctico de la norma a la que se realiza la remisión (B) acompañe en la realidad a los hechos que integran el presuúesto fáctico de la presunción absoluta o de la ficción: en el primero de los casos es probable que unos hechos vayan acompañados de los otros (principios de normalidad), mientras que en el caso de las ficciones esa particular conformación del régimen jurídico se basa en criterios de oportunidad y justicia, no se considera previsible que, efectivamente se haya producido el hecho que aparece como presumido o simulado”. </w:t>
      </w:r>
    </w:p>
    <w:p w14:paraId="58E38817" w14:textId="77777777" w:rsidR="00E66130" w:rsidRPr="00D66245" w:rsidRDefault="00E66130" w:rsidP="00E66130">
      <w:pPr>
        <w:pStyle w:val="Textoindependiente2"/>
        <w:spacing w:before="120" w:after="200" w:line="240" w:lineRule="auto"/>
        <w:jc w:val="both"/>
        <w:rPr>
          <w:rFonts w:ascii="Palatino Linotype" w:hAnsi="Palatino Linotype"/>
          <w:b/>
          <w:i/>
          <w:szCs w:val="22"/>
          <w:lang w:val="es-CR"/>
        </w:rPr>
      </w:pPr>
      <w:r w:rsidRPr="00D66245">
        <w:rPr>
          <w:rFonts w:ascii="Palatino Linotype" w:hAnsi="Palatino Linotype"/>
          <w:szCs w:val="22"/>
          <w:lang w:val="es-CR"/>
        </w:rPr>
        <w:t xml:space="preserve">Pues bien, decir que el concepto de “financiamiento” de la presunción del artículo 10 LISR y 13 RLISR también incluye los financiamientos asociativos equivale a entender que estamos ante una ficción y </w:t>
      </w:r>
      <w:r w:rsidRPr="00D66245">
        <w:rPr>
          <w:rFonts w:ascii="Palatino Linotype" w:hAnsi="Palatino Linotype"/>
          <w:szCs w:val="22"/>
          <w:u w:val="single"/>
          <w:lang w:val="es-CR"/>
        </w:rPr>
        <w:t>no</w:t>
      </w:r>
      <w:r w:rsidRPr="00D66245">
        <w:rPr>
          <w:rFonts w:ascii="Palatino Linotype" w:hAnsi="Palatino Linotype"/>
          <w:szCs w:val="22"/>
          <w:lang w:val="es-CR"/>
        </w:rPr>
        <w:t xml:space="preserve"> ante una presunción: del aporte patrimonial que se hace a una sociedad </w:t>
      </w:r>
      <w:r w:rsidRPr="00D66245">
        <w:rPr>
          <w:rFonts w:ascii="Palatino Linotype" w:hAnsi="Palatino Linotype"/>
          <w:b/>
          <w:i/>
          <w:szCs w:val="22"/>
          <w:lang w:val="es-CR"/>
        </w:rPr>
        <w:t xml:space="preserve">es improbable o falso, por no existir una relación natural entre ambos hechos, que se reciba a cambio un “interés”, pues lo probable o verdadero sería que se reciba a cambio un “dividendo”. </w:t>
      </w:r>
    </w:p>
    <w:p w14:paraId="2BE8B1CC" w14:textId="77777777" w:rsidR="00E66130" w:rsidRPr="00D66245" w:rsidRDefault="00E66130" w:rsidP="00E66130">
      <w:pPr>
        <w:pStyle w:val="Prrafodelista"/>
        <w:numPr>
          <w:ilvl w:val="1"/>
          <w:numId w:val="34"/>
        </w:numPr>
        <w:spacing w:before="120" w:after="200" w:line="240" w:lineRule="auto"/>
        <w:ind w:right="74"/>
        <w:contextualSpacing w:val="0"/>
        <w:jc w:val="both"/>
        <w:rPr>
          <w:rFonts w:ascii="Palatino Linotype" w:hAnsi="Palatino Linotype"/>
          <w:b/>
          <w:lang w:val="es-MX"/>
        </w:rPr>
      </w:pPr>
      <w:r w:rsidRPr="00D66245">
        <w:rPr>
          <w:rFonts w:ascii="Palatino Linotype" w:hAnsi="Palatino Linotype"/>
          <w:b/>
          <w:lang w:val="es-MX"/>
        </w:rPr>
        <w:t xml:space="preserve"> Confusión entre base presunta y la regla de valoración de precios de transferencia</w:t>
      </w:r>
    </w:p>
    <w:p w14:paraId="18F9B7FA"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rPr>
        <w:t>Es bien sabido que el método de base presunta es el método subsidiario de determinación de la base imponible previsto en los artículos 124, 125 y 116 CNPT.  Su aplicación se encuentra condicionada a la concurrencia de alguna de las circunstancias previstas en el artículo 124, relativas a incumplimientos formales</w:t>
      </w:r>
      <w:r w:rsidRPr="00D66245">
        <w:rPr>
          <w:rStyle w:val="Refdenotaalpie"/>
          <w:rFonts w:ascii="Palatino Linotype" w:hAnsi="Palatino Linotype"/>
        </w:rPr>
        <w:footnoteReference w:id="278"/>
      </w:r>
      <w:r w:rsidRPr="00D66245">
        <w:rPr>
          <w:rFonts w:ascii="Palatino Linotype" w:hAnsi="Palatino Linotype"/>
        </w:rPr>
        <w:t xml:space="preserve">: </w:t>
      </w:r>
      <w:r w:rsidRPr="00D66245">
        <w:rPr>
          <w:rFonts w:ascii="Palatino Linotype" w:eastAsia="Times New Roman" w:hAnsi="Palatino Linotype"/>
          <w:lang w:eastAsia="es-CR"/>
        </w:rPr>
        <w:t xml:space="preserve">que el contribuyente no lleve los libros de contabilidad y registros; que no se presenten los documentos justificativos de las operaciones contables, o no se proporcionen los datos e informaciones que se soliciten; y que la contabilidad sea llevada en forma irregular o defectuosa, o que los libros tengan un atraso mayor de seis meses. El Reglamento de Procedimiento Tributario (art. 81, igual que antes el artículo 18 RGGFRT) establece un deber de motivación de la existencia de alguna de estas circunstancias para que proceda aplicar el método. El artículo 116 CNPT señala un conjunto de “indicios” que pueden ser utilizados para determinar presuntamente la base imponible: </w:t>
      </w:r>
      <w:r w:rsidRPr="00D66245">
        <w:rPr>
          <w:rFonts w:ascii="Palatino Linotype" w:hAnsi="Palatino Linotype"/>
        </w:rPr>
        <w:t>el capital invertido en la explotación, el volumen de las transacciones de toda clase e ingresos de otros períodos, la existencia de mercaderías y productos, el monto de las compras y ventas efectuadas, el rendimiento normal del negocio o la explotación objeto de la investigación, o el de empresas similares ubicadas en la misma plaza, los salarios, el alquiler del negocio, los combustibles, la energía eléctrica y otros gastos generales, el alquiler de la casa de habitación, los gastos particulares del contribuyente y de su familia, el monto de su patrimonio y cualesquiera otros elementos de juicio que obren en poder de la Administración Tributaria o que esta reciba o requiera de terceros.</w:t>
      </w:r>
    </w:p>
    <w:p w14:paraId="3F13B5A1" w14:textId="77777777" w:rsidR="00E66130" w:rsidRPr="00D66245" w:rsidRDefault="00E66130" w:rsidP="00E66130">
      <w:pPr>
        <w:spacing w:before="120" w:after="200" w:line="240" w:lineRule="auto"/>
        <w:jc w:val="both"/>
        <w:rPr>
          <w:rFonts w:ascii="Palatino Linotype" w:hAnsi="Palatino Linotype"/>
          <w:bCs/>
          <w:lang w:val="es-MX"/>
        </w:rPr>
      </w:pPr>
      <w:r w:rsidRPr="00D66245">
        <w:rPr>
          <w:rFonts w:ascii="Palatino Linotype" w:hAnsi="Palatino Linotype"/>
        </w:rPr>
        <w:t xml:space="preserve">Como puede verse, de manera lejana podemos encontrar algunas similitudes en estos indicios con los elementos que se utilizan en el enfoque de precios de transferencia, que es, como vimos, ejemplo típico de una </w:t>
      </w:r>
      <w:r w:rsidRPr="00D66245">
        <w:rPr>
          <w:rFonts w:ascii="Palatino Linotype" w:hAnsi="Palatino Linotype"/>
          <w:i/>
        </w:rPr>
        <w:t>regla de valoración</w:t>
      </w:r>
      <w:r w:rsidRPr="00D66245">
        <w:rPr>
          <w:rFonts w:ascii="Palatino Linotype" w:hAnsi="Palatino Linotype"/>
        </w:rPr>
        <w:t xml:space="preserve">. Por ejemplo, el rendimiento de empresas similares ubicadas en la misma plaza alguna relación tiene con el método del margen neto transaccional. </w:t>
      </w:r>
      <w:r w:rsidRPr="00D66245">
        <w:rPr>
          <w:rFonts w:ascii="Palatino Linotype" w:hAnsi="Palatino Linotype"/>
          <w:bCs/>
          <w:lang w:val="es-MX"/>
        </w:rPr>
        <w:t>Sin embargo, ambos enfoques son conceptualmente diferentes:</w:t>
      </w:r>
    </w:p>
    <w:p w14:paraId="722BCA16" w14:textId="77777777" w:rsidR="00E66130" w:rsidRPr="00D66245" w:rsidRDefault="00E66130" w:rsidP="00E66130">
      <w:pPr>
        <w:pStyle w:val="Prrafodelista"/>
        <w:numPr>
          <w:ilvl w:val="0"/>
          <w:numId w:val="35"/>
        </w:numPr>
        <w:spacing w:before="120" w:after="200" w:line="240" w:lineRule="auto"/>
        <w:contextualSpacing w:val="0"/>
        <w:jc w:val="both"/>
        <w:rPr>
          <w:rFonts w:ascii="Palatino Linotype" w:hAnsi="Palatino Linotype"/>
        </w:rPr>
      </w:pPr>
      <w:r w:rsidRPr="00D66245">
        <w:rPr>
          <w:rFonts w:ascii="Palatino Linotype" w:hAnsi="Palatino Linotype"/>
          <w:bCs/>
          <w:lang w:val="es-MX"/>
        </w:rPr>
        <w:t>En el enfoque de base presunta se imputa algo así: l</w:t>
      </w:r>
      <w:r w:rsidRPr="00D66245">
        <w:rPr>
          <w:rFonts w:ascii="Palatino Linotype" w:hAnsi="Palatino Linotype"/>
          <w:lang w:val="es-MX"/>
        </w:rPr>
        <w:t xml:space="preserve">a transacción real  fue de 120, solo que la empresa declaró  100, ocultando 20. Para comprobar esto se utiliza “prueba de indicios”, mecanismo que tiene como requisito que la contabilidad no sea fiable, que sea irregular. </w:t>
      </w:r>
    </w:p>
    <w:p w14:paraId="14F49DB7" w14:textId="77777777" w:rsidR="00E66130" w:rsidRPr="00D66245" w:rsidRDefault="00E66130" w:rsidP="00E66130">
      <w:pPr>
        <w:spacing w:before="120" w:after="200" w:line="240" w:lineRule="auto"/>
        <w:ind w:right="1041"/>
        <w:jc w:val="both"/>
        <w:rPr>
          <w:rFonts w:ascii="Palatino Linotype" w:hAnsi="Palatino Linotype"/>
        </w:rPr>
      </w:pPr>
      <w:r w:rsidRPr="00D66245">
        <w:rPr>
          <w:rFonts w:ascii="Palatino Linotype" w:hAnsi="Palatino Linotype"/>
        </w:rPr>
        <w:t xml:space="preserve">En cambio, en el enfoque de precios de transferencia se dice algo así:  </w:t>
      </w:r>
    </w:p>
    <w:p w14:paraId="0753225E" w14:textId="77777777" w:rsidR="00E66130" w:rsidRPr="00D66245" w:rsidRDefault="00E66130" w:rsidP="00E66130">
      <w:pPr>
        <w:pStyle w:val="Prrafodelista"/>
        <w:numPr>
          <w:ilvl w:val="0"/>
          <w:numId w:val="35"/>
        </w:numPr>
        <w:spacing w:before="120" w:after="200" w:line="240" w:lineRule="auto"/>
        <w:contextualSpacing w:val="0"/>
        <w:jc w:val="both"/>
        <w:rPr>
          <w:rFonts w:ascii="Palatino Linotype" w:hAnsi="Palatino Linotype"/>
        </w:rPr>
      </w:pPr>
      <w:r w:rsidRPr="00D66245">
        <w:rPr>
          <w:rFonts w:ascii="Palatino Linotype" w:hAnsi="Palatino Linotype"/>
          <w:lang w:val="es-MX"/>
        </w:rPr>
        <w:t xml:space="preserve">La transacción real y contabilizada fue de 100. No hay ningún problema contable. Sin embargo, el ajuste crea la ficción de que se vendió a 120, valor objetivo de mercado o de libre competencia.  </w:t>
      </w:r>
    </w:p>
    <w:p w14:paraId="1B5A1C0F" w14:textId="77777777" w:rsidR="00E66130" w:rsidRPr="00D66245" w:rsidRDefault="00E66130" w:rsidP="00E66130">
      <w:pPr>
        <w:spacing w:before="120" w:after="200" w:line="240" w:lineRule="auto"/>
        <w:ind w:right="49"/>
        <w:jc w:val="both"/>
        <w:rPr>
          <w:rFonts w:ascii="Palatino Linotype" w:hAnsi="Palatino Linotype"/>
          <w:iCs/>
        </w:rPr>
      </w:pPr>
      <w:r w:rsidRPr="00D66245">
        <w:rPr>
          <w:rFonts w:ascii="Palatino Linotype" w:hAnsi="Palatino Linotype"/>
        </w:rPr>
        <w:t xml:space="preserve">En casos como los resueltos en los fallos TFA-057-2010-P y TFA-217-2010 se ha utilizado el método de base presunta para hacer ajustes en transacciones entre empresas relacionadas, en lugar de aplicar el enfoque de precios de transferencia.  Como el método de base presunta exige para su aplicación la existencia de irregularidades contables, se ha forzado indebidamente el cumplimiento de dicho requisito entendiendo que el </w:t>
      </w:r>
      <w:r w:rsidRPr="00D66245">
        <w:rPr>
          <w:rFonts w:ascii="Palatino Linotype" w:hAnsi="Palatino Linotype"/>
          <w:iCs/>
        </w:rPr>
        <w:t xml:space="preserve">mero hecho de vender a precios distintos del de mercado (al costo) es, en sí mismo, una irregularidad contable. </w:t>
      </w:r>
    </w:p>
    <w:p w14:paraId="6AF32FDB" w14:textId="77777777" w:rsidR="00E66130" w:rsidRPr="00D66245" w:rsidRDefault="00E66130" w:rsidP="00E66130">
      <w:pPr>
        <w:pStyle w:val="listnumber"/>
        <w:spacing w:before="120" w:after="200" w:line="240" w:lineRule="auto"/>
        <w:ind w:left="0" w:firstLine="0"/>
        <w:rPr>
          <w:rFonts w:ascii="Palatino Linotype" w:hAnsi="Palatino Linotype" w:cs="Times New Roman"/>
          <w:i/>
          <w:iCs/>
          <w:sz w:val="22"/>
          <w:szCs w:val="22"/>
          <w:lang w:val="es-CR"/>
        </w:rPr>
      </w:pPr>
      <w:r w:rsidRPr="00D66245">
        <w:rPr>
          <w:rFonts w:ascii="Palatino Linotype" w:hAnsi="Palatino Linotype" w:cs="Times New Roman"/>
          <w:sz w:val="22"/>
          <w:szCs w:val="22"/>
          <w:lang w:val="es-CR"/>
        </w:rPr>
        <w:t>A nivel judicial, el tratamiento de este tema se ha caracterizado por la contradicción. Así, el Tribunal Contencioso Administrativo, en su sentencia TCA-VIII, No. 3-2014</w:t>
      </w:r>
      <w:r w:rsidRPr="00D66245">
        <w:rPr>
          <w:rStyle w:val="Refdenotaalpie"/>
          <w:rFonts w:ascii="Palatino Linotype" w:eastAsiaTheme="majorEastAsia" w:hAnsi="Palatino Linotype" w:cs="Times New Roman"/>
          <w:sz w:val="22"/>
          <w:szCs w:val="22"/>
        </w:rPr>
        <w:footnoteReference w:id="279"/>
      </w:r>
      <w:r w:rsidRPr="00D66245">
        <w:rPr>
          <w:rFonts w:ascii="Palatino Linotype" w:hAnsi="Palatino Linotype" w:cs="Times New Roman"/>
          <w:sz w:val="22"/>
          <w:szCs w:val="22"/>
          <w:lang w:val="es-CR"/>
        </w:rPr>
        <w:t xml:space="preserve"> enmendó esta orientación administrativa al anular el fallo </w:t>
      </w:r>
      <w:r w:rsidRPr="00D66245">
        <w:rPr>
          <w:rFonts w:ascii="Palatino Linotype" w:hAnsi="Palatino Linotype" w:cs="Times New Roman"/>
          <w:sz w:val="22"/>
          <w:szCs w:val="22"/>
        </w:rPr>
        <w:t xml:space="preserve">TFA-057-2010-P.  Consideró </w:t>
      </w:r>
      <w:r w:rsidRPr="00D66245">
        <w:rPr>
          <w:rFonts w:ascii="Palatino Linotype" w:hAnsi="Palatino Linotype" w:cs="Times New Roman"/>
          <w:iCs/>
          <w:sz w:val="22"/>
          <w:szCs w:val="22"/>
          <w:lang w:val="es-CR"/>
        </w:rPr>
        <w:t xml:space="preserve">que lleva razón la parte actora </w:t>
      </w:r>
      <w:r w:rsidRPr="00D66245">
        <w:rPr>
          <w:rFonts w:ascii="Palatino Linotype" w:hAnsi="Palatino Linotype" w:cs="Times New Roman"/>
          <w:i/>
          <w:iCs/>
          <w:sz w:val="22"/>
          <w:szCs w:val="22"/>
          <w:lang w:val="es-CR"/>
        </w:rPr>
        <w:t>“cuando estima que se acudió a esta forma de determinación, sin que se configuraran los presupuestos previstos en las normas citadas, lo cual deslegitima su adopción y las decisiones que se tomen fundamentadas en ese método. La posición adoptada por la Administración de que vender por debajo del costo, no es usual en una empresa con fin de lucro carece de fundamento técnico, por el contrario estima esta cámara que una empresa puede tener márgenes de utilidad negativos en un periodo fiscal determinado y no por ello defraudar al fisco, sobre todo si su contabilidad formal es correcta, véase que en el proceso de fiscalización, no se demostró que el costo de ventas y los ingresos por este rubro, no hayan sido  acorde con los datos que informa la contabilidad, ni que existieran ventas omitidas.”</w:t>
      </w:r>
      <w:r w:rsidRPr="00D66245">
        <w:rPr>
          <w:rFonts w:ascii="Palatino Linotype" w:hAnsi="Palatino Linotype" w:cs="Times New Roman"/>
          <w:iCs/>
          <w:sz w:val="22"/>
          <w:szCs w:val="22"/>
          <w:lang w:val="es-CR"/>
        </w:rPr>
        <w:t xml:space="preserve"> Agrega la sentencia que </w:t>
      </w:r>
      <w:r w:rsidRPr="00D66245">
        <w:rPr>
          <w:rFonts w:ascii="Palatino Linotype" w:hAnsi="Palatino Linotype" w:cs="Times New Roman"/>
          <w:i/>
          <w:iCs/>
          <w:sz w:val="22"/>
          <w:szCs w:val="22"/>
          <w:lang w:val="es-CR"/>
        </w:rPr>
        <w:t>“la afirmación sin fundamento técnico ni legal, de que en el período fiscal 2004, el costo de ventas no podía ser superior al ingreso por ventas, fue lo que motivó al órgano fiscalizador a calificar de irregular la contabilidad y a justificar de forma ilegítima el uso de un método sin que se cumpliera los supuestos de hecho previstos para su aplicación, ello llevó a que se efectuara una determinación mediante estimación, aplicando el margen de utilidad bruta sobre el costo obtenido en el período fiscal 2003, para que la empresa tuviera ganancias y  no pérdidas, pudiendo afirmarse que la pretensión de la Administración Tributaria de tener por demostrada la existencia de ingresos no declarados a través de estimaciones presuntivas, a partir de un margen de utilidad de otro período anterior, carecía en este caso de fundamento legal.”</w:t>
      </w:r>
      <w:r w:rsidRPr="00D66245">
        <w:rPr>
          <w:rStyle w:val="Refdenotaalpie"/>
          <w:rFonts w:ascii="Palatino Linotype" w:eastAsia="Calibri" w:hAnsi="Palatino Linotype" w:cs="Times New Roman"/>
          <w:sz w:val="22"/>
          <w:szCs w:val="22"/>
        </w:rPr>
        <w:footnoteReference w:id="280"/>
      </w:r>
    </w:p>
    <w:p w14:paraId="0E7FDE8C" w14:textId="77777777" w:rsidR="00E66130" w:rsidRPr="00D66245" w:rsidRDefault="00E66130" w:rsidP="00E66130">
      <w:pPr>
        <w:spacing w:before="120" w:after="200" w:line="240" w:lineRule="auto"/>
        <w:ind w:right="49"/>
        <w:jc w:val="both"/>
        <w:rPr>
          <w:rFonts w:ascii="Palatino Linotype" w:hAnsi="Palatino Linotype"/>
          <w:iCs/>
          <w:lang w:val="es-MX"/>
        </w:rPr>
      </w:pPr>
      <w:r w:rsidRPr="00D66245">
        <w:rPr>
          <w:rFonts w:ascii="Palatino Linotype" w:hAnsi="Palatino Linotype"/>
          <w:iCs/>
        </w:rPr>
        <w:t>E</w:t>
      </w:r>
      <w:r w:rsidRPr="00D66245">
        <w:rPr>
          <w:rFonts w:ascii="Palatino Linotype" w:hAnsi="Palatino Linotype"/>
          <w:iCs/>
          <w:lang w:val="es-MX"/>
        </w:rPr>
        <w:t xml:space="preserve">s de destacar también de esta sentencia cómo echó de menos la presencia de estudios comparativos de precios de otras empresas dedicadas a la elaboración de cajas de cartón, que permitieran evidenciar si realmente los precios fueron manipulados, o cuan por debajo de los precios de mercado estaban los fijados por la empresa.  Nótese aquí que, sin decirlo expresamente, la sentencia echa en falta la aplicación de métodos más cercanos o parecidos a los propios del enfoque de precios de transferencia. </w:t>
      </w:r>
    </w:p>
    <w:p w14:paraId="5A89493F" w14:textId="77777777" w:rsidR="00E66130" w:rsidRPr="00D66245" w:rsidRDefault="00E66130" w:rsidP="00E66130">
      <w:pPr>
        <w:pStyle w:val="Prrafodelista"/>
        <w:spacing w:before="120" w:after="200" w:line="240" w:lineRule="auto"/>
        <w:ind w:left="0"/>
        <w:contextualSpacing w:val="0"/>
        <w:jc w:val="both"/>
        <w:rPr>
          <w:rFonts w:ascii="Palatino Linotype" w:hAnsi="Palatino Linotype"/>
          <w:lang w:val="es-ES_tradnl"/>
        </w:rPr>
      </w:pPr>
      <w:r w:rsidRPr="00D66245">
        <w:rPr>
          <w:rFonts w:ascii="Palatino Linotype" w:hAnsi="Palatino Linotype"/>
          <w:lang w:val="es-ES_tradnl"/>
        </w:rPr>
        <w:t xml:space="preserve">La resolución 000843-F-S1-2016 de la Sala Primera de la Corte Suprema de Justicia, por el contrario, da por bueno que el vender por debajo del costo a relacionadas es una irregularidad contable, por el hecho de que tales ventas con margen bruto negativo se “materializan en la contabilidad”.  Párrafos más adelante trata de contenerse al decir que la sola existencia de renta negativa no es un vicio, “lo cual podría ser perfectamente normal ante diversos escenarios financieros o de mercado”, pero inmediatamente dice que el problema es “el hecho de que específicamente, la demandante haya vendido sus productos a empresas relacionadas en tales mercados y períodos, a un precio menor que el costo de venta que poseían.”  Es decir, el problema es que se trate de “empresas relacionadas”.  Resulta, sin embargo, que la propia Sala Primera, en su sentencia 1365-F-S1-2013 avaló la aplicación del enfoque de precios de transferencia precisamente como el tratamiento adecuado para controlar si las transacciones entre partes relacionadas son de libre competencia o no.  Entonces resulta difícil de comprender que ahora se afirme que basta con constatar que hay relación o vinculación entre las empresas para dar por viciado un precio que es inferior al costo, </w:t>
      </w:r>
      <w:r w:rsidRPr="00D66245">
        <w:rPr>
          <w:rFonts w:ascii="Palatino Linotype" w:hAnsi="Palatino Linotype"/>
          <w:b/>
          <w:lang w:val="es-ES_tradnl"/>
        </w:rPr>
        <w:t xml:space="preserve">todo sin haber hecho un análisis de precios de transferencia de dicho precio. </w:t>
      </w:r>
      <w:r w:rsidRPr="00D66245">
        <w:rPr>
          <w:rFonts w:ascii="Palatino Linotype" w:hAnsi="Palatino Linotype"/>
          <w:lang w:val="es-ES_tradnl"/>
        </w:rPr>
        <w:t>Precisamente, este fue el argumento de la sentencia casada No. 69-2014-V, al objetar que la Administración Tributaria llegaba a esa conclusión sin que se hubiera aplicado el análisis de precios de transferencia.</w:t>
      </w:r>
    </w:p>
    <w:p w14:paraId="5FCBCC0D" w14:textId="77777777" w:rsidR="00E66130" w:rsidRPr="00D66245" w:rsidRDefault="00E66130" w:rsidP="00E66130">
      <w:pPr>
        <w:spacing w:before="120" w:after="200" w:line="240" w:lineRule="auto"/>
        <w:jc w:val="both"/>
        <w:rPr>
          <w:rFonts w:ascii="Palatino Linotype" w:hAnsi="Palatino Linotype"/>
          <w:lang w:val="es-ES_tradnl"/>
        </w:rPr>
      </w:pPr>
      <w:r w:rsidRPr="00D66245">
        <w:rPr>
          <w:rFonts w:ascii="Palatino Linotype" w:hAnsi="Palatino Linotype"/>
          <w:lang w:val="es-ES_tradnl"/>
        </w:rPr>
        <w:t>Nótese, entonces que mientras en la sentencia 1365-F-S1-2013, congruentemente con lo dispuesto por las sentencias de la Sala Constitucional 4940-2012 y 8739-2012, se había dicho que las validez o no de una transacción entre partes relacionadas requiere un análisis de precios de transferencia según las Directrices de la OCDE, la sentencia comentada acoge esta máxima:</w:t>
      </w:r>
    </w:p>
    <w:p w14:paraId="28600A95" w14:textId="77777777" w:rsidR="00E66130" w:rsidRPr="00D66245" w:rsidRDefault="00E66130" w:rsidP="00E66130">
      <w:pPr>
        <w:spacing w:before="120" w:after="200" w:line="240" w:lineRule="auto"/>
        <w:ind w:left="705"/>
        <w:jc w:val="both"/>
        <w:rPr>
          <w:rFonts w:ascii="Palatino Linotype" w:hAnsi="Palatino Linotype"/>
          <w:lang w:val="es-ES_tradnl"/>
        </w:rPr>
      </w:pPr>
      <w:r w:rsidRPr="00D66245">
        <w:rPr>
          <w:rFonts w:ascii="Palatino Linotype" w:hAnsi="Palatino Linotype"/>
          <w:lang w:val="es-ES_tradnl"/>
        </w:rPr>
        <w:t>“Un precio inferior al costo (margen bruto negativo) no es necesariamente inválido para efectos tributarios, a menos que se dé entre partes relacionadas.” En tal caso, constituye una “irregularidad contable” que permite aplicar el método de base presunta.</w:t>
      </w:r>
    </w:p>
    <w:p w14:paraId="0782B346" w14:textId="77777777" w:rsidR="00E66130" w:rsidRPr="00D66245" w:rsidRDefault="00E66130" w:rsidP="00E66130">
      <w:pPr>
        <w:spacing w:before="120" w:after="200" w:line="240" w:lineRule="auto"/>
        <w:jc w:val="both"/>
        <w:rPr>
          <w:rFonts w:ascii="Palatino Linotype" w:hAnsi="Palatino Linotype"/>
          <w:iCs/>
          <w:lang w:val="es-CR"/>
        </w:rPr>
      </w:pPr>
      <w:r w:rsidRPr="00D66245">
        <w:rPr>
          <w:rFonts w:ascii="Palatino Linotype" w:hAnsi="Palatino Linotype"/>
          <w:iCs/>
          <w:lang w:val="es-CR"/>
        </w:rPr>
        <w:t xml:space="preserve">La sentencia, sin decirlo expresamente, da luz verde al argumento administrativo y de la representación estatal de que “vender por debajo del costo” es irregular desde el punto de vista de lo que llaman </w:t>
      </w:r>
      <w:r w:rsidRPr="00D66245">
        <w:rPr>
          <w:rFonts w:ascii="Palatino Linotype" w:hAnsi="Palatino Linotype"/>
          <w:i/>
          <w:iCs/>
          <w:lang w:val="es-CR"/>
        </w:rPr>
        <w:t>“la contabilidad material”</w:t>
      </w:r>
      <w:r w:rsidRPr="00D66245">
        <w:rPr>
          <w:rFonts w:ascii="Palatino Linotype" w:hAnsi="Palatino Linotype"/>
          <w:iCs/>
          <w:lang w:val="es-CR"/>
        </w:rPr>
        <w:t>, distinta de la contabilidad “formal.”  Según esta tesis, la contabilidad material no se puede limitar “</w:t>
      </w:r>
      <w:r w:rsidRPr="00D66245">
        <w:rPr>
          <w:rFonts w:ascii="Palatino Linotype" w:hAnsi="Palatino Linotype"/>
          <w:i/>
          <w:iCs/>
          <w:lang w:val="es-CR"/>
        </w:rPr>
        <w:t>a los hechos contables reales, dejando de lado la realidad económica que debe reflejar la contabilidad de la actora…”</w:t>
      </w:r>
    </w:p>
    <w:p w14:paraId="3C24404C" w14:textId="77777777" w:rsidR="00E66130" w:rsidRPr="00D66245" w:rsidRDefault="00E66130" w:rsidP="00E66130">
      <w:pPr>
        <w:spacing w:before="120" w:after="200" w:line="240" w:lineRule="auto"/>
        <w:jc w:val="both"/>
        <w:rPr>
          <w:rFonts w:ascii="Palatino Linotype" w:hAnsi="Palatino Linotype"/>
          <w:iCs/>
          <w:lang w:val="es-CR"/>
        </w:rPr>
      </w:pPr>
      <w:r w:rsidRPr="00D66245">
        <w:rPr>
          <w:rFonts w:ascii="Palatino Linotype" w:hAnsi="Palatino Linotype"/>
          <w:iCs/>
          <w:lang w:val="es-CR"/>
        </w:rPr>
        <w:t xml:space="preserve">Se trata, en primer lugar, de un galimatías jurídico, pues no se entiende en qué se diferencia “un hecho contable real” de la “realidad económica” que debe reflejar la contabilidad. La función de la contabilidad es registrar los hechos económicos reales de la empresa, que conforman su “realidad económica”.  Por ello, si la empresa ha vendido por debajo del costo, así ha contratado, así ha facturado, así ha recibido el dinero correspondiente, ésta es su realidad económica. Mal haría la contabilidad si registrara que en lugar de 100 recibió 150, cuando en realidad recibió 100. </w:t>
      </w:r>
    </w:p>
    <w:p w14:paraId="55C38278" w14:textId="77777777" w:rsidR="00E66130" w:rsidRPr="00D66245" w:rsidRDefault="00E66130" w:rsidP="00E66130">
      <w:pPr>
        <w:spacing w:before="120" w:after="200" w:line="240" w:lineRule="auto"/>
        <w:jc w:val="both"/>
        <w:rPr>
          <w:rFonts w:ascii="Palatino Linotype" w:hAnsi="Palatino Linotype"/>
          <w:b/>
          <w:iCs/>
          <w:lang w:val="es-CR"/>
        </w:rPr>
      </w:pPr>
      <w:r w:rsidRPr="00D66245">
        <w:rPr>
          <w:rFonts w:ascii="Palatino Linotype" w:hAnsi="Palatino Linotype"/>
          <w:iCs/>
          <w:lang w:val="es-CR"/>
        </w:rPr>
        <w:t xml:space="preserve">Se trata, en segundo lugar, de un error, al utilizar un concepto de “contabilidad material” antitécnico.  Recordemos que, para efectos del impuesto sobre la renta, el artículo 57 del Reglamento dispone que la contabilidad debe llevarse de acuerdo con las Normas Internacionales de Información Financiera (NIIF). Por lo tanto, y en aplicación del artículo 16 de la Ley General de la Administración Pública (deber de respeto de las reglas unívocas de la ciencia y de la técnica), la única forma de saber si una contabilidad se lleva de manera defectuosa o irregular es ver si un determinado comportamiento contable se desvía de lo preceptuado por las Normas Internacionales de Información Financiera. En ese sentido, la NIC 24 es diáfana en que, tratándose de partes relacionadas, debe contabilizarse el precio de las transacciones acordadas y facturadas entre ellas, debiendo simplemente advertirse que son transacciones entre partes relacionadas. No hay ninguna obligación contable de transformar el precio de factura en un precio de mercado o un precio igual o superior al costo. De ahí que la afirmación de que vender por debajo del costo es una irregularidad contable es incorrecta desde el puno de vista contable. Y si la norma jurídica del artículo 124 pone como requisito para aplicar la base presunta el que haya una irregularidad contable, obviamente ésta no puede consistir </w:t>
      </w:r>
      <w:r w:rsidRPr="00D66245">
        <w:rPr>
          <w:rFonts w:ascii="Palatino Linotype" w:hAnsi="Palatino Linotype"/>
          <w:b/>
          <w:iCs/>
          <w:lang w:val="es-CR"/>
        </w:rPr>
        <w:t xml:space="preserve">en el mero hecho de vender por debajo del costo. </w:t>
      </w:r>
    </w:p>
    <w:p w14:paraId="48710DC9" w14:textId="77777777" w:rsidR="00E66130" w:rsidRPr="00D66245" w:rsidRDefault="00E66130" w:rsidP="00E66130">
      <w:pPr>
        <w:spacing w:before="120" w:after="200" w:line="240" w:lineRule="auto"/>
        <w:jc w:val="both"/>
        <w:rPr>
          <w:rFonts w:ascii="Palatino Linotype" w:hAnsi="Palatino Linotype"/>
          <w:iCs/>
          <w:lang w:val="es-CR"/>
        </w:rPr>
      </w:pPr>
      <w:r w:rsidRPr="00D66245">
        <w:rPr>
          <w:rFonts w:ascii="Palatino Linotype" w:hAnsi="Palatino Linotype"/>
          <w:iCs/>
          <w:lang w:val="es-CR"/>
        </w:rPr>
        <w:t xml:space="preserve">De no haber mediado este error, la sentencia debió haber sido confirmada, pues precisamente lo que entendió la sentencia casada es que se había aplicado el método de base presunta sin concurrir los requisitos jurídicos necesarios para aplicar este método excepcional. </w:t>
      </w:r>
    </w:p>
    <w:p w14:paraId="385F5C4F" w14:textId="77777777" w:rsidR="00E66130" w:rsidRPr="00D66245" w:rsidRDefault="00E66130" w:rsidP="00E66130">
      <w:pPr>
        <w:pStyle w:val="Prrafodelista"/>
        <w:numPr>
          <w:ilvl w:val="1"/>
          <w:numId w:val="34"/>
        </w:numPr>
        <w:spacing w:before="120" w:after="200" w:line="240" w:lineRule="auto"/>
        <w:ind w:right="74"/>
        <w:contextualSpacing w:val="0"/>
        <w:jc w:val="both"/>
        <w:rPr>
          <w:rFonts w:ascii="Palatino Linotype" w:hAnsi="Palatino Linotype"/>
          <w:b/>
          <w:lang w:val="es-MX"/>
        </w:rPr>
      </w:pPr>
      <w:r w:rsidRPr="00D66245">
        <w:rPr>
          <w:rFonts w:ascii="Palatino Linotype" w:hAnsi="Palatino Linotype"/>
          <w:b/>
          <w:lang w:val="es-MX"/>
        </w:rPr>
        <w:t xml:space="preserve"> No reconocimiento del valor probatorio de una declaración-autoliquidación prescrita</w:t>
      </w:r>
    </w:p>
    <w:p w14:paraId="3D650F34" w14:textId="77777777" w:rsidR="00E66130" w:rsidRPr="00D66245" w:rsidRDefault="00E66130" w:rsidP="00E66130">
      <w:pPr>
        <w:spacing w:before="120" w:after="200" w:line="240" w:lineRule="auto"/>
        <w:jc w:val="both"/>
        <w:rPr>
          <w:rFonts w:ascii="Palatino Linotype" w:hAnsi="Palatino Linotype"/>
          <w:lang w:val="es-MX"/>
        </w:rPr>
      </w:pPr>
      <w:r w:rsidRPr="00D66245">
        <w:rPr>
          <w:rFonts w:ascii="Palatino Linotype" w:hAnsi="Palatino Linotype"/>
          <w:lang w:val="es-MX"/>
        </w:rPr>
        <w:t xml:space="preserve">En la sentencia No. 101-2018 de las 12 horas del 13 de noviembre del 2018, dictada por la Sección Octava del Tribunal Contencioso Administrativo, entre otros temas, se discutió el argumento de la parte actora contribuyente según la cual un conjunto de períodos fiscales había registrado pérdida fiscal en sus declaraciones autoliquidaciones, correspondientes todas a períodos ya prescritos. En consecuencia, no podía haberse generado el impuesto sobre remesas al exterior, concepto dividendos, por no haberse configurado el hecho generador, que consiste en la distribución a un no domiciliado de “renta disponible”. En situación de pérdida fiscal, la renta disponible es negativa, por lo que resulta jurídicamente su distribución, aun cuando hubiese mediado una condonación de una cuenta por cobrar a una compañía relacionada.  </w:t>
      </w:r>
    </w:p>
    <w:p w14:paraId="690502D3" w14:textId="77777777" w:rsidR="00E66130" w:rsidRPr="00D66245" w:rsidRDefault="00E66130" w:rsidP="00E66130">
      <w:pPr>
        <w:spacing w:before="120" w:after="200" w:line="240" w:lineRule="auto"/>
        <w:jc w:val="both"/>
        <w:rPr>
          <w:rFonts w:ascii="Palatino Linotype" w:hAnsi="Palatino Linotype"/>
          <w:i/>
        </w:rPr>
      </w:pPr>
      <w:r w:rsidRPr="00D66245">
        <w:rPr>
          <w:rFonts w:ascii="Palatino Linotype" w:hAnsi="Palatino Linotype"/>
          <w:bCs/>
        </w:rPr>
        <w:t xml:space="preserve">Así, la empresa actora alegó que lo autoliquidado en los períodos fiscales en cuestión se convirtió en verdad jurídica definitiva, pues se trata de períodos fiscales totalmente prescritos al día de hoy y respecto de los cuales no hubo determinación de oficio en contrario. </w:t>
      </w:r>
      <w:r w:rsidRPr="00D66245">
        <w:rPr>
          <w:rFonts w:ascii="Palatino Linotype" w:hAnsi="Palatino Linotype"/>
        </w:rPr>
        <w:t xml:space="preserve">Pese a ello, el Tribunal tuvo como hecho no probado que </w:t>
      </w:r>
      <w:r w:rsidRPr="00D66245">
        <w:rPr>
          <w:rFonts w:ascii="Palatino Linotype" w:hAnsi="Palatino Linotype"/>
          <w:i/>
        </w:rPr>
        <w:t>“las pérdidas afirmadas en las declaraciones de renta indicadas por la actora correspondan realmente a las enfrentadas”.</w:t>
      </w:r>
    </w:p>
    <w:p w14:paraId="004A36B1" w14:textId="77777777" w:rsidR="00E66130" w:rsidRPr="00D66245" w:rsidRDefault="00E66130" w:rsidP="00E66130">
      <w:pPr>
        <w:spacing w:before="120" w:after="200" w:line="240" w:lineRule="auto"/>
        <w:jc w:val="both"/>
        <w:rPr>
          <w:rFonts w:ascii="Palatino Linotype" w:hAnsi="Palatino Linotype"/>
          <w:bCs/>
        </w:rPr>
      </w:pPr>
      <w:r w:rsidRPr="00D66245">
        <w:rPr>
          <w:rFonts w:ascii="Palatino Linotype" w:hAnsi="Palatino Linotype"/>
          <w:bCs/>
        </w:rPr>
        <w:t>La sentencia irrespeta así la regla de valor probatorio de que una declaración-autoliquidación prescrita constituye plena prueba.  En ese sentido, explica M.J. FERNANDEZ PAVES</w:t>
      </w:r>
      <w:r w:rsidRPr="00D66245">
        <w:rPr>
          <w:rStyle w:val="Refdenotaalpie"/>
          <w:rFonts w:ascii="Palatino Linotype" w:hAnsi="Palatino Linotype"/>
          <w:bCs/>
        </w:rPr>
        <w:footnoteReference w:id="281"/>
      </w:r>
      <w:r w:rsidRPr="00D66245">
        <w:rPr>
          <w:rFonts w:ascii="Palatino Linotype" w:hAnsi="Palatino Linotype"/>
          <w:bCs/>
        </w:rPr>
        <w:t>:</w:t>
      </w:r>
    </w:p>
    <w:p w14:paraId="3A20D634" w14:textId="77777777" w:rsidR="00E66130" w:rsidRPr="00D66245" w:rsidRDefault="00E66130" w:rsidP="00E66130">
      <w:pPr>
        <w:spacing w:before="120" w:after="200" w:line="240" w:lineRule="auto"/>
        <w:ind w:left="705"/>
        <w:jc w:val="both"/>
        <w:rPr>
          <w:rFonts w:ascii="Palatino Linotype" w:hAnsi="Palatino Linotype"/>
          <w:bCs/>
        </w:rPr>
      </w:pPr>
      <w:r w:rsidRPr="00D66245">
        <w:rPr>
          <w:rFonts w:ascii="Palatino Linotype" w:hAnsi="Palatino Linotype"/>
          <w:bCs/>
        </w:rPr>
        <w:t>“…en los casos de ausencia de esta comprobación administrativa , es decir, cuando la Inspección de los Tributos no llegue a actuar comprobando la veracidad de los hechos imponibles declarados y de los cálculos autoliquidatorios realizados, e investigando la completud de dichos datos y cálculos, la consecuencia jurídica directa de aquella tarea administrativa, la práctica de la liquidación definitiva, no queda totalmente desvanecida de la realidad tributaria subyacente, sino que resta en el ordenamiento la “liquidación” del sujeto particular interesado en el procedimiento de gestión, aunque como advertimos sin adquirir propiamente ambos caracteres de acto administrativo de liquidación tributaria definitiva.</w:t>
      </w:r>
    </w:p>
    <w:p w14:paraId="18C661AF" w14:textId="77777777" w:rsidR="00E66130" w:rsidRPr="00D66245" w:rsidRDefault="00E66130" w:rsidP="00E66130">
      <w:pPr>
        <w:spacing w:before="120" w:after="200" w:line="240" w:lineRule="auto"/>
        <w:ind w:left="705"/>
        <w:jc w:val="both"/>
        <w:rPr>
          <w:rFonts w:ascii="Palatino Linotype" w:hAnsi="Palatino Linotype"/>
          <w:bCs/>
        </w:rPr>
      </w:pPr>
      <w:r w:rsidRPr="00D66245">
        <w:rPr>
          <w:rFonts w:ascii="Palatino Linotype" w:hAnsi="Palatino Linotype"/>
          <w:bCs/>
        </w:rPr>
        <w:t>Quedará como inatacable este resultado cuantificador, de las operaciones liquidatorias realizadas por el sujeto en su autoliquidación, ahora ya sí, una vez que transcurra el plazo de caducidad en que la Administración inspectora pudo y debió ejercitar su potestad comprobadora-investigadora sin hacerlo; sin ser propia y realmente liquidación definitiva, sino podríamos decir, autoliquidación inmodificable o cuantificación firme de la obligación tributaria objeto del tributo.”</w:t>
      </w:r>
    </w:p>
    <w:p w14:paraId="0D9E41CE" w14:textId="77777777" w:rsidR="00E66130" w:rsidRPr="00D66245" w:rsidRDefault="00E66130" w:rsidP="00E66130">
      <w:pPr>
        <w:spacing w:before="120" w:after="200" w:line="240" w:lineRule="auto"/>
        <w:jc w:val="both"/>
        <w:rPr>
          <w:rFonts w:ascii="Palatino Linotype" w:hAnsi="Palatino Linotype"/>
          <w:bCs/>
        </w:rPr>
      </w:pPr>
      <w:r w:rsidRPr="00D66245">
        <w:rPr>
          <w:rFonts w:ascii="Palatino Linotype" w:hAnsi="Palatino Linotype"/>
          <w:bCs/>
        </w:rPr>
        <w:t xml:space="preserve">El valor probatorio pleno de una autoliquidación de período prescrito deriva de la relación de los artículos 122, 123 y 53 del Código de Normas y Procedimientos Tributarios, de la cual resulta que la obligación tributaria se determina por el sujeto pasivo, sin perjuicio de las posibilidades de comprobación por parte de la Administración en el período de prescripción.  Lógicamente, en los casos en que la Administración no ejerce las facultades de comprobación y, por tanto, no altera la determinación del sujeto pasivo con una determinación de oficio, la primera emerge como la única verdad jurídica incontrovertible. </w:t>
      </w:r>
    </w:p>
    <w:p w14:paraId="0B4F3D67"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hAnsi="Palatino Linotype"/>
        </w:rPr>
        <w:t>En ese sentido, la declaración-autoliquidación prescrita -en cuanto a la posibilidad de determinación de oficio por parte de la Administración Tributaria-, tiene el mismo efecto jurídico preclusivo de la cosa juzgada.  Recordemos que u</w:t>
      </w:r>
      <w:r w:rsidRPr="00D66245">
        <w:rPr>
          <w:rFonts w:ascii="Palatino Linotype" w:eastAsia="Times New Roman" w:hAnsi="Palatino Linotype"/>
          <w:lang w:eastAsia="es-CR"/>
        </w:rPr>
        <w:t xml:space="preserve">n hecho es de efectos preclusivos, cuando tiene por finalidad remover la incerteza (los italianos los llaman </w:t>
      </w:r>
      <w:r w:rsidRPr="00D66245">
        <w:rPr>
          <w:rFonts w:ascii="Palatino Linotype" w:eastAsia="Times New Roman" w:hAnsi="Palatino Linotype"/>
          <w:i/>
          <w:lang w:eastAsia="es-CR"/>
        </w:rPr>
        <w:t>fatti di accertamento</w:t>
      </w:r>
      <w:r w:rsidRPr="00D66245">
        <w:rPr>
          <w:rFonts w:ascii="Palatino Linotype" w:eastAsia="Times New Roman" w:hAnsi="Palatino Linotype"/>
          <w:lang w:eastAsia="es-CR"/>
        </w:rPr>
        <w:t>).  Por ello, los hechos preclusivos pueden darse cuando hay incerteza provocada por el transcurso de tiempo o bien por incerteza provocada por discusión.</w:t>
      </w:r>
    </w:p>
    <w:p w14:paraId="79F3496B" w14:textId="77777777" w:rsidR="00E66130" w:rsidRPr="00D66245" w:rsidRDefault="00E66130" w:rsidP="00E66130">
      <w:pPr>
        <w:spacing w:before="120" w:after="200" w:line="240" w:lineRule="auto"/>
        <w:ind w:right="74"/>
        <w:jc w:val="both"/>
        <w:rPr>
          <w:rFonts w:ascii="Palatino Linotype" w:hAnsi="Palatino Linotype"/>
          <w:b/>
          <w:lang w:val="es-MX"/>
        </w:rPr>
      </w:pPr>
      <w:r w:rsidRPr="00D66245">
        <w:rPr>
          <w:rFonts w:ascii="Palatino Linotype" w:hAnsi="Palatino Linotype"/>
          <w:b/>
          <w:lang w:val="es-MX"/>
        </w:rPr>
        <w:t>2.Casos presunciones</w:t>
      </w:r>
    </w:p>
    <w:p w14:paraId="05548623" w14:textId="77777777" w:rsidR="00E66130" w:rsidRPr="00D66245" w:rsidRDefault="00E66130" w:rsidP="00E66130">
      <w:pPr>
        <w:spacing w:before="120" w:after="200" w:line="240" w:lineRule="auto"/>
        <w:ind w:right="74"/>
        <w:jc w:val="both"/>
        <w:rPr>
          <w:rFonts w:ascii="Palatino Linotype" w:hAnsi="Palatino Linotype"/>
          <w:b/>
          <w:lang w:val="es-MX"/>
        </w:rPr>
      </w:pPr>
      <w:r w:rsidRPr="00D66245">
        <w:rPr>
          <w:rFonts w:ascii="Palatino Linotype" w:hAnsi="Palatino Linotype"/>
          <w:b/>
          <w:lang w:val="es-MX"/>
        </w:rPr>
        <w:t>2.1. Casos en que la Administración construye una presunción cuyo hecho base es reconocidamente -por la propia Administración- falso.</w:t>
      </w:r>
    </w:p>
    <w:p w14:paraId="16AA8E5C" w14:textId="77777777" w:rsidR="00E66130" w:rsidRPr="00D66245" w:rsidRDefault="00E66130" w:rsidP="00E66130">
      <w:pPr>
        <w:spacing w:before="120" w:after="200" w:line="240" w:lineRule="auto"/>
        <w:ind w:right="74"/>
        <w:jc w:val="both"/>
        <w:rPr>
          <w:rFonts w:ascii="Palatino Linotype" w:hAnsi="Palatino Linotype"/>
          <w:lang w:val="es-MX"/>
        </w:rPr>
      </w:pPr>
      <w:r w:rsidRPr="00D66245">
        <w:rPr>
          <w:rFonts w:ascii="Palatino Linotype" w:hAnsi="Palatino Linotype"/>
        </w:rPr>
        <w:t>En la sentencia No. 43-2018</w:t>
      </w:r>
      <w:r w:rsidRPr="00D66245">
        <w:rPr>
          <w:rFonts w:ascii="Palatino Linotype" w:hAnsi="Palatino Linotype"/>
          <w:b/>
        </w:rPr>
        <w:t>-</w:t>
      </w:r>
      <w:r w:rsidRPr="00D66245">
        <w:rPr>
          <w:rFonts w:ascii="Palatino Linotype" w:hAnsi="Palatino Linotype"/>
        </w:rPr>
        <w:t xml:space="preserve">, dictada por el Tribunal Contencioso Administrativo, Sección Primera, se resolvió un caso de aplicación del método de base presunta, en el que se ilustra la construcción errónea de la estructura de la presunción. Es de decir que, en este caso, el Tribunal incurrió en preterición absoluta del argumento. </w:t>
      </w:r>
    </w:p>
    <w:p w14:paraId="28242841" w14:textId="77777777" w:rsidR="00E66130" w:rsidRPr="00D66245" w:rsidRDefault="00E66130" w:rsidP="00E66130">
      <w:pPr>
        <w:spacing w:before="120" w:after="200" w:line="240" w:lineRule="auto"/>
        <w:ind w:right="74"/>
        <w:jc w:val="both"/>
        <w:rPr>
          <w:rFonts w:ascii="Palatino Linotype" w:hAnsi="Palatino Linotype"/>
          <w:lang w:val="es-CR"/>
        </w:rPr>
      </w:pPr>
      <w:r w:rsidRPr="00D66245">
        <w:rPr>
          <w:rFonts w:ascii="Palatino Linotype" w:hAnsi="Palatino Linotype"/>
          <w:lang w:val="es-CR"/>
        </w:rPr>
        <w:t xml:space="preserve">En el caso, una empresa le presta servicios de maquilado de arroz a una cooperativa vinculada. Si bien el precio fijado contractualmente, de acuerdo con el promedio de los últimos 5 años de quintales producidos, hubiese generado un margen de utilidad, una reducción de los quintales enviados para maquila, producto de la competencia que soporta la cooperativa, hace que la empresa termine ese año vendiendo por debajo del costo de ventas. La Administración aplica el método de base presunta y no el enfoque de precios de transferencia, con lo que también el caso contiene la polémica referida atrás sobre este dilema. </w:t>
      </w:r>
    </w:p>
    <w:p w14:paraId="0E290E5F"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bCs/>
          <w:lang w:val="es-MX"/>
        </w:rPr>
        <w:t xml:space="preserve">La estructura de la presunción que construye la Administración es, tal como la describe en el expediente administrativo, la siguiente: </w:t>
      </w:r>
    </w:p>
    <w:p w14:paraId="5819144C" w14:textId="77777777" w:rsidR="00E66130" w:rsidRPr="00D66245" w:rsidRDefault="00E66130" w:rsidP="00E66130">
      <w:pPr>
        <w:numPr>
          <w:ilvl w:val="0"/>
          <w:numId w:val="32"/>
        </w:numPr>
        <w:spacing w:before="120" w:after="200" w:line="240" w:lineRule="auto"/>
        <w:jc w:val="both"/>
        <w:rPr>
          <w:rFonts w:ascii="Palatino Linotype" w:hAnsi="Palatino Linotype"/>
          <w:lang w:val="es-CR"/>
        </w:rPr>
      </w:pPr>
      <w:r w:rsidRPr="00D66245">
        <w:rPr>
          <w:rFonts w:ascii="Palatino Linotype" w:hAnsi="Palatino Linotype"/>
          <w:bCs/>
          <w:lang w:val="es-MX"/>
        </w:rPr>
        <w:t>El hecho base es “El costo de ventas superior a los ingresos”</w:t>
      </w:r>
    </w:p>
    <w:p w14:paraId="552C93E1" w14:textId="77777777" w:rsidR="00E66130" w:rsidRPr="00D66245" w:rsidRDefault="00E66130" w:rsidP="00E66130">
      <w:pPr>
        <w:numPr>
          <w:ilvl w:val="0"/>
          <w:numId w:val="32"/>
        </w:numPr>
        <w:spacing w:before="120" w:after="200" w:line="240" w:lineRule="auto"/>
        <w:jc w:val="both"/>
        <w:rPr>
          <w:rFonts w:ascii="Palatino Linotype" w:hAnsi="Palatino Linotype"/>
          <w:lang w:val="es-CR"/>
        </w:rPr>
      </w:pPr>
      <w:r w:rsidRPr="00D66245">
        <w:rPr>
          <w:rFonts w:ascii="Palatino Linotype" w:hAnsi="Palatino Linotype"/>
          <w:bCs/>
          <w:lang w:val="es-MX"/>
        </w:rPr>
        <w:t>El hecho presunto “Ingresos por ventas Omisas”</w:t>
      </w:r>
    </w:p>
    <w:p w14:paraId="2A320AA3" w14:textId="77777777" w:rsidR="00E66130" w:rsidRPr="00D66245" w:rsidRDefault="00E66130" w:rsidP="00E66130">
      <w:pPr>
        <w:numPr>
          <w:ilvl w:val="0"/>
          <w:numId w:val="32"/>
        </w:numPr>
        <w:spacing w:before="120" w:after="200" w:line="240" w:lineRule="auto"/>
        <w:jc w:val="both"/>
        <w:rPr>
          <w:rFonts w:ascii="Palatino Linotype" w:hAnsi="Palatino Linotype"/>
          <w:lang w:val="es-CR"/>
        </w:rPr>
      </w:pPr>
      <w:r w:rsidRPr="00D66245">
        <w:rPr>
          <w:rFonts w:ascii="Palatino Linotype" w:hAnsi="Palatino Linotype"/>
          <w:bCs/>
          <w:lang w:val="es-MX"/>
        </w:rPr>
        <w:t>El nexo lógico “Empresa con fines de lucro vinculada comercialmente con su único cliente, quienes suscriben un convenio entre particulares, que busca la disminución de la renta gravable de la auditada.</w:t>
      </w:r>
    </w:p>
    <w:p w14:paraId="5CCED845" w14:textId="77777777" w:rsidR="00E66130" w:rsidRPr="00D66245" w:rsidRDefault="00E66130" w:rsidP="00E66130">
      <w:pPr>
        <w:spacing w:before="120" w:after="200" w:line="240" w:lineRule="auto"/>
        <w:ind w:left="360"/>
        <w:jc w:val="both"/>
        <w:rPr>
          <w:rFonts w:ascii="Palatino Linotype" w:hAnsi="Palatino Linotype"/>
          <w:lang w:val="es-CR"/>
        </w:rPr>
      </w:pPr>
      <w:r w:rsidRPr="00D66245">
        <w:rPr>
          <w:rFonts w:ascii="Palatino Linotype" w:hAnsi="Palatino Linotype"/>
          <w:bCs/>
          <w:lang w:val="es-MX"/>
        </w:rPr>
        <w:t xml:space="preserve">El supuesto hecho base que considera la Administración Tributaria se puede reformular de la siguiente manera:  los ingresos son inferiores al costo de ventas. </w:t>
      </w:r>
    </w:p>
    <w:p w14:paraId="064BACBB"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lang w:val="es-MX"/>
        </w:rPr>
        <w:t xml:space="preserve">Esta presunción está evidentemente mal construida. Lo que la Administración llama el “hecho base” no es otra cosa que el hecho </w:t>
      </w:r>
      <w:r w:rsidRPr="00D66245">
        <w:rPr>
          <w:rFonts w:ascii="Palatino Linotype" w:hAnsi="Palatino Linotype"/>
          <w:b/>
          <w:i/>
          <w:lang w:val="es-MX"/>
        </w:rPr>
        <w:t xml:space="preserve">declarado </w:t>
      </w:r>
      <w:r w:rsidRPr="00D66245">
        <w:rPr>
          <w:rFonts w:ascii="Palatino Linotype" w:hAnsi="Palatino Linotype"/>
          <w:lang w:val="es-MX"/>
        </w:rPr>
        <w:t xml:space="preserve">por la empresa contribuyente: se declaró ingresos menores al costo de ventas. </w:t>
      </w:r>
    </w:p>
    <w:p w14:paraId="202E375C"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lang w:val="es-MX"/>
        </w:rPr>
        <w:t>Como hemos visto, el hecho base de una presunción debe ser verdadero y quien tiene la carga de la prueba respecto de éste es la Administración Tributaria (art. 414 del CPC, vigente para efectos del caso).</w:t>
      </w:r>
      <w:r w:rsidRPr="00D66245">
        <w:rPr>
          <w:rFonts w:ascii="Palatino Linotype" w:hAnsi="Palatino Linotype"/>
          <w:lang w:val="es-CR"/>
        </w:rPr>
        <w:t xml:space="preserve">  En efecto, </w:t>
      </w:r>
      <w:r w:rsidRPr="00D66245">
        <w:rPr>
          <w:rFonts w:ascii="Palatino Linotype" w:hAnsi="Palatino Linotype"/>
          <w:lang w:val="es-MX"/>
        </w:rPr>
        <w:t xml:space="preserve">toda presunción exime a la parte que la alegue de la obligación de probar el hecho reputado cierto en virtud de tal presunción. </w:t>
      </w:r>
      <w:r w:rsidRPr="00D66245">
        <w:rPr>
          <w:rFonts w:ascii="Palatino Linotype" w:hAnsi="Palatino Linotype"/>
          <w:b/>
          <w:bCs/>
          <w:lang w:val="es-MX"/>
        </w:rPr>
        <w:t xml:space="preserve">Sin embargo, quien invoque una presunción legal deberá probar la existencia de los hechos que le sirven de base. </w:t>
      </w:r>
    </w:p>
    <w:p w14:paraId="280E8B75"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lang w:val="es-MX"/>
        </w:rPr>
        <w:t xml:space="preserve">En este caso, la Administración pretende tomar como hecho base precisamente el hecho que pretende desvirtuar, esto es, el declarado.  </w:t>
      </w:r>
      <w:r w:rsidRPr="00D66245">
        <w:rPr>
          <w:rFonts w:ascii="Palatino Linotype" w:hAnsi="Palatino Linotype"/>
          <w:lang w:val="es-CR"/>
        </w:rPr>
        <w:t xml:space="preserve">Asimismo, </w:t>
      </w:r>
      <w:r w:rsidRPr="00D66245">
        <w:rPr>
          <w:rFonts w:ascii="Palatino Linotype" w:hAnsi="Palatino Linotype"/>
          <w:lang w:val="es-MX"/>
        </w:rPr>
        <w:t>este no puede ser un hecho base del hecho presunto, pues del hecho que A declare 1000 de ventas y 1100 de costo de ventas no puede inducirse sin más que vendió 1100, pues eso es ajustar sin nexo alguno entre un hecho base y un hecho presunto.</w:t>
      </w:r>
    </w:p>
    <w:p w14:paraId="5108C279" w14:textId="77777777" w:rsidR="00E66130" w:rsidRPr="00D66245" w:rsidRDefault="00E66130" w:rsidP="00E66130">
      <w:pPr>
        <w:spacing w:before="120" w:after="200" w:line="240" w:lineRule="auto"/>
        <w:jc w:val="both"/>
        <w:rPr>
          <w:rFonts w:ascii="Palatino Linotype" w:hAnsi="Palatino Linotype"/>
          <w:lang w:val="es-MX"/>
        </w:rPr>
      </w:pPr>
      <w:r w:rsidRPr="00D66245">
        <w:rPr>
          <w:rFonts w:ascii="Palatino Linotype" w:hAnsi="Palatino Linotype"/>
          <w:lang w:val="es-MX"/>
        </w:rPr>
        <w:t xml:space="preserve">En una presunción como la del 124 CNPT (presunción hominis), el hecho base es necesariamente un “indicio”, </w:t>
      </w:r>
      <w:r w:rsidRPr="00D66245">
        <w:rPr>
          <w:rFonts w:ascii="Palatino Linotype" w:hAnsi="Palatino Linotype"/>
          <w:b/>
          <w:bCs/>
          <w:lang w:val="es-MX"/>
        </w:rPr>
        <w:t>distinto del hecho declarado</w:t>
      </w:r>
      <w:r w:rsidRPr="00D66245">
        <w:rPr>
          <w:rFonts w:ascii="Palatino Linotype" w:hAnsi="Palatino Linotype"/>
          <w:lang w:val="es-MX"/>
        </w:rPr>
        <w:t xml:space="preserve">, del cual pueda, por nexo lógico, derivar el hecho presunto. </w:t>
      </w:r>
      <w:r w:rsidRPr="00D66245">
        <w:rPr>
          <w:rFonts w:ascii="Palatino Linotype" w:hAnsi="Palatino Linotype"/>
          <w:lang w:val="es-CR"/>
        </w:rPr>
        <w:t xml:space="preserve"> </w:t>
      </w:r>
      <w:r w:rsidRPr="00D66245">
        <w:rPr>
          <w:rFonts w:ascii="Palatino Linotype" w:hAnsi="Palatino Linotype"/>
          <w:lang w:val="es-MX"/>
        </w:rPr>
        <w:t xml:space="preserve">El hecho declarado no puede ser, por sí solo, indicio de un hecho distinto (que sería el presunto). </w:t>
      </w:r>
      <w:r w:rsidRPr="00D66245">
        <w:rPr>
          <w:rFonts w:ascii="Palatino Linotype" w:hAnsi="Palatino Linotype"/>
          <w:lang w:val="es-CR"/>
        </w:rPr>
        <w:t xml:space="preserve"> </w:t>
      </w:r>
      <w:r w:rsidRPr="00D66245">
        <w:rPr>
          <w:rFonts w:ascii="Palatino Linotype" w:hAnsi="Palatino Linotype"/>
          <w:lang w:val="es-MX"/>
        </w:rPr>
        <w:t>Los indicios típicos están en el artículo 116 CNPT.  Así, necesariamente la Administración Tributaria debió tomar, por ejemplo, como dice dicho artículo 116, un indicio como el</w:t>
      </w:r>
      <w:r w:rsidRPr="00D66245">
        <w:rPr>
          <w:rFonts w:ascii="Palatino Linotype" w:hAnsi="Palatino Linotype"/>
          <w:lang w:val="es-CR"/>
        </w:rPr>
        <w:t xml:space="preserve"> rendimiento normal del negocio o la explotación objeto de la investigación (es decir, su propio rendimiento en períodos anteriores), o como el de empresas similares ubicadas en la misma plaza. </w:t>
      </w:r>
      <w:r w:rsidRPr="00D66245">
        <w:rPr>
          <w:rFonts w:ascii="Palatino Linotype" w:hAnsi="Palatino Linotype"/>
          <w:lang w:val="es-MX"/>
        </w:rPr>
        <w:t>Al acudir a una prueba por presunciones para contradecir lo declarado por el contribuyente, no se puede utilizar como hecho base de la presunción el mismo hecho declarado por el contribuyente</w:t>
      </w:r>
      <w:r w:rsidRPr="00D66245">
        <w:rPr>
          <w:rFonts w:ascii="Palatino Linotype" w:hAnsi="Palatino Linotype"/>
          <w:b/>
          <w:bCs/>
          <w:lang w:val="es-MX"/>
        </w:rPr>
        <w:t>.</w:t>
      </w:r>
      <w:r w:rsidRPr="00D66245">
        <w:rPr>
          <w:rFonts w:ascii="Palatino Linotype" w:hAnsi="Palatino Linotype"/>
          <w:lang w:val="es-CR"/>
        </w:rPr>
        <w:t xml:space="preserve"> Y ello es así por razones puramente </w:t>
      </w:r>
      <w:r w:rsidRPr="00D66245">
        <w:rPr>
          <w:rFonts w:ascii="Palatino Linotype" w:hAnsi="Palatino Linotype"/>
          <w:b/>
          <w:i/>
          <w:lang w:val="es-CR"/>
        </w:rPr>
        <w:t>lógicas</w:t>
      </w:r>
      <w:r w:rsidRPr="00D66245">
        <w:rPr>
          <w:rFonts w:ascii="Palatino Linotype" w:hAnsi="Palatino Linotype"/>
          <w:lang w:val="es-CR"/>
        </w:rPr>
        <w:t xml:space="preserve"> p</w:t>
      </w:r>
      <w:r w:rsidRPr="00D66245">
        <w:rPr>
          <w:rFonts w:ascii="Palatino Linotype" w:hAnsi="Palatino Linotype"/>
          <w:lang w:val="es-MX"/>
        </w:rPr>
        <w:t xml:space="preserve">ues, al intentar probar un hecho distinto (el presunto), el hecho base automáticamente deviene falso: o los ingresos son 1000 (hecho base) o son 1.100 (hecho presunto), ambos no pueden ser simultáneamente verdaderos.  </w:t>
      </w:r>
    </w:p>
    <w:p w14:paraId="581973EC"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lang w:val="es-CR"/>
        </w:rPr>
        <w:t>Este error es, lamentablemente, bastante reiterado y extendido en la práctica administrativa. Así, el profesor M. VARGAS</w:t>
      </w:r>
      <w:r w:rsidRPr="00D66245">
        <w:rPr>
          <w:rStyle w:val="Refdenotaalpie"/>
          <w:rFonts w:ascii="Palatino Linotype" w:hAnsi="Palatino Linotype"/>
        </w:rPr>
        <w:footnoteReference w:id="282"/>
      </w:r>
      <w:r w:rsidRPr="00D66245">
        <w:rPr>
          <w:rFonts w:ascii="Palatino Linotype" w:hAnsi="Palatino Linotype"/>
          <w:lang w:val="es-CR"/>
        </w:rPr>
        <w:t xml:space="preserve"> relata un caso en que la autoridad tributaria costarricense descubre un costo de ventas mayor que el declarado, de lo cual presume que hubo menos ventas que las declaradas. Ahora, para cuantificar presuntivamente el importe de las ventas adicionales no declaradas, la Administración toma el nuevo costo de ventas y le aplica el margen de utilidad sobre costo originariamente declarado por la empresa.  En este caso, el hecho base de la presunción es compuesto: </w:t>
      </w:r>
    </w:p>
    <w:p w14:paraId="63810803"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lang w:val="es-CR"/>
        </w:rPr>
        <w:tab/>
        <w:t>Un costo de ventas mayor que el declarado + el margen de utilidad declarado.</w:t>
      </w:r>
    </w:p>
    <w:p w14:paraId="681D4EC7"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lang w:val="es-CR"/>
        </w:rPr>
        <w:t>Sin embargo, como fácilmente puede observarse, al aparecer un costo de ventas mayor que el declarado, automáticamente el margen de utilidad declarado deviene matemáticamente falso, por lo que no puede sustentarse a partir de él el hecho presunto de que el margen de las ventas supuestamente ocultas es el mismo que el de las ventas declaradas. Como señala VARGAS CASTILLO</w:t>
      </w:r>
      <w:r w:rsidRPr="00D66245">
        <w:rPr>
          <w:rStyle w:val="Refdenotaalpie"/>
          <w:rFonts w:ascii="Palatino Linotype" w:hAnsi="Palatino Linotype"/>
        </w:rPr>
        <w:footnoteReference w:id="283"/>
      </w:r>
      <w:r w:rsidRPr="00D66245">
        <w:rPr>
          <w:rFonts w:ascii="Palatino Linotype" w:hAnsi="Palatino Linotype"/>
          <w:lang w:val="es-CR"/>
        </w:rPr>
        <w:t>, el problema está en utilizar, como hecho base de la presunción, “un hecho matemáticamente falso, lo que impide que se pueda tener válidamente por probado el hecho presunto. En efecto, al aumentar el costo de ventas, la relación entre el costo declarado y las ventas declaradas deviene automáticamente falso. Para construir bien la presunción, la Administración debió utilizar sea el margen de otros períodos fiscales del propio contribuyente, sea el margen de otros contribuyentes en condiciones similares.”</w:t>
      </w:r>
    </w:p>
    <w:p w14:paraId="47641384" w14:textId="77777777" w:rsidR="00E66130" w:rsidRPr="00D66245" w:rsidRDefault="00E66130" w:rsidP="00E66130">
      <w:pPr>
        <w:spacing w:before="120" w:after="200" w:line="240" w:lineRule="auto"/>
        <w:jc w:val="both"/>
        <w:rPr>
          <w:rFonts w:ascii="Palatino Linotype" w:hAnsi="Palatino Linotype"/>
        </w:rPr>
      </w:pPr>
      <w:r w:rsidRPr="00D66245">
        <w:rPr>
          <w:rFonts w:ascii="Palatino Linotype" w:hAnsi="Palatino Linotype"/>
          <w:lang w:val="es-CR"/>
        </w:rPr>
        <w:t xml:space="preserve">Podemos ilustrar ahora el mismo vicio en aplicación de una presunción legal: nos referimos a la presunción contenida en el artículo 5 de la Ley del Impuesto sobre la Renta, conocida como presunción de incremento no justificado de patrimonio. </w:t>
      </w:r>
      <w:r w:rsidRPr="00D66245">
        <w:rPr>
          <w:rFonts w:ascii="Palatino Linotype" w:hAnsi="Palatino Linotype"/>
        </w:rPr>
        <w:t xml:space="preserve">La categoría de la presunción </w:t>
      </w:r>
      <w:r w:rsidRPr="00D66245">
        <w:rPr>
          <w:rFonts w:ascii="Palatino Linotype" w:hAnsi="Palatino Linotype"/>
          <w:b/>
        </w:rPr>
        <w:t>legal</w:t>
      </w:r>
      <w:r w:rsidRPr="00D66245">
        <w:rPr>
          <w:rFonts w:ascii="Palatino Linotype" w:hAnsi="Palatino Linotype"/>
        </w:rPr>
        <w:t xml:space="preserve"> se caracteriza por que el hecho base de la presunción </w:t>
      </w:r>
      <w:r w:rsidRPr="00D66245">
        <w:rPr>
          <w:rFonts w:ascii="Palatino Linotype" w:hAnsi="Palatino Linotype"/>
          <w:b/>
        </w:rPr>
        <w:t>viene directamente delimitado de manera precisa en la ley</w:t>
      </w:r>
      <w:r w:rsidRPr="00D66245">
        <w:rPr>
          <w:rFonts w:ascii="Palatino Linotype" w:hAnsi="Palatino Linotype"/>
        </w:rPr>
        <w:t>, lo que la diferencia netamente de la figura de la “base presunta”.</w:t>
      </w:r>
    </w:p>
    <w:p w14:paraId="654D8605" w14:textId="77777777" w:rsidR="00E66130" w:rsidRPr="00D66245" w:rsidRDefault="00E66130" w:rsidP="00E66130">
      <w:pPr>
        <w:spacing w:before="120" w:after="200" w:line="240" w:lineRule="auto"/>
        <w:jc w:val="both"/>
        <w:rPr>
          <w:rFonts w:ascii="Palatino Linotype" w:hAnsi="Palatino Linotype"/>
          <w:iCs/>
        </w:rPr>
      </w:pPr>
      <w:r w:rsidRPr="00D66245">
        <w:rPr>
          <w:rFonts w:ascii="Palatino Linotype" w:hAnsi="Palatino Linotype"/>
        </w:rPr>
        <w:t>Dentro de la categor</w:t>
      </w:r>
      <w:r w:rsidRPr="00D66245">
        <w:rPr>
          <w:rFonts w:ascii="Palatino Linotype" w:hAnsi="Palatino Linotype"/>
          <w:lang w:val="es-PE"/>
        </w:rPr>
        <w:t xml:space="preserve">ía de las presunciones legales, es paradigmática la llamada “presunción de incremento no justificado de patrimonio.” Esta aparece en </w:t>
      </w:r>
      <w:r w:rsidRPr="00D66245">
        <w:rPr>
          <w:rFonts w:ascii="Palatino Linotype" w:hAnsi="Palatino Linotype"/>
        </w:rPr>
        <w:t xml:space="preserve">el artículo 5, párrafo tercero, de la Ley del Impuesto sobre la Renta </w:t>
      </w:r>
    </w:p>
    <w:p w14:paraId="6A1B4A33" w14:textId="77777777" w:rsidR="00E66130" w:rsidRPr="00D66245" w:rsidRDefault="00E66130" w:rsidP="00E66130">
      <w:pPr>
        <w:pStyle w:val="Textoindependiente"/>
        <w:spacing w:before="120" w:after="200" w:line="240" w:lineRule="auto"/>
        <w:jc w:val="both"/>
        <w:rPr>
          <w:rFonts w:ascii="Palatino Linotype" w:hAnsi="Palatino Linotype"/>
        </w:rPr>
      </w:pPr>
      <w:r w:rsidRPr="00D66245">
        <w:rPr>
          <w:rFonts w:ascii="Palatino Linotype" w:hAnsi="Palatino Linotype"/>
        </w:rPr>
        <w:t xml:space="preserve">Esta norma tiene carácter procedimental o formal, pues establece una presunción, susceptible como tal de prueba en contrario: el hecho base de la presunción es la existencia de un incremento del patrimonio de un período fiscal a otro y que tal incremento no se justifica por las rentas declaradas durante el período; comprobado este hecho por la Administración, esta puede tener por probado otro hecho —el presunto—, a saber, que se ha ocultado renta gravable por un monto equivalente al incremento del patrimonio no justificado. El contribuyente tiene la posibilidad de la prueba, de lo contrario, esto es que el incremento proviene de una renta no gravable de conformidad con el concepto legal de renta.  </w:t>
      </w:r>
    </w:p>
    <w:p w14:paraId="33FA854F"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lang w:val="es-CR"/>
        </w:rPr>
        <w:t>En un caso concreto resuelto recientemente a nivel de la Administración Tributaria de la Zona Norte, la auditoría fiscal, al analizar la contabilidad de la empresa contribuyente -una empresa dedicada a la producción de piña-, se centra en dos cuentas de pasivo del balance: una, llamada</w:t>
      </w:r>
      <w:r w:rsidRPr="00D66245">
        <w:rPr>
          <w:rFonts w:ascii="Palatino Linotype" w:hAnsi="Palatino Linotype"/>
        </w:rPr>
        <w:t xml:space="preserve"> “Apertura de Saldos en registro auxiliar”; otra, llamada “Cuenta de Aportes de Socios”.   </w:t>
      </w:r>
    </w:p>
    <w:p w14:paraId="2CD8E810"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lang w:val="es-CR"/>
        </w:rPr>
        <w:t xml:space="preserve">La auditoría sumó los créditos de las dos cuentas- sin tomar en cuenta los débitos- y pidió justificación sobre su origen.  </w:t>
      </w:r>
    </w:p>
    <w:p w14:paraId="184B88C7" w14:textId="77777777" w:rsidR="00E66130" w:rsidRPr="00D66245" w:rsidRDefault="00E66130" w:rsidP="00E66130">
      <w:pPr>
        <w:spacing w:before="120" w:after="200" w:line="240" w:lineRule="auto"/>
        <w:jc w:val="both"/>
        <w:rPr>
          <w:rFonts w:ascii="Palatino Linotype" w:hAnsi="Palatino Linotype"/>
        </w:rPr>
      </w:pPr>
      <w:r w:rsidRPr="00D66245">
        <w:rPr>
          <w:rFonts w:ascii="Palatino Linotype" w:hAnsi="Palatino Linotype"/>
        </w:rPr>
        <w:t>Es relevante indicar que l</w:t>
      </w:r>
      <w:r w:rsidRPr="00D66245">
        <w:rPr>
          <w:rFonts w:ascii="Palatino Linotype" w:hAnsi="Palatino Linotype"/>
          <w:lang w:val="es-CR"/>
        </w:rPr>
        <w:t xml:space="preserve">os ajustes en los ingresos practicados se hicieron utilizando la contabilidad de la contribuyente: se tomaron los créditos de dos cuentas del balance, se sumaron, y, partiendo de que no se justificó el origen, consideraron que constituían un incremento de patrimonio no justificado. De ahí se presumieron ingresos por esa suma. </w:t>
      </w:r>
    </w:p>
    <w:p w14:paraId="24CB0167"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lang w:val="es-CR"/>
        </w:rPr>
        <w:t xml:space="preserve">Para empezar, nótese que el uso de la contabilidad como prueba del hecho base de la presunción implica vicios en las reglas de valoración de la prueba según la sana crítica, pues no se reparó en que los débitos de esas cuentas llevaban al saldo de ésta a CERO. </w:t>
      </w:r>
    </w:p>
    <w:p w14:paraId="1B018E5C"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lang w:val="es-CR"/>
        </w:rPr>
        <w:t xml:space="preserve">En efecto, los créditos supuestamente injustificados no RESTARON a la hora de cuantificar el patrimonio de la empresa: su consideración como inexistentes no provoca un incremento del patrimonio originariamente contabilizado por la empresa.  Así, el ajuste determina la existencia de un incremento de patrimonio con base en los créditos de las cuentas y no con base en sus saldos, lo que implica una mala lectura, una mala apreciación de la contabilidad que ha utilizado como prueba.  </w:t>
      </w:r>
    </w:p>
    <w:p w14:paraId="25BF0CE8"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lang w:val="es-CR"/>
        </w:rPr>
        <w:t xml:space="preserve">De este modo, si de una correcta apreciación de la contabilidad deriva claramente que no ha existido incremento alguno de patrimonio, la discusión sobre la justificación u origen de los créditos de las cuentas se vuelve completamente innecesaria. </w:t>
      </w:r>
    </w:p>
    <w:p w14:paraId="2D5EDD93"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rPr>
        <w:t>La ecuación</w:t>
      </w:r>
      <w:r w:rsidRPr="00D66245">
        <w:rPr>
          <w:rFonts w:ascii="Palatino Linotype" w:hAnsi="Palatino Linotype"/>
          <w:b/>
          <w:bCs/>
        </w:rPr>
        <w:t xml:space="preserve"> de contabilidad</w:t>
      </w:r>
      <w:r w:rsidRPr="00D66245">
        <w:rPr>
          <w:rFonts w:ascii="Palatino Linotype" w:hAnsi="Palatino Linotype"/>
        </w:rPr>
        <w:t xml:space="preserve">, o </w:t>
      </w:r>
      <w:r w:rsidRPr="00D66245">
        <w:rPr>
          <w:rFonts w:ascii="Palatino Linotype" w:hAnsi="Palatino Linotype"/>
          <w:b/>
          <w:bCs/>
        </w:rPr>
        <w:t>ecuación contable</w:t>
      </w:r>
      <w:r w:rsidRPr="00D66245">
        <w:rPr>
          <w:rFonts w:ascii="Palatino Linotype" w:hAnsi="Palatino Linotype"/>
        </w:rPr>
        <w:t xml:space="preserve">, es uno de los conceptos fundamentales en contabilidad, siendo la base sobre la que se sustenta el sistema contable por partida doble; y que se define, bajo los principios de contabilidad generalmente aceptados, de la siguiente forma: </w:t>
      </w:r>
    </w:p>
    <w:p w14:paraId="2B671A35" w14:textId="77777777" w:rsidR="00E66130" w:rsidRPr="00D66245" w:rsidRDefault="00E66130" w:rsidP="00E66130">
      <w:pPr>
        <w:numPr>
          <w:ilvl w:val="0"/>
          <w:numId w:val="36"/>
        </w:numPr>
        <w:spacing w:before="120" w:after="200" w:line="240" w:lineRule="auto"/>
        <w:jc w:val="both"/>
        <w:rPr>
          <w:rFonts w:ascii="Palatino Linotype" w:hAnsi="Palatino Linotype"/>
          <w:lang w:val="es-CR"/>
        </w:rPr>
      </w:pPr>
      <w:r w:rsidRPr="00D66245">
        <w:rPr>
          <w:rFonts w:ascii="Palatino Linotype" w:hAnsi="Palatino Linotype"/>
          <w:b/>
          <w:bCs/>
        </w:rPr>
        <w:t>Patrimonio = Activo – pasivo</w:t>
      </w:r>
    </w:p>
    <w:p w14:paraId="2D6539DF"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rPr>
        <w:t xml:space="preserve">Por lo que entonces, respecto del pasivo </w:t>
      </w:r>
      <w:r w:rsidRPr="00D66245">
        <w:rPr>
          <w:rFonts w:ascii="Palatino Linotype" w:hAnsi="Palatino Linotype"/>
          <w:b/>
          <w:bCs/>
        </w:rPr>
        <w:t>este se conforma por la suma de todas las cuentas de pasivo que conforman el balance</w:t>
      </w:r>
      <w:r w:rsidRPr="00D66245">
        <w:rPr>
          <w:rFonts w:ascii="Palatino Linotype" w:hAnsi="Palatino Linotype"/>
        </w:rPr>
        <w:t xml:space="preserve">. </w:t>
      </w:r>
    </w:p>
    <w:p w14:paraId="1F69F8F4"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rPr>
        <w:t xml:space="preserve">La cuenta del pasivo es el </w:t>
      </w:r>
      <w:r w:rsidRPr="00D66245">
        <w:rPr>
          <w:rFonts w:ascii="Palatino Linotype" w:hAnsi="Palatino Linotype"/>
          <w:b/>
          <w:bCs/>
        </w:rPr>
        <w:t>resultado neto entre créditos y débitos.</w:t>
      </w:r>
    </w:p>
    <w:p w14:paraId="3F80736B"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rPr>
        <w:t xml:space="preserve">En el caso concreto la sub cuenta utilizada por el auditor tienen saldo cero y por lo tanto, no se debe sumar para llegar al total del pasivo. </w:t>
      </w:r>
      <w:r w:rsidRPr="00D66245">
        <w:rPr>
          <w:rFonts w:ascii="Palatino Linotype" w:hAnsi="Palatino Linotype"/>
          <w:lang w:val="es-CR"/>
        </w:rPr>
        <w:t xml:space="preserve"> </w:t>
      </w:r>
      <w:r w:rsidRPr="00D66245">
        <w:rPr>
          <w:rFonts w:ascii="Palatino Linotype" w:hAnsi="Palatino Linotype"/>
        </w:rPr>
        <w:t>Un pasivo inexistente es un pasivo registrado en la contabilidad y que, por tanto, es el que reduce el patrimonio en la ecuación Patrimonio=Activo-Pasivo. Si, a partir de una cierta labor probatoria, se establece que dicho pasivo registrado no es real, es simulado, es, en fin, inexistente, se debe deducir del registrado en la contabilidad, con lo que automáticamente el patrimonio aumenta.</w:t>
      </w:r>
    </w:p>
    <w:p w14:paraId="3DD8B45A"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rPr>
        <w:t>En este caso, ¿cómo puede aumentar el patrimonio por la deducción de un pasivo que nunca fue sumado a la ecuación contable? Porque, para pasar un pasivo como inexistente,  primero debe haberse incorporado como existente. Si no fue sumado era porque no existía y, por lo tanto, hay una coincidencia exacta entre los pasivos efectivamente registrados y sumados para determinar la ecuación patrimonial y los efectivamente existentes.</w:t>
      </w:r>
    </w:p>
    <w:p w14:paraId="3D8BAA6D"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rPr>
        <w:t xml:space="preserve">Como dijimos, el </w:t>
      </w:r>
      <w:r w:rsidRPr="00D66245">
        <w:rPr>
          <w:rFonts w:ascii="Palatino Linotype" w:hAnsi="Palatino Linotype"/>
          <w:b/>
          <w:bCs/>
        </w:rPr>
        <w:t xml:space="preserve">hecho base </w:t>
      </w:r>
      <w:r w:rsidRPr="00D66245">
        <w:rPr>
          <w:rFonts w:ascii="Palatino Linotype" w:hAnsi="Palatino Linotype"/>
        </w:rPr>
        <w:t xml:space="preserve">de la presunción que nos ocupa es la existencia de un incremento patrimonial. Como dice el Tribunal Fiscal, este tiene que ser un hecho verdadero, y como señala el artículo 414 del Código Procesal Civil quien invoque una presunción legal </w:t>
      </w:r>
      <w:r w:rsidRPr="00D66245">
        <w:rPr>
          <w:rFonts w:ascii="Palatino Linotype" w:hAnsi="Palatino Linotype"/>
          <w:b/>
          <w:bCs/>
        </w:rPr>
        <w:t>deberá probar</w:t>
      </w:r>
      <w:r w:rsidRPr="00D66245">
        <w:rPr>
          <w:rFonts w:ascii="Palatino Linotype" w:hAnsi="Palatino Linotype"/>
        </w:rPr>
        <w:t xml:space="preserve"> la existencia de los hechos que le sirven de base. </w:t>
      </w:r>
      <w:r w:rsidRPr="00D66245">
        <w:rPr>
          <w:rFonts w:ascii="Palatino Linotype" w:hAnsi="Palatino Linotype"/>
          <w:lang w:val="es-MX"/>
        </w:rPr>
        <w:t>En la misma línea, el Criterio Institucional No. DGT-CI-001-2012 señala que:</w:t>
      </w:r>
    </w:p>
    <w:p w14:paraId="3215E73F" w14:textId="77777777" w:rsidR="00E66130" w:rsidRPr="00D66245" w:rsidRDefault="00E66130" w:rsidP="00E66130">
      <w:pPr>
        <w:spacing w:before="120" w:after="200" w:line="240" w:lineRule="auto"/>
        <w:ind w:left="720"/>
        <w:jc w:val="both"/>
        <w:rPr>
          <w:rFonts w:ascii="Palatino Linotype" w:hAnsi="Palatino Linotype"/>
          <w:lang w:val="es-CR"/>
        </w:rPr>
      </w:pPr>
      <w:r w:rsidRPr="00D66245">
        <w:rPr>
          <w:rFonts w:ascii="Palatino Linotype" w:hAnsi="Palatino Linotype"/>
          <w:lang w:val="es-MX"/>
        </w:rPr>
        <w:t xml:space="preserve">“para gravar la presunción de cualquier incremento de patrimonio no justificado, el cual debe ser demostrado en forma certera con las pruebas que permitan concluir que existe un incremento patrimonial y al ser no justificado por el sujeto pasivo, procede aplicar la presunción legal”. </w:t>
      </w:r>
    </w:p>
    <w:p w14:paraId="0D5538F3"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lang w:val="es-MX"/>
        </w:rPr>
        <w:t xml:space="preserve">Es así que la Administración, por los errores en la apreciación de la prueba contable, no ha logrado probar el hecho base, a saber, </w:t>
      </w:r>
      <w:r w:rsidRPr="00D66245">
        <w:rPr>
          <w:rFonts w:ascii="Palatino Linotype" w:hAnsi="Palatino Linotype"/>
          <w:b/>
          <w:bCs/>
          <w:lang w:val="es-MX"/>
        </w:rPr>
        <w:t>un incremento de patrimonio que no se corresponde con los montos declarados como ingresos</w:t>
      </w:r>
      <w:r w:rsidRPr="00D66245">
        <w:rPr>
          <w:rFonts w:ascii="Palatino Linotype" w:hAnsi="Palatino Linotype"/>
          <w:lang w:val="es-MX"/>
        </w:rPr>
        <w:t xml:space="preserve">.  </w:t>
      </w:r>
    </w:p>
    <w:p w14:paraId="19768CAF" w14:textId="77777777" w:rsidR="00E66130" w:rsidRPr="00D66245" w:rsidRDefault="00E66130" w:rsidP="00E66130">
      <w:pPr>
        <w:spacing w:before="120" w:after="200" w:line="240" w:lineRule="auto"/>
        <w:jc w:val="both"/>
        <w:rPr>
          <w:rFonts w:ascii="Palatino Linotype" w:hAnsi="Palatino Linotype"/>
        </w:rPr>
      </w:pPr>
      <w:r w:rsidRPr="00D66245">
        <w:rPr>
          <w:rFonts w:ascii="Palatino Linotype" w:hAnsi="Palatino Linotype"/>
        </w:rPr>
        <w:t>Ignoran así las resoluciones administrativas que, en esta presunción, hay 2 elementos que tienen que estar presentes para que sea aplicable:</w:t>
      </w:r>
    </w:p>
    <w:p w14:paraId="73FFD735" w14:textId="77777777" w:rsidR="00E66130" w:rsidRPr="00D66245" w:rsidRDefault="00E66130" w:rsidP="00E66130">
      <w:pPr>
        <w:pStyle w:val="Prrafodelista"/>
        <w:numPr>
          <w:ilvl w:val="0"/>
          <w:numId w:val="37"/>
        </w:numPr>
        <w:spacing w:before="120" w:after="200" w:line="240" w:lineRule="auto"/>
        <w:contextualSpacing w:val="0"/>
        <w:jc w:val="both"/>
        <w:rPr>
          <w:rFonts w:ascii="Palatino Linotype" w:hAnsi="Palatino Linotype"/>
        </w:rPr>
      </w:pPr>
      <w:r w:rsidRPr="00D66245">
        <w:rPr>
          <w:rFonts w:ascii="Palatino Linotype" w:hAnsi="Palatino Linotype"/>
        </w:rPr>
        <w:t>El primero es el incremento del patrimonio.</w:t>
      </w:r>
    </w:p>
    <w:p w14:paraId="38F010F4" w14:textId="77777777" w:rsidR="00E66130" w:rsidRPr="00D66245" w:rsidRDefault="00E66130" w:rsidP="00E66130">
      <w:pPr>
        <w:pStyle w:val="Prrafodelista"/>
        <w:numPr>
          <w:ilvl w:val="0"/>
          <w:numId w:val="37"/>
        </w:numPr>
        <w:spacing w:before="120" w:after="200" w:line="240" w:lineRule="auto"/>
        <w:contextualSpacing w:val="0"/>
        <w:jc w:val="both"/>
        <w:rPr>
          <w:rFonts w:ascii="Palatino Linotype" w:hAnsi="Palatino Linotype"/>
        </w:rPr>
      </w:pPr>
      <w:r w:rsidRPr="00D66245">
        <w:rPr>
          <w:rFonts w:ascii="Palatino Linotype" w:hAnsi="Palatino Linotype"/>
        </w:rPr>
        <w:t xml:space="preserve">El segundo es la falta de justificación de ese incremento. </w:t>
      </w:r>
    </w:p>
    <w:p w14:paraId="6CC72E7D" w14:textId="77777777" w:rsidR="00E66130" w:rsidRPr="00D66245" w:rsidRDefault="00E66130" w:rsidP="00E66130">
      <w:pPr>
        <w:spacing w:before="120" w:after="200" w:line="240" w:lineRule="auto"/>
        <w:jc w:val="both"/>
        <w:rPr>
          <w:rFonts w:ascii="Palatino Linotype" w:hAnsi="Palatino Linotype"/>
        </w:rPr>
      </w:pPr>
      <w:r w:rsidRPr="00D66245">
        <w:rPr>
          <w:rFonts w:ascii="Palatino Linotype" w:hAnsi="Palatino Linotype"/>
        </w:rPr>
        <w:t xml:space="preserve">La inconsistencia argumentativa de la Administración radica en que no repara que mientras la argumentación de la empresa contribuyente se dirige a evidenciar que </w:t>
      </w:r>
      <w:r w:rsidRPr="00D66245">
        <w:rPr>
          <w:rFonts w:ascii="Palatino Linotype" w:hAnsi="Palatino Linotype"/>
          <w:b/>
        </w:rPr>
        <w:t xml:space="preserve">no se ha probado la existencia del primer elemento, esto es, el incremento de patrimonio, </w:t>
      </w:r>
      <w:r w:rsidRPr="00D66245">
        <w:rPr>
          <w:rFonts w:ascii="Palatino Linotype" w:hAnsi="Palatino Linotype"/>
        </w:rPr>
        <w:t xml:space="preserve">las resoluciones argumentan que no se le justificó.  En otras palabras, no reparan en que si no hay incremento de patrimonio, no hay nada que justificar.  </w:t>
      </w:r>
    </w:p>
    <w:p w14:paraId="304F670D" w14:textId="77777777" w:rsidR="00E66130" w:rsidRPr="00D66245" w:rsidRDefault="00E66130" w:rsidP="00E66130">
      <w:pPr>
        <w:spacing w:before="120" w:after="200" w:line="240" w:lineRule="auto"/>
        <w:jc w:val="both"/>
        <w:rPr>
          <w:rFonts w:ascii="Palatino Linotype" w:hAnsi="Palatino Linotype"/>
        </w:rPr>
      </w:pPr>
      <w:r w:rsidRPr="00D66245">
        <w:rPr>
          <w:rFonts w:ascii="Palatino Linotype" w:hAnsi="Palatino Linotype"/>
        </w:rPr>
        <w:t xml:space="preserve">Lógicamente, aun cuando no se haya justificado el origen de unos créditos en dos cuentas patrimoniales, tal falta de justificación no resuelve el problema central: la falta de prueba de la existencia de un incremento del patrimonio como hecho base de la presunción.  </w:t>
      </w:r>
    </w:p>
    <w:p w14:paraId="71311817" w14:textId="77777777" w:rsidR="00E66130" w:rsidRPr="00D66245" w:rsidRDefault="00E66130" w:rsidP="00E66130">
      <w:pPr>
        <w:pStyle w:val="Sinespaciado"/>
        <w:spacing w:before="120" w:after="200"/>
        <w:rPr>
          <w:rFonts w:ascii="Palatino Linotype" w:hAnsi="Palatino Linotype"/>
          <w:lang w:val="es-MX"/>
        </w:rPr>
      </w:pPr>
      <w:r w:rsidRPr="00D66245">
        <w:rPr>
          <w:rFonts w:ascii="Palatino Linotype" w:hAnsi="Palatino Linotype"/>
          <w:lang w:val="es-MX"/>
        </w:rPr>
        <w:t xml:space="preserve">Un incremento patrimonial constituye un aumento del valor del patrimonio, lo que se puede apreciar mediante la comparación del patrimonio en dos momentos distintos. En el caso del artículo 5, entre el inicio del período fiscal y el final del período fiscal. </w:t>
      </w:r>
    </w:p>
    <w:p w14:paraId="0376174E" w14:textId="77777777" w:rsidR="00E66130" w:rsidRPr="00D66245" w:rsidRDefault="00E66130" w:rsidP="00E66130">
      <w:pPr>
        <w:suppressAutoHyphens/>
        <w:spacing w:before="120" w:after="200" w:line="240" w:lineRule="auto"/>
        <w:jc w:val="both"/>
        <w:rPr>
          <w:rFonts w:ascii="Palatino Linotype" w:hAnsi="Palatino Linotype"/>
          <w:spacing w:val="-3"/>
          <w:lang w:val="es-MX"/>
        </w:rPr>
      </w:pPr>
      <w:r w:rsidRPr="00D66245">
        <w:rPr>
          <w:rFonts w:ascii="Palatino Linotype" w:hAnsi="Palatino Linotype"/>
          <w:lang w:val="es-MX"/>
        </w:rPr>
        <w:t>El desconocimiento de los créditos de una cuenta de pasivo solo puede implicar un incremento de patrimonio si el contribuyente hubiese deducido la suma de esos créditos en la ecuación patrimonial (activos – pasivos, es decir, solo si el monto de esos créditos hubiese engrosado los pasivos, lo que llevaría a que el patrimonio fuera menor). De este modo, al desconocer esos montos la Administración por falta de respaldo documental, entonces ciertamente el patrimonio aumentaría, al reducirse el monto de los pasivos. Pero, si a la hora de restar pasivos los créditos desconocidos por la Administración NUNCA fueron restados a la ecuación, pues tal desconocimiento deja totalmente inalterado el patrimonio contabilizado. La consecuencia: ¡no hubo incremento patrimonial!</w:t>
      </w:r>
      <w:r w:rsidRPr="00D66245">
        <w:rPr>
          <w:rFonts w:ascii="Palatino Linotype" w:hAnsi="Palatino Linotype"/>
          <w:b/>
          <w:lang w:val="es-MX"/>
        </w:rPr>
        <w:t xml:space="preserve"> </w:t>
      </w:r>
      <w:r w:rsidRPr="00D66245">
        <w:rPr>
          <w:rFonts w:ascii="Palatino Linotype" w:hAnsi="Palatino Linotype"/>
          <w:lang w:val="es-MX"/>
        </w:rPr>
        <w:t>Esto implica, lógicamente, que al no haber demostrado la existencia real el hecho base no se puede la Administración beneficiar de la presunción de que hubo renta gravable no declarada.</w:t>
      </w:r>
      <w:r w:rsidRPr="00D66245">
        <w:rPr>
          <w:rFonts w:ascii="Palatino Linotype" w:hAnsi="Palatino Linotype"/>
          <w:spacing w:val="-3"/>
          <w:lang w:val="es-MX"/>
        </w:rPr>
        <w:t xml:space="preserve">En su resolución </w:t>
      </w:r>
      <w:r w:rsidRPr="00D66245">
        <w:rPr>
          <w:rFonts w:ascii="Palatino Linotype" w:hAnsi="Palatino Linotype"/>
          <w:bCs/>
          <w:spacing w:val="-3"/>
          <w:lang w:val="es-MX"/>
        </w:rPr>
        <w:t xml:space="preserve">DT-02-R-129-03, del 12 de agosto de 2003, </w:t>
      </w:r>
      <w:r w:rsidRPr="00D66245">
        <w:rPr>
          <w:rFonts w:ascii="Palatino Linotype" w:hAnsi="Palatino Linotype"/>
          <w:spacing w:val="-3"/>
          <w:lang w:val="es-MX"/>
        </w:rPr>
        <w:t xml:space="preserve">la Administración Tributaria explica que las causas por las que se produce un incremento patrimonial son: </w:t>
      </w:r>
    </w:p>
    <w:p w14:paraId="6468C301" w14:textId="77777777" w:rsidR="00E66130" w:rsidRPr="00D66245" w:rsidRDefault="00E66130" w:rsidP="00E66130">
      <w:pPr>
        <w:suppressAutoHyphens/>
        <w:spacing w:before="120" w:after="200" w:line="240" w:lineRule="auto"/>
        <w:ind w:left="708" w:right="584"/>
        <w:jc w:val="both"/>
        <w:rPr>
          <w:rFonts w:ascii="Palatino Linotype" w:hAnsi="Palatino Linotype"/>
          <w:spacing w:val="-3"/>
          <w:lang w:val="es-MX"/>
        </w:rPr>
      </w:pPr>
      <w:r w:rsidRPr="00D66245">
        <w:rPr>
          <w:rFonts w:ascii="Palatino Linotype" w:hAnsi="Palatino Linotype"/>
          <w:spacing w:val="-3"/>
          <w:lang w:val="es-MX"/>
        </w:rPr>
        <w:t xml:space="preserve"> “Un aumento en las utilidades, un aporte extraordinario de socios, una nueva emisión de capital de acciones o un superávit de revaluación, pudiéndose dar incrementos justificados, aquellos que han sido debidamente declarados, o no justificados, los que supuestamente no se han declarado y pueden estar ocultos, ya </w:t>
      </w:r>
      <w:r w:rsidRPr="00D66245">
        <w:rPr>
          <w:rFonts w:ascii="Palatino Linotype" w:hAnsi="Palatino Linotype"/>
          <w:b/>
          <w:spacing w:val="-3"/>
          <w:u w:val="single"/>
          <w:lang w:val="es-MX"/>
        </w:rPr>
        <w:t>sea por deudas inexistentes</w:t>
      </w:r>
      <w:r w:rsidRPr="00D66245">
        <w:rPr>
          <w:rFonts w:ascii="Palatino Linotype" w:hAnsi="Palatino Linotype"/>
          <w:spacing w:val="-3"/>
          <w:lang w:val="es-MX"/>
        </w:rPr>
        <w:t>, inversión en activos o inexistencia de pasivos, carentes de respaldos. Por lo tanto y a razón de lo establecido en el artículo 8 del Reglamento a la Ley del Impuesto sobre la Renta, la Administración Tributaria está facultada para verificar y ajustar cualquier incremento patrimonial que se produzca y computarlo a la vez como cualquier incremento patrimonial que se produzca y computarlo a la vez como renta bruta en el período en que se produjo el mismo. Así las cosas, es obligación de la contribuyente explicar el origen del incremento patrimonial y probar que lo ha tributado, de lo contrario, se computará como renta bruta.”  (subrayado adicionado)</w:t>
      </w:r>
    </w:p>
    <w:p w14:paraId="220DFBFF" w14:textId="77777777" w:rsidR="00E66130" w:rsidRPr="00D66245" w:rsidRDefault="00E66130" w:rsidP="00E66130">
      <w:pPr>
        <w:suppressAutoHyphens/>
        <w:spacing w:before="120" w:after="200" w:line="240" w:lineRule="auto"/>
        <w:jc w:val="both"/>
        <w:rPr>
          <w:rFonts w:ascii="Palatino Linotype" w:hAnsi="Palatino Linotype"/>
          <w:spacing w:val="-3"/>
          <w:lang w:val="es-MX"/>
        </w:rPr>
      </w:pPr>
      <w:r w:rsidRPr="00D66245">
        <w:rPr>
          <w:rFonts w:ascii="Palatino Linotype" w:hAnsi="Palatino Linotype"/>
          <w:spacing w:val="-3"/>
          <w:lang w:val="es-MX"/>
        </w:rPr>
        <w:t>El Tribunal Fiscal Administrativo, al confirmar la resolución anterior</w:t>
      </w:r>
      <w:r w:rsidRPr="00D66245">
        <w:rPr>
          <w:rStyle w:val="Refdenotaalpie"/>
          <w:rFonts w:ascii="Palatino Linotype" w:hAnsi="Palatino Linotype"/>
        </w:rPr>
        <w:footnoteReference w:id="284"/>
      </w:r>
      <w:r w:rsidRPr="00D66245">
        <w:rPr>
          <w:rFonts w:ascii="Palatino Linotype" w:hAnsi="Palatino Linotype"/>
          <w:spacing w:val="-3"/>
          <w:lang w:val="es-MX"/>
        </w:rPr>
        <w:t xml:space="preserve">, citando su </w:t>
      </w:r>
      <w:r w:rsidRPr="00D66245">
        <w:rPr>
          <w:rFonts w:ascii="Palatino Linotype" w:hAnsi="Palatino Linotype"/>
          <w:bCs/>
          <w:spacing w:val="-3"/>
          <w:lang w:val="es-MX"/>
        </w:rPr>
        <w:t xml:space="preserve">fallo 198-2001, </w:t>
      </w:r>
      <w:r w:rsidRPr="00D66245">
        <w:rPr>
          <w:rFonts w:ascii="Palatino Linotype" w:hAnsi="Palatino Linotype"/>
          <w:spacing w:val="-3"/>
          <w:lang w:val="es-MX"/>
        </w:rPr>
        <w:t xml:space="preserve">precisa que </w:t>
      </w:r>
      <w:r w:rsidRPr="00D66245">
        <w:rPr>
          <w:rFonts w:ascii="Palatino Linotype" w:hAnsi="Palatino Linotype"/>
          <w:iCs/>
          <w:spacing w:val="-3"/>
          <w:lang w:val="es-MX"/>
        </w:rPr>
        <w:t xml:space="preserve">“existen dos formas de manifestarse las ganancias o incrementos patrimoniales no justificados, cuales son, como lo cita la literatura sobre esta figura jurídica, desproporción entre las declaraciones de renta y patrimonio del sujeto pasivo </w:t>
      </w:r>
      <w:r w:rsidRPr="00D66245">
        <w:rPr>
          <w:rFonts w:ascii="Palatino Linotype" w:hAnsi="Palatino Linotype"/>
          <w:b/>
          <w:iCs/>
          <w:spacing w:val="-3"/>
          <w:u w:val="single"/>
          <w:lang w:val="es-MX"/>
        </w:rPr>
        <w:t>y declaración de deudas inexistentes.</w:t>
      </w:r>
      <w:r w:rsidRPr="00D66245">
        <w:rPr>
          <w:rFonts w:ascii="Palatino Linotype" w:hAnsi="Palatino Linotype"/>
          <w:iCs/>
          <w:spacing w:val="-3"/>
          <w:lang w:val="es-MX"/>
        </w:rPr>
        <w:t xml:space="preserve">” </w:t>
      </w:r>
      <w:r w:rsidRPr="00D66245">
        <w:rPr>
          <w:rFonts w:ascii="Palatino Linotype" w:hAnsi="Palatino Linotype"/>
          <w:spacing w:val="-3"/>
          <w:lang w:val="es-MX"/>
        </w:rPr>
        <w:t>(subrayado adicionado)</w:t>
      </w:r>
    </w:p>
    <w:p w14:paraId="0D891811" w14:textId="77777777" w:rsidR="00E66130" w:rsidRPr="00D66245" w:rsidRDefault="00E66130" w:rsidP="00E66130">
      <w:pPr>
        <w:pStyle w:val="Textonotapie"/>
        <w:spacing w:before="120" w:after="200"/>
        <w:jc w:val="both"/>
        <w:rPr>
          <w:rFonts w:ascii="Palatino Linotype" w:hAnsi="Palatino Linotype"/>
          <w:iCs/>
          <w:sz w:val="22"/>
          <w:szCs w:val="22"/>
        </w:rPr>
      </w:pPr>
      <w:r w:rsidRPr="00D66245">
        <w:rPr>
          <w:rFonts w:ascii="Palatino Linotype" w:hAnsi="Palatino Linotype"/>
          <w:iCs/>
          <w:sz w:val="22"/>
          <w:szCs w:val="22"/>
        </w:rPr>
        <w:t xml:space="preserve">Y es precisamente este el elemento básico de la argumentación de las resoluciones administrativas, al plantear la supuesta presencia de un pasivo inexistente en la ecuación patrimonial que consta en la contabilidad de mi representada, el cual, por su supuesta “inexistencia”, lleva a una alteración de la ecuación contabilizada, determinando un incremento no justificado que vendría a configurar el hecho base de la presunción.  En este sentido, la Administración pretende tener como demostrado el incremento injustificado de patrimonio a partir de la suma de los créditos del haber en una subcuenta de pasivo, y en una cuenta de aporte de socios, ignorando de manera inexplicable su </w:t>
      </w:r>
      <w:r w:rsidRPr="00D66245">
        <w:rPr>
          <w:rFonts w:ascii="Palatino Linotype" w:hAnsi="Palatino Linotype"/>
          <w:b/>
          <w:iCs/>
          <w:sz w:val="22"/>
          <w:szCs w:val="22"/>
        </w:rPr>
        <w:t>saldo</w:t>
      </w:r>
      <w:r w:rsidRPr="00D66245">
        <w:rPr>
          <w:rFonts w:ascii="Palatino Linotype" w:hAnsi="Palatino Linotype"/>
          <w:iCs/>
          <w:sz w:val="22"/>
          <w:szCs w:val="22"/>
        </w:rPr>
        <w:t>, que incluye los débitos. Como vimos ya, el punto neurálgico es que de la prueba contable deriva que no existe tal pasivo registrado en la contabilidad del contribuyente debido a que los saldos de las subcuentas utilizadas están en “cero”, como lo revela el propio balance de comprobación que usó la auditoría como base de sus ajustes. Así las cosas, en la contabilidad de la contribvuyente en ningún momento se sumaron los pasivos que pretende haber identificado la auditoría fiscal dentro del pasivo total, por lo que en ningún momento incidieron en la ecuación patrimonial.  Esto implica, ni más ni menos, que no se tiene por demostrado el hecho base de la presunción y por ende, tampoco el presunto.</w:t>
      </w:r>
    </w:p>
    <w:p w14:paraId="5F6D0104" w14:textId="77777777" w:rsidR="00E66130" w:rsidRPr="00D66245" w:rsidRDefault="00E66130" w:rsidP="00E66130">
      <w:pPr>
        <w:pStyle w:val="Textonotapie"/>
        <w:spacing w:before="120" w:after="200"/>
        <w:jc w:val="both"/>
        <w:rPr>
          <w:rFonts w:ascii="Palatino Linotype" w:hAnsi="Palatino Linotype"/>
          <w:iCs/>
          <w:sz w:val="22"/>
          <w:szCs w:val="22"/>
        </w:rPr>
      </w:pPr>
      <w:r w:rsidRPr="00D66245">
        <w:rPr>
          <w:rFonts w:ascii="Palatino Linotype" w:hAnsi="Palatino Linotype"/>
          <w:iCs/>
          <w:sz w:val="22"/>
          <w:szCs w:val="22"/>
        </w:rPr>
        <w:t xml:space="preserve">La sentencia del Tribunal Contencioso Administrativo No. 92-2015-V avala toda esta argumentación. </w:t>
      </w:r>
    </w:p>
    <w:p w14:paraId="73CCE32C" w14:textId="77777777" w:rsidR="00E66130" w:rsidRPr="00D66245" w:rsidRDefault="00E66130" w:rsidP="00E66130">
      <w:pPr>
        <w:pStyle w:val="Textonotapie"/>
        <w:spacing w:before="120" w:after="200"/>
        <w:jc w:val="both"/>
        <w:rPr>
          <w:rFonts w:ascii="Palatino Linotype" w:hAnsi="Palatino Linotype"/>
          <w:iCs/>
          <w:sz w:val="22"/>
          <w:szCs w:val="22"/>
        </w:rPr>
      </w:pPr>
      <w:r w:rsidRPr="00D66245">
        <w:rPr>
          <w:rFonts w:ascii="Palatino Linotype" w:hAnsi="Palatino Linotype"/>
          <w:iCs/>
          <w:sz w:val="22"/>
          <w:szCs w:val="22"/>
        </w:rPr>
        <w:t xml:space="preserve">Esta sentencia se enfrentó a una hipótesis similar a la que aquí nos ocupa: la Administración pretendió probar la existencia de un incremento patrimonial utilizando únicamente los créditos (desde el punto de vista del Banco, equivalentes a los depósitos) de una cuenta bancaria y no los saldos.  En el presente caso, la Administración utiliza los créditos de dos cuentas contables para determinar el incremento del patrimonio, en lugar de utilizar los saldos. </w:t>
      </w:r>
    </w:p>
    <w:p w14:paraId="1633FE55" w14:textId="77777777" w:rsidR="00E66130" w:rsidRPr="00D66245" w:rsidRDefault="00E66130" w:rsidP="00E66130">
      <w:pPr>
        <w:pStyle w:val="Textonotapie"/>
        <w:spacing w:before="120" w:after="200"/>
        <w:jc w:val="both"/>
        <w:rPr>
          <w:rFonts w:ascii="Palatino Linotype" w:hAnsi="Palatino Linotype"/>
          <w:iCs/>
          <w:sz w:val="22"/>
          <w:szCs w:val="22"/>
        </w:rPr>
      </w:pPr>
      <w:r w:rsidRPr="00D66245">
        <w:rPr>
          <w:rFonts w:ascii="Palatino Linotype" w:hAnsi="Palatino Linotype"/>
          <w:iCs/>
          <w:sz w:val="22"/>
          <w:szCs w:val="22"/>
        </w:rPr>
        <w:t>En este sentido, la sentencia 92-2015-V establece en su considerando IX respecto de la determinación basada en solo uno de los extremos de la cuenta:</w:t>
      </w:r>
    </w:p>
    <w:p w14:paraId="63B0B35B" w14:textId="77777777" w:rsidR="00E66130" w:rsidRPr="00D66245" w:rsidRDefault="00E66130" w:rsidP="00E66130">
      <w:pPr>
        <w:spacing w:before="120" w:after="200" w:line="240" w:lineRule="auto"/>
        <w:ind w:left="360"/>
        <w:jc w:val="both"/>
        <w:rPr>
          <w:rFonts w:ascii="Palatino Linotype" w:hAnsi="Palatino Linotype"/>
          <w:lang w:val="es-CR"/>
        </w:rPr>
      </w:pPr>
      <w:r w:rsidRPr="00D66245">
        <w:rPr>
          <w:rFonts w:ascii="Palatino Linotype" w:hAnsi="Palatino Linotype"/>
          <w:lang w:val="es-CR"/>
        </w:rPr>
        <w:t xml:space="preserve">IX.- SOBRE LA OMISIÓN DE INGRESOS DETERMINADA CON BASE EN DEPÓSITOS BANCARIOS DE LAS CUENTAS DE LA ACTORA: (…) el Auditor Fiscal se limitó a tener como un incremento no justificado en el patrimonio, y por lo tanto, como ingresos gravables, la totalidad de los depósitos realizados en las cuentas corrientes de la actora para los períodos fiscales 2002 y 2003. Esta posición no es compartida por el Tribunal. Tal y como lo señala la representación de la demandante, la Administración, en este caso, no logra probar el hecho base, el cual, como se explicó en el considerando anterior, debe ser un hecho cierto, a partir del cual, con la ayuda de indicios, se construye otro que es presunto, lo que implica que ese hecho base debe quedar plenamente acreditado y que una presunción no puede ser nunca probada mediante otra presunción. El párrafo 3° del artículo 5 de la Ley N°7092 establece una presunción legal: "También forma parte de la renta bruta cualquier incremento del patrimonio que no tenga su justificación en ingresos debidamente registrados y declarados, a partir del período fiscal siguiente a la vigencia de esta ley." Lo anterior, ligado al artículo 19 del Reglamento General de Gestión, Fiscalización y Recaudación Tributaria, en cuanto al tratar el tema de la carga de la prueba, señala con claridad que ésta incumbe a la Administración respecto de los hechos constitutivos de la obligación permite arribar a la conclusión en el sentido de que correspondía a la Administración acreditar el hecho base de esta presunción legal, es decir, que se produjo un incremento injustificado en el patrimonio. El punto es que para hacerlo, la Administración no se basó en un hecho cierto, sino en otra presunción: la de asumir sin más, que todos los depósitos a las cuentas corrientes de la actora en los Bancos de Costa Rica y Nacional de Costa Rica, constituyeron un incremento no justificado en el patrimonio de la contribuyente, sin detenerse a examinar, como lo reconoció en juicio el propio Auditor Fiscal, si los depósitos hechos a esas cuentas efectivamente representaron un incremento patrimonial (el propia auditor admitió no haber realizado un estudio sobre saldos). Tampoco se examinó el origen de los depósitos y en el caso de los realizados en el período 2003, no se detuvo a analizar que las cuentas eran compartidas por dos empresas: la actora y Distribuidora Arco Iris S.A.. A mayor abundamiento debe indicarse, que llama la atención de este Órgano decisor la ligereza con la que actuó el Auditor Fiscal; actitud que queda plasmada en algunas de las consideraciones que expone en los traslados de cargos, como cuando afirma que de los depósitos realizados, él excluyó algunos, pues presumió (una vez más), que podrían tener origen distinto al de las rentas generadas por la demandante; o cuando afirma que el margen de utilidad, una vez realizada la determinación de la base imponible, resulta elevado, sin profundizar en este aspecto. (…)También resulta cuestionable la conducta de la Administración, al inclinarse por presumir como incremento no justificado del patrimonio de la demandante la totalidad de los depósitos en sus cuentas corrientes y a partir de esa información establecer una diferencia en la base imponible, cuando en los traslados de cargos indica que una de las razones por las que se atendió la denuncia anónima formulada contra la actora y que originó la fiscalización, fue que del estudio de control cruzado a través de las fórmulas D151, se logró establecer una diferencia en las ventas declaradas por la demandante, y las reportadas por sus compradores. Este último dato, sí constituye a juicio del Tribunal una información objetiva objetivo del que pudo echar mano la Administración, para establecer la base presunta ajustada a la realidad económica de la contribuyente. No obstante, lejos de ello, la Administración decidió mantener en firme una actuación fiscalizadora, a pesar de que el hecho base de la presunción de un incremento no justificado del patrimonio, no fue acreditado, es decir, no contaba con un hecho cierto de respaldo; así como de las dudas que el mismo auditor plasmó en las consideraciones vertidas por éste en los traslados de cargos. De acuerdo con lo expuesto, el Tribunal estima que lleva razón la representación de la demandante en cuanto alega la existencia de un vicio en el motivo del acto determinativo. De conformidad con el numeral 133 de la Ley General de la Administración Pública, el motivo constituye un elemento esencial del acto administrativo, y está conformado por los presupuestos fácticos y jurídicos que hace posible o necesaria su emisión, y que precisamente sirven de soporte o fundamentan su legitimidad, oportunidad o conveniencia. Debe ser legítimo, es decir, supeditado al ordenamiento jurídico, y debe existir tal y como la Administración lo invoca. En el caso bajo examen el Tribunal concluye que el acto determinativo ni es legítimo ni existe tal y como la Administración lo invoca, pues ésta ni en sede administrativa, a lo largo de su actuación fiscalizadora, ni posteriormente al emitir el acto determinativo, logra establecer la existencia del presupuesto fáctico que le sirve de fundamento. Lo anterior debido a que, como ya se ha señalado, el hecho base de la presunción de incremento no justificado de patrimonio, no puede acreditarse mediante otras presunciones (ilegitimidad en la actuación), y habiendo quedado claro, de acuerdo con el elenco de hechos que ha tenido como probados este Tribunal, que ello fue precisamente lo que hizo la Administración para establecer la existencia de una diferencia entre los ingresos gravables declarados y aquellos que pudo establecer mediante la sumatoria de las cantidades depositadas a las cuentas corrientes de la actora, necesariamente habrá de concluirse que el incremento no justificado en el patrimonio no ha sido debidamente acreditado (inexistencia), y por ende el motivo del acto. Así las cosas, no queda más que decretar la nulidad del acto determinativo…” </w:t>
      </w:r>
    </w:p>
    <w:p w14:paraId="0CDD97E8"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rPr>
        <w:t xml:space="preserve">La sentencia citada establece de forma expresa que la aplicación de la presunción de incremento injustificado de patrimonio basado en la suma de los depósitos de las cuentas, no es otra cosa que </w:t>
      </w:r>
      <w:r w:rsidRPr="00D66245">
        <w:rPr>
          <w:rFonts w:ascii="Palatino Linotype" w:hAnsi="Palatino Linotype"/>
          <w:b/>
          <w:bCs/>
        </w:rPr>
        <w:t>la aplicación de una presunción sobre un hecho base también presunto -de la existencia de créditos (depósitos) en una cuenta bancaria se presume un incremento de patrimonio, lo que es claramente ilegal</w:t>
      </w:r>
      <w:r w:rsidRPr="00D66245">
        <w:rPr>
          <w:rFonts w:ascii="Palatino Linotype" w:hAnsi="Palatino Linotype"/>
        </w:rPr>
        <w:t xml:space="preserve">, pues como lo indica la sentencia, no se puede establecer un incremento de patrimonio con la suma de los créditos de la cuenta, pues con estos no se determina el patrimonio, al no tomar en cuenta los débitos de dicha cuenta.  Es decir, al no tomar los saldos de esta cuenta no se está cuantificando adecuadamente el patrimonio. </w:t>
      </w:r>
    </w:p>
    <w:p w14:paraId="2C195DB3"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rPr>
        <w:t xml:space="preserve">Por lo tanto, al no probarse el hecho base de la presunción, a saber, el incremento de patrimonio, el tener por válido el hecho presunto implica un vicio absoluto en el motivo del acto administrativo. </w:t>
      </w:r>
    </w:p>
    <w:p w14:paraId="642C5B44" w14:textId="77777777" w:rsidR="00E66130" w:rsidRPr="00D66245" w:rsidRDefault="00E66130" w:rsidP="00E66130">
      <w:pPr>
        <w:spacing w:before="120" w:after="200" w:line="240" w:lineRule="auto"/>
        <w:jc w:val="both"/>
        <w:rPr>
          <w:rFonts w:ascii="Palatino Linotype" w:hAnsi="Palatino Linotype"/>
          <w:b/>
          <w:lang w:val="es-CR"/>
        </w:rPr>
      </w:pPr>
      <w:r w:rsidRPr="00D66245">
        <w:rPr>
          <w:rFonts w:ascii="Palatino Linotype" w:hAnsi="Palatino Linotype"/>
          <w:b/>
          <w:lang w:val="es-CR"/>
        </w:rPr>
        <w:t>2.2. Casos en que el nexo lógico es débil o inexistente y se le hace prevalecer aun contra prueba en contrario.</w:t>
      </w:r>
    </w:p>
    <w:p w14:paraId="14B6253C" w14:textId="77777777" w:rsidR="00E66130" w:rsidRPr="00D66245" w:rsidRDefault="00E66130" w:rsidP="00E66130">
      <w:pPr>
        <w:spacing w:before="120" w:after="200" w:line="240" w:lineRule="auto"/>
        <w:ind w:right="74"/>
        <w:jc w:val="both"/>
        <w:rPr>
          <w:rFonts w:ascii="Palatino Linotype" w:hAnsi="Palatino Linotype"/>
        </w:rPr>
      </w:pPr>
      <w:r w:rsidRPr="00D66245">
        <w:rPr>
          <w:rFonts w:ascii="Palatino Linotype" w:hAnsi="Palatino Linotype"/>
          <w:lang w:val="es-CR"/>
        </w:rPr>
        <w:t xml:space="preserve">En un caso iniciado por el Instituto de Desarrollo Agrario, ente que ejerce de Administración Tributaria del impuesto a los licores a favor de dicho Instituto, creado por el artículo 8 de la Ley 6735, se detecta que una empresa (LD) de un grupo económico ha importado concentrado de licor y, sin embargo, no registra declaraciones en las que se declaren ventas de licor. </w:t>
      </w:r>
      <w:r w:rsidRPr="00D66245">
        <w:rPr>
          <w:rFonts w:ascii="Palatino Linotype" w:hAnsi="Palatino Linotype"/>
        </w:rPr>
        <w:t xml:space="preserve">De ahí deriva que todo ese concentrado se transformó en producto terminado y se vendió (por alguna o algunas de las empresas del grupo). Hasta ahí podría haber incluso una inferencia lógica, basada en las máximas de experiencia, de que si se importa concentrado es con la intención de transformarlo en producto terminado y venderlo.  </w:t>
      </w:r>
    </w:p>
    <w:p w14:paraId="2ABF26FF" w14:textId="77777777" w:rsidR="00E66130" w:rsidRPr="00D66245" w:rsidRDefault="00E66130" w:rsidP="00E66130">
      <w:pPr>
        <w:spacing w:before="120" w:after="200" w:line="240" w:lineRule="auto"/>
        <w:ind w:right="74"/>
        <w:jc w:val="both"/>
        <w:rPr>
          <w:rFonts w:ascii="Palatino Linotype" w:hAnsi="Palatino Linotype"/>
        </w:rPr>
      </w:pPr>
      <w:r w:rsidRPr="00D66245">
        <w:rPr>
          <w:rFonts w:ascii="Palatino Linotype" w:hAnsi="Palatino Linotype"/>
        </w:rPr>
        <w:t xml:space="preserve">Sin embargo, a partir de este hecho presunto, la Administración del INDER deduce otros hechos presuntos adicionales dotados de un grado de incertidumbre claramente intolerable:  </w:t>
      </w:r>
      <w:r w:rsidRPr="00D66245">
        <w:rPr>
          <w:rFonts w:ascii="Palatino Linotype" w:hAnsi="Palatino Linotype"/>
          <w:b/>
        </w:rPr>
        <w:t>primero</w:t>
      </w:r>
      <w:r w:rsidRPr="00D66245">
        <w:rPr>
          <w:rFonts w:ascii="Palatino Linotype" w:hAnsi="Palatino Linotype"/>
        </w:rPr>
        <w:t xml:space="preserve">, que el producto fabricado con ese concentrado es distinto y adicional a los productos fabricados que dieron lugar a las ventas detectadas y estimadas, también por base presunta, de las 3 compañías del grupo respecto de las que se realizaron determinaciones de impuesto separadas; </w:t>
      </w:r>
      <w:r w:rsidRPr="00D66245">
        <w:rPr>
          <w:rFonts w:ascii="Palatino Linotype" w:hAnsi="Palatino Linotype"/>
          <w:b/>
        </w:rPr>
        <w:t>segundo</w:t>
      </w:r>
      <w:r w:rsidRPr="00D66245">
        <w:rPr>
          <w:rFonts w:ascii="Palatino Linotype" w:hAnsi="Palatino Linotype"/>
        </w:rPr>
        <w:t xml:space="preserve">, que todo ese concentrado se destinó a producir únicamente los productos con menor grado de concentración alcohólica (14%, correspondiente al producto G.C.), hecho que además es contradicho con el propio reconocimiento del traslado de que se vendían paquetes de licores en miniatura todos con diferentes gradaciones alcohólicas (incluyendo el ron, con gradación de 35%; además, había paquetes miniatura de otros licores con gradaciones del 31,5% y del 40%); </w:t>
      </w:r>
      <w:r w:rsidRPr="00D66245">
        <w:rPr>
          <w:rFonts w:ascii="Palatino Linotype" w:hAnsi="Palatino Linotype"/>
          <w:b/>
        </w:rPr>
        <w:t>tercero</w:t>
      </w:r>
      <w:r w:rsidRPr="00D66245">
        <w:rPr>
          <w:rFonts w:ascii="Palatino Linotype" w:hAnsi="Palatino Linotype"/>
        </w:rPr>
        <w:t xml:space="preserve">, que no hubo mermas en el proceso; </w:t>
      </w:r>
      <w:r w:rsidRPr="00D66245">
        <w:rPr>
          <w:rFonts w:ascii="Palatino Linotype" w:hAnsi="Palatino Linotype"/>
          <w:b/>
        </w:rPr>
        <w:t>cuarto</w:t>
      </w:r>
      <w:r w:rsidRPr="00D66245">
        <w:rPr>
          <w:rFonts w:ascii="Palatino Linotype" w:hAnsi="Palatino Linotype"/>
        </w:rPr>
        <w:t xml:space="preserve">, que no quedó en cada período producto en inventario, no vendido.  </w:t>
      </w:r>
    </w:p>
    <w:p w14:paraId="0247C0F5" w14:textId="77777777" w:rsidR="00E66130" w:rsidRPr="00D66245" w:rsidRDefault="00E66130" w:rsidP="00E66130">
      <w:pPr>
        <w:shd w:val="clear" w:color="auto" w:fill="E7E6E6" w:themeFill="background2"/>
        <w:spacing w:before="120" w:after="200"/>
        <w:ind w:firstLine="360"/>
        <w:jc w:val="both"/>
        <w:rPr>
          <w:rFonts w:ascii="Palatino Linotype" w:hAnsi="Palatino Linotype"/>
          <w:lang w:val="es-CR"/>
        </w:rPr>
      </w:pPr>
      <w:r w:rsidRPr="00D66245">
        <w:rPr>
          <w:rFonts w:ascii="Palatino Linotype" w:hAnsi="Palatino Linotype"/>
        </w:rPr>
        <w:t>Podemos describir la estructura de la presunción utilizada de la siguiente manera:</w:t>
      </w:r>
    </w:p>
    <w:p w14:paraId="15C232F3" w14:textId="77777777" w:rsidR="00E66130" w:rsidRPr="00D66245" w:rsidRDefault="00E66130" w:rsidP="00E66130">
      <w:pPr>
        <w:numPr>
          <w:ilvl w:val="0"/>
          <w:numId w:val="33"/>
        </w:numPr>
        <w:shd w:val="clear" w:color="auto" w:fill="E7E6E6" w:themeFill="background2"/>
        <w:spacing w:before="120" w:after="200" w:line="276" w:lineRule="auto"/>
        <w:jc w:val="both"/>
        <w:rPr>
          <w:rFonts w:ascii="Palatino Linotype" w:hAnsi="Palatino Linotype"/>
          <w:lang w:val="es-CR"/>
        </w:rPr>
      </w:pPr>
      <w:r w:rsidRPr="00D66245">
        <w:rPr>
          <w:rFonts w:ascii="Palatino Linotype" w:hAnsi="Palatino Linotype"/>
        </w:rPr>
        <w:t>.</w:t>
      </w:r>
      <w:r w:rsidRPr="00D66245">
        <w:rPr>
          <w:rFonts w:ascii="Palatino Linotype" w:hAnsi="Palatino Linotype"/>
          <w:u w:val="single"/>
        </w:rPr>
        <w:t>Hecho base</w:t>
      </w:r>
      <w:r w:rsidRPr="00D66245">
        <w:rPr>
          <w:rFonts w:ascii="Palatino Linotype" w:hAnsi="Palatino Linotype"/>
        </w:rPr>
        <w:t xml:space="preserve">: La importación de concentrado. </w:t>
      </w:r>
    </w:p>
    <w:p w14:paraId="562953BE" w14:textId="77777777" w:rsidR="00E66130" w:rsidRPr="00D66245" w:rsidRDefault="00E66130" w:rsidP="00E66130">
      <w:pPr>
        <w:numPr>
          <w:ilvl w:val="0"/>
          <w:numId w:val="33"/>
        </w:numPr>
        <w:shd w:val="clear" w:color="auto" w:fill="E7E6E6" w:themeFill="background2"/>
        <w:spacing w:before="120" w:after="200" w:line="276" w:lineRule="auto"/>
        <w:jc w:val="both"/>
        <w:rPr>
          <w:rFonts w:ascii="Palatino Linotype" w:hAnsi="Palatino Linotype"/>
          <w:lang w:val="es-CR"/>
        </w:rPr>
      </w:pPr>
      <w:r w:rsidRPr="00D66245">
        <w:rPr>
          <w:rFonts w:ascii="Palatino Linotype" w:hAnsi="Palatino Linotype"/>
        </w:rPr>
        <w:t xml:space="preserve">Hecho presunto: De este hecho base, la AT </w:t>
      </w:r>
      <w:r w:rsidRPr="00D66245">
        <w:rPr>
          <w:rFonts w:ascii="Palatino Linotype" w:hAnsi="Palatino Linotype"/>
          <w:b/>
          <w:bCs/>
        </w:rPr>
        <w:t>infiere</w:t>
      </w:r>
      <w:r w:rsidRPr="00D66245">
        <w:rPr>
          <w:rFonts w:ascii="Palatino Linotype" w:hAnsi="Palatino Linotype"/>
        </w:rPr>
        <w:t xml:space="preserve"> (supuesta conexión lógica o de normalidad) que todo ese concentrado se convirtió en producto final y se vendió en el mercado.  </w:t>
      </w:r>
      <w:r w:rsidRPr="00D66245">
        <w:rPr>
          <w:rFonts w:ascii="Palatino Linotype" w:hAnsi="Palatino Linotype"/>
          <w:b/>
          <w:bCs/>
        </w:rPr>
        <w:t xml:space="preserve">A partir de ese hecho presunto, el traslado infiere, además que: </w:t>
      </w:r>
    </w:p>
    <w:p w14:paraId="0A7E8B19" w14:textId="77777777" w:rsidR="00E66130" w:rsidRPr="00D66245" w:rsidRDefault="00E66130" w:rsidP="00E66130">
      <w:pPr>
        <w:shd w:val="clear" w:color="auto" w:fill="E7E6E6" w:themeFill="background2"/>
        <w:spacing w:before="120" w:after="200"/>
        <w:ind w:left="708"/>
        <w:jc w:val="both"/>
        <w:rPr>
          <w:rFonts w:ascii="Palatino Linotype" w:hAnsi="Palatino Linotype"/>
          <w:lang w:val="es-CR"/>
        </w:rPr>
      </w:pPr>
      <w:r w:rsidRPr="00D66245">
        <w:rPr>
          <w:rFonts w:ascii="Palatino Linotype" w:hAnsi="Palatino Linotype"/>
        </w:rPr>
        <w:t xml:space="preserve">a) todo el concentrado se destinó a la producción y venta de productos adicionales a los vendidos directamente por las 2 compañías mencionadas en el punto 4; </w:t>
      </w:r>
    </w:p>
    <w:p w14:paraId="33AB0737" w14:textId="77777777" w:rsidR="00E66130" w:rsidRPr="00D66245" w:rsidRDefault="00E66130" w:rsidP="00E66130">
      <w:pPr>
        <w:shd w:val="clear" w:color="auto" w:fill="E7E6E6" w:themeFill="background2"/>
        <w:spacing w:before="120" w:after="200"/>
        <w:ind w:left="708"/>
        <w:jc w:val="both"/>
        <w:rPr>
          <w:rFonts w:ascii="Palatino Linotype" w:hAnsi="Palatino Linotype"/>
        </w:rPr>
      </w:pPr>
      <w:r w:rsidRPr="00D66245">
        <w:rPr>
          <w:rFonts w:ascii="Palatino Linotype" w:hAnsi="Palatino Linotype"/>
        </w:rPr>
        <w:t xml:space="preserve">b) que todo el concentrado se destinó a la producción del producto con menor gradación alcohólica, por lo que se vendieron muchas unidades más que si se hubiera destinado a la producción de productos con mayor gradación alcohólica; </w:t>
      </w:r>
    </w:p>
    <w:p w14:paraId="4340873F" w14:textId="77777777" w:rsidR="00E66130" w:rsidRPr="00D66245" w:rsidRDefault="00E66130" w:rsidP="00E66130">
      <w:pPr>
        <w:shd w:val="clear" w:color="auto" w:fill="E7E6E6" w:themeFill="background2"/>
        <w:spacing w:before="120" w:after="200"/>
        <w:ind w:left="708"/>
        <w:jc w:val="both"/>
        <w:rPr>
          <w:rFonts w:ascii="Palatino Linotype" w:hAnsi="Palatino Linotype"/>
        </w:rPr>
      </w:pPr>
      <w:r w:rsidRPr="00D66245">
        <w:rPr>
          <w:rFonts w:ascii="Palatino Linotype" w:hAnsi="Palatino Linotype"/>
        </w:rPr>
        <w:t xml:space="preserve">c) que no hubo mermas en el proceso; </w:t>
      </w:r>
    </w:p>
    <w:p w14:paraId="1D91538E" w14:textId="77777777" w:rsidR="00E66130" w:rsidRPr="00D66245" w:rsidRDefault="00E66130" w:rsidP="00E66130">
      <w:pPr>
        <w:shd w:val="clear" w:color="auto" w:fill="E7E6E6" w:themeFill="background2"/>
        <w:spacing w:before="120" w:after="200"/>
        <w:ind w:left="708"/>
        <w:jc w:val="both"/>
        <w:rPr>
          <w:rFonts w:ascii="Palatino Linotype" w:hAnsi="Palatino Linotype"/>
          <w:lang w:val="es-CR"/>
        </w:rPr>
      </w:pPr>
      <w:r w:rsidRPr="00D66245">
        <w:rPr>
          <w:rFonts w:ascii="Palatino Linotype" w:hAnsi="Palatino Linotype"/>
        </w:rPr>
        <w:t xml:space="preserve">d) que no quedó producto alguno en inventario en cada período. </w:t>
      </w:r>
    </w:p>
    <w:p w14:paraId="6B3F35FE" w14:textId="77777777" w:rsidR="00E66130" w:rsidRPr="00D66245" w:rsidRDefault="00E66130" w:rsidP="00E66130">
      <w:pPr>
        <w:spacing w:before="120" w:after="200" w:line="240" w:lineRule="auto"/>
        <w:ind w:right="74"/>
        <w:jc w:val="both"/>
        <w:rPr>
          <w:rFonts w:ascii="Palatino Linotype" w:hAnsi="Palatino Linotype"/>
        </w:rPr>
      </w:pPr>
      <w:r w:rsidRPr="00D66245">
        <w:rPr>
          <w:rFonts w:ascii="Palatino Linotype" w:hAnsi="Palatino Linotype"/>
        </w:rPr>
        <w:t xml:space="preserve">Claramente se incurre en el vicio de presumir sobre presunción, esto es, en presunciones de segundo grado, del todo inaceptables por el nivel altísimo de incertidumbre sobre si realmente corresponden a la realidad. En efecto, por ejemplo, bien podría haber sucedido que el concentrado se utilizó para producir los productos vendidos por las tres entidades con determinaciones separadas en el traslado; también podría haber sucedido que el concentrado se utilizara para producir productos de distinta gradación, existiendo prueba en el expediente, aceptada por el traslado, de que más bien esa era la realidad. Con ello se viola el principio de que no puede tenerse por probado un hecho presunto si hay prueba en contrario de su real correspondencia con la realidad. Por último, también es una posibilidad que hubieran existido mermas en el proceso o que hubieran quedado normas en inventario.  </w:t>
      </w:r>
    </w:p>
    <w:p w14:paraId="73072F15" w14:textId="77777777" w:rsidR="00E66130" w:rsidRPr="00D66245" w:rsidRDefault="00E66130" w:rsidP="00E66130">
      <w:pPr>
        <w:spacing w:before="120" w:after="200" w:line="240" w:lineRule="auto"/>
        <w:ind w:right="74"/>
        <w:jc w:val="both"/>
        <w:rPr>
          <w:rFonts w:ascii="Palatino Linotype" w:hAnsi="Palatino Linotype"/>
          <w:lang w:val="es-ES_tradnl"/>
        </w:rPr>
      </w:pPr>
      <w:r w:rsidRPr="00D66245">
        <w:rPr>
          <w:rFonts w:ascii="Palatino Linotype" w:hAnsi="Palatino Linotype"/>
        </w:rPr>
        <w:t xml:space="preserve">En cuanto al vicio en el nexo lógico o de normalidad, recordemos que éste </w:t>
      </w:r>
      <w:r w:rsidRPr="00D66245">
        <w:rPr>
          <w:rFonts w:ascii="Palatino Linotype" w:hAnsi="Palatino Linotype"/>
          <w:lang w:val="es-MX"/>
        </w:rPr>
        <w:t xml:space="preserve">es de carácter deductivo y establece la conexión entre los otros dos hechos, base y presunto, es el enlace lógico: </w:t>
      </w:r>
      <w:r w:rsidRPr="00D66245">
        <w:rPr>
          <w:rFonts w:ascii="Palatino Linotype" w:hAnsi="Palatino Linotype"/>
          <w:lang w:val="es-ES_tradnl"/>
        </w:rPr>
        <w:t>entre el indicio o hecho demostrado y el hecho presunto o deducido debe existir un enlace preciso y directo según las reglas del criterio humano.</w:t>
      </w:r>
    </w:p>
    <w:p w14:paraId="75A6225A" w14:textId="77777777" w:rsidR="00E66130" w:rsidRPr="00D66245" w:rsidRDefault="00E66130" w:rsidP="00E66130">
      <w:pPr>
        <w:spacing w:before="120" w:after="200" w:line="240" w:lineRule="auto"/>
        <w:jc w:val="both"/>
        <w:rPr>
          <w:rFonts w:ascii="Palatino Linotype" w:hAnsi="Palatino Linotype"/>
        </w:rPr>
      </w:pPr>
      <w:r w:rsidRPr="00D66245">
        <w:rPr>
          <w:rFonts w:ascii="Palatino Linotype" w:hAnsi="Palatino Linotype"/>
        </w:rPr>
        <w:t xml:space="preserve">Pues bien, resulta, en primer lugar, contrario a las máximas de experiencia y de la lógica asumir que todas las importaciones de concentrado se transformaron </w:t>
      </w:r>
      <w:r w:rsidRPr="00D66245">
        <w:rPr>
          <w:rFonts w:ascii="Palatino Linotype" w:hAnsi="Palatino Linotype"/>
          <w:b/>
        </w:rPr>
        <w:t>en producto distinto y adicional al producto vendido por las 3 entidades respecto de las que se determinan obligaciones tributarias separadas.</w:t>
      </w:r>
      <w:r w:rsidRPr="00D66245">
        <w:rPr>
          <w:rFonts w:ascii="Palatino Linotype" w:hAnsi="Palatino Linotype"/>
        </w:rPr>
        <w:t xml:space="preserve">  En efecto, ¿no es acaso cierto que para fabricar los productos vendidos por éstas se necesitan los concentrados importados? Si no se detectaron otras importaciones de concentrado a cargo de otras empresas del grupo, ¿con qué se fabricaron entonces los productos vendidos por las otras 3 entidades? Resulta ilógico y contrario a las reglas del criterio humano concluir, como lo hace el traslado y lo avala la resolución determinativa, de que con esos concentrados se fabricaron y vendieron solo producto distinto a los vendidos por las 3 entidades, ya que también el concentrado era necesario para fabricar el producto de éstas. De acuerdo con la presunción administrativa, estos productos de las 3 entidades se hicieron de la nada, sin concentrado, lo cual es absolutamente irracional.  </w:t>
      </w:r>
    </w:p>
    <w:p w14:paraId="0180BBED" w14:textId="77777777" w:rsidR="00E66130" w:rsidRPr="00D66245" w:rsidRDefault="00E66130" w:rsidP="00E66130">
      <w:pPr>
        <w:spacing w:before="120" w:after="200" w:line="240" w:lineRule="auto"/>
        <w:jc w:val="both"/>
        <w:rPr>
          <w:rFonts w:ascii="Palatino Linotype" w:hAnsi="Palatino Linotype"/>
        </w:rPr>
      </w:pPr>
      <w:r w:rsidRPr="00D66245">
        <w:rPr>
          <w:rFonts w:ascii="Palatino Linotype" w:hAnsi="Palatino Linotype"/>
        </w:rPr>
        <w:t xml:space="preserve">Como consecuencia, la Administración </w:t>
      </w:r>
      <w:r w:rsidRPr="00D66245">
        <w:rPr>
          <w:rFonts w:ascii="Palatino Linotype" w:hAnsi="Palatino Linotype"/>
          <w:b/>
        </w:rPr>
        <w:t>duplica ventas y el correspondiente impuesto: las realizadas por las 3 entidades más las imaginarias adicionales producidas del concentrado importado.</w:t>
      </w:r>
      <w:r w:rsidRPr="00D66245">
        <w:rPr>
          <w:rFonts w:ascii="Palatino Linotype" w:hAnsi="Palatino Linotype"/>
        </w:rPr>
        <w:t xml:space="preserve">  </w:t>
      </w:r>
    </w:p>
    <w:p w14:paraId="42B635DC" w14:textId="77777777" w:rsidR="00E66130" w:rsidRPr="00D66245" w:rsidRDefault="00E66130" w:rsidP="00E66130">
      <w:pPr>
        <w:spacing w:before="120" w:after="200" w:line="240" w:lineRule="auto"/>
        <w:jc w:val="both"/>
        <w:rPr>
          <w:rFonts w:ascii="Palatino Linotype" w:hAnsi="Palatino Linotype"/>
        </w:rPr>
      </w:pPr>
      <w:r w:rsidRPr="00D66245">
        <w:rPr>
          <w:rFonts w:ascii="Palatino Linotype" w:hAnsi="Palatino Linotype"/>
        </w:rPr>
        <w:t xml:space="preserve">Por otra parte, es irracional también la deducción de que con el concentrado únicamente se produjo y se vendió GC, el licor con el promedio alcohólico más bajo (14%). Esta inferencia es totalmente arbitraria, contraria a las máximas de experiencia. Pero, además, este hecho presunto es contradicho por lo que se reconoce en el propio traslado de cargos, a saber, los productos del grupo con certificaciones de registro sanitario son una gran variedad de licores con gradaciones alcohólicas más altas. Además, es un hecho público y notorio que son esos los productos que se fabrican y comercializan.  ¿Entonces, de dónde se puede racionalmente concluir que todo el concentrado se utilizó solo para el GC? Resulta evidente la arbitrariedad administrativa de convenientemente asumir que solo se fabricó este licor, que es el de precio más caro pero, sobre todo, el que se traduce en más unidades por litro de alcohol, dado que es la bebida de menor contenido alcohólico. Con solo haber hecho la asunción contraria, que se vendió el producto de mayor gradación o, bien, con incluir una ponderación de productos con algún criterio, el ajuste tributario se reduce dramáticamente.   </w:t>
      </w:r>
    </w:p>
    <w:p w14:paraId="633D0CB1" w14:textId="77777777" w:rsidR="00E66130" w:rsidRPr="00D66245" w:rsidRDefault="00E66130" w:rsidP="00E66130">
      <w:pPr>
        <w:spacing w:before="120" w:after="200" w:line="240" w:lineRule="auto"/>
        <w:jc w:val="both"/>
        <w:rPr>
          <w:rFonts w:ascii="Palatino Linotype" w:hAnsi="Palatino Linotype"/>
          <w:lang w:val="es-CR"/>
        </w:rPr>
      </w:pPr>
      <w:r w:rsidRPr="00D66245">
        <w:rPr>
          <w:rFonts w:ascii="Palatino Linotype" w:hAnsi="Palatino Linotype"/>
        </w:rPr>
        <w:t xml:space="preserve">En efecto, entre más bajo sea el porcentaje de alcohol del producto terminado, más unidades de producto se obtendrán a partir de cada unidad de concentrado:  </w:t>
      </w:r>
    </w:p>
    <w:p w14:paraId="381CCA74" w14:textId="77777777" w:rsidR="00E66130" w:rsidRPr="00D66245" w:rsidRDefault="00E66130" w:rsidP="00E66130">
      <w:pPr>
        <w:numPr>
          <w:ilvl w:val="0"/>
          <w:numId w:val="33"/>
        </w:numPr>
        <w:shd w:val="clear" w:color="auto" w:fill="E7E6E6" w:themeFill="background2"/>
        <w:spacing w:before="120" w:after="200" w:line="240" w:lineRule="auto"/>
        <w:jc w:val="both"/>
        <w:rPr>
          <w:rFonts w:ascii="Palatino Linotype" w:hAnsi="Palatino Linotype"/>
          <w:lang w:val="es-CR"/>
        </w:rPr>
      </w:pPr>
      <w:r w:rsidRPr="00D66245">
        <w:rPr>
          <w:rFonts w:ascii="Palatino Linotype" w:hAnsi="Palatino Linotype"/>
        </w:rPr>
        <w:t xml:space="preserve">Ejemplo: a partir de 22.000 litros de concentrado de aguardiente de caña importado, si el producto terminado (es el caso del G. C.) tiene un 14% de alcohol, y se vende en una presentación de 0.058 mililitros (presentación miniatura), se obtiene una  cantidad de unidades de producto terminado de </w:t>
      </w:r>
      <w:r w:rsidRPr="00D66245">
        <w:rPr>
          <w:rFonts w:ascii="Palatino Linotype" w:hAnsi="Palatino Linotype"/>
          <w:b/>
          <w:bCs/>
        </w:rPr>
        <w:t>1.490.148</w:t>
      </w:r>
      <w:r w:rsidRPr="00D66245">
        <w:rPr>
          <w:rFonts w:ascii="Palatino Linotype" w:hAnsi="Palatino Linotype"/>
        </w:rPr>
        <w:t xml:space="preserve">; en cambio, si el producto terminado tiene una gradación de 40%, para la misma presentación de 0.058 mililitros se obtienen </w:t>
      </w:r>
      <w:r w:rsidRPr="00D66245">
        <w:rPr>
          <w:rFonts w:ascii="Palatino Linotype" w:hAnsi="Palatino Linotype"/>
          <w:b/>
          <w:bCs/>
        </w:rPr>
        <w:t>695.402</w:t>
      </w:r>
      <w:r w:rsidRPr="00D66245">
        <w:rPr>
          <w:rFonts w:ascii="Palatino Linotype" w:hAnsi="Palatino Linotype"/>
        </w:rPr>
        <w:t xml:space="preserve"> unidades. </w:t>
      </w:r>
    </w:p>
    <w:p w14:paraId="438F8A0D" w14:textId="77777777" w:rsidR="00E66130" w:rsidRPr="00D66245" w:rsidRDefault="00E66130" w:rsidP="00E66130">
      <w:pPr>
        <w:spacing w:before="120" w:after="200" w:line="240" w:lineRule="auto"/>
        <w:jc w:val="both"/>
        <w:rPr>
          <w:rFonts w:ascii="Palatino Linotype" w:hAnsi="Palatino Linotype"/>
        </w:rPr>
      </w:pPr>
      <w:r w:rsidRPr="00D66245">
        <w:rPr>
          <w:rFonts w:ascii="Palatino Linotype" w:hAnsi="Palatino Linotype"/>
        </w:rPr>
        <w:t xml:space="preserve">Luego, también resulta irracional la deducción de que el precio de las facturas de venta de otra sociedad del grupo al IMAS representan el precio del productor, esto es, el precio a nivel de fábrica.  Esta deducción contradice lo que reconoce el traslado en diversos Alcances, como el 52, en que se afirma que las empresas del grupo “están involucradas en la actividad comercial de producción, embalaje y comercialización de bebidas alcohólicas gravadas con el impuesto a favor del INDER”.  Si se reconoce que se realiza no solo actividad de producción sino también de comercialización, resulta evidente que el precio utilizado de venta al IMAS incluye un componente de comercialización o distribución, por lo que no puede tenerse válidamente como el precio del productor o el fabricante. </w:t>
      </w:r>
    </w:p>
    <w:p w14:paraId="74AFDA41" w14:textId="77777777" w:rsidR="00E66130" w:rsidRPr="00D66245" w:rsidRDefault="00E66130" w:rsidP="00E66130">
      <w:pPr>
        <w:spacing w:before="120" w:after="200" w:line="240" w:lineRule="auto"/>
        <w:jc w:val="both"/>
        <w:rPr>
          <w:rFonts w:ascii="Palatino Linotype" w:hAnsi="Palatino Linotype"/>
        </w:rPr>
      </w:pPr>
      <w:r w:rsidRPr="00D66245">
        <w:rPr>
          <w:rFonts w:ascii="Palatino Linotype" w:hAnsi="Palatino Linotype"/>
        </w:rPr>
        <w:t>En realidad, visto que estamos ante la aplicación del método de base presunta, la Administración pudo haber acudido al precio al fabricante que ella misma ha aceptado en las declaraciones de impuesto de otra de las empresas del grupo o, bien, utilizar el precio del fabricante de empresas similares. Recuérdese que, en efecto, el artículo 116, inciso b) CNPT establece los indicios a los que puede acudir la Administración Tributaria al aplicar el método de base presunta, entre los que incluye tanto la comparación con otros períodos del mismo contribuyente (al referirse al “rendimiento normal del negocio objeto de la investigación) o a la comparación con empresas similares ubicadas en la misma plaza.</w:t>
      </w:r>
    </w:p>
    <w:p w14:paraId="1954DF09" w14:textId="77777777" w:rsidR="00E66130" w:rsidRPr="00D66245" w:rsidRDefault="00E66130" w:rsidP="00E66130">
      <w:pPr>
        <w:spacing w:before="120" w:after="200" w:line="240" w:lineRule="auto"/>
        <w:ind w:right="70"/>
        <w:jc w:val="both"/>
        <w:rPr>
          <w:rFonts w:ascii="Palatino Linotype" w:hAnsi="Palatino Linotype"/>
        </w:rPr>
      </w:pPr>
      <w:r w:rsidRPr="00D66245">
        <w:rPr>
          <w:rFonts w:ascii="Palatino Linotype" w:hAnsi="Palatino Linotype"/>
        </w:rPr>
        <w:t xml:space="preserve">En efecto, cuando se aplica la base presunta, es preciso ponderar los </w:t>
      </w:r>
      <w:r w:rsidRPr="00D66245">
        <w:rPr>
          <w:rFonts w:ascii="Palatino Linotype" w:hAnsi="Palatino Linotype"/>
          <w:b/>
          <w:i/>
        </w:rPr>
        <w:t xml:space="preserve">distintos indicios, </w:t>
      </w:r>
      <w:r w:rsidRPr="00D66245">
        <w:rPr>
          <w:rFonts w:ascii="Palatino Linotype" w:hAnsi="Palatino Linotype"/>
        </w:rPr>
        <w:t>incluyendo los aportados por el contribuyente, para lograr un conjunto de indicios que permitan determinar una base imponible lo más cercano posible a la realidad.  En ese sentido, sostuvo la sentencia de la Sala Primera 1380-2011 como fundamento para anular una sentencia que había cohonestado la determinación por base presunta hecha por la Administración Tributaria:</w:t>
      </w:r>
    </w:p>
    <w:p w14:paraId="67FD13A4" w14:textId="77777777" w:rsidR="00E66130" w:rsidRPr="00D66245" w:rsidRDefault="00E66130" w:rsidP="00E66130">
      <w:pPr>
        <w:spacing w:before="120" w:after="200" w:line="240" w:lineRule="auto"/>
        <w:ind w:left="705" w:right="70"/>
        <w:jc w:val="both"/>
        <w:rPr>
          <w:rFonts w:ascii="Palatino Linotype" w:hAnsi="Palatino Linotype"/>
        </w:rPr>
      </w:pPr>
      <w:r w:rsidRPr="00D66245">
        <w:rPr>
          <w:rFonts w:ascii="Palatino Linotype" w:hAnsi="Palatino Linotype"/>
        </w:rPr>
        <w:t xml:space="preserve">“….estima esta Sala que este órgano erró al no valorar, como elementos de juicio para arribar a la determinación presuntiva de los impuestos, los elementos de convicción que el recurrente insiste han de tomarse en cuenta para esos fines. En este predicado, la apreciación probatoria se ha verificado con error de derecho, pues es viable la comparación con otras empresas hoteleras que llevan a cabo actividad similar a la de la actora. Asimismo, la información de terceros, como la empresa Credomatic. La pericial suministrada por el experto, Lic. Carlos Alberto Zúñiga Castro, que rindió su dictamen y, constando en autos, ha estado a disposición del órgano sentenciador. Además, la certificación de la Licda. Nydia Venegas Román, contadora pública que obra en el expediente judicial. Obviamente, no es que se pretende determinar las condiciones particulares de otras compañías hoteleras afines a la demandante, sino establecer parámetros comparativos del comportamiento financiero y tributario, no solo a partir de la alusión en facturas a las siglas “TC”, sino mediante la consideración de montos reales según reportes de esa empresa administradora de tarjetas de crédito, para así clarificar la situación de la contribuyente. Para ello, es importante la información suministrada por la empresa Credomatic, la estimación de los comprobantes o vouchers, y su comparación con las referencias que derivan del expediente administrativo, principalmente, en las hojas de trabajo y en los cuadros de auditoría, lo mismo que con las facturas aportadas, todo lo cual también debe ser valorado. No es posible, en consecuencia, determinar solo con fundamento en lo establecido por la auditora fiscal, ni en presunciones derivadas de los meses de febrero, abril  julio de 2001, si median otros elementos que permiten confrontar y llegar a resultados más completos. En igual sentido, han de estimarse los  datos que ofrece la certificación de la contadora pública, pues aunque en su momento la no emisión de facturas del segmento “Resto del público” condujo, como quedó expresado, a la imposibilidad de aplicar el sistema de base cierto, no por ello puede dejarse de lado esa probanza, para establecer si de ella se deriva información pertinente para fijar los tributos de modo presuntivo, pero con apego a la realidad, según los verdaderos ingresos de la empresa accionante. Tampoco se comparte el criterio vertido en el fallo impugnado, en cuanto a que los diversos cálculos que ofrece el casacionista y relaciona con la experticia, no necesariamente correspondan al caso concreto y, más bien, constituyen apenas escenarios hipotéticos condicionados a otras probanzas. Lo cierto es que el experto se basó en la situación contable y financiera de esa compañía en particular, lo que es factible valorar, como un indicio más que,  junto con los restantes, incluyendo la certificación de la contadora pública autorizada, puedan brindar elementos estimables para corroborar la correspondencia del estado tributario de esa empresa respecto a la fijación administrativa que reiteradamente se ha cuestionado. Esas pruebas, en su conjunto, también permitirán establecer referencias sobre las relaciones porcentuales de la actora, en ingresos y gastos, frente al comportamiento que han reportado otras empresas hoteleras fines, como parámetros comparativos que puedan desprender información relevante en cuanto al estado financiero y tributario…”  </w:t>
      </w:r>
    </w:p>
    <w:p w14:paraId="72E75D55" w14:textId="77777777" w:rsidR="00E66130" w:rsidRPr="00D66245" w:rsidRDefault="00E66130" w:rsidP="00E66130">
      <w:pPr>
        <w:spacing w:before="120" w:after="200" w:line="240" w:lineRule="auto"/>
        <w:jc w:val="both"/>
        <w:rPr>
          <w:rFonts w:ascii="Palatino Linotype" w:hAnsi="Palatino Linotype"/>
        </w:rPr>
      </w:pPr>
      <w:r w:rsidRPr="00D66245">
        <w:rPr>
          <w:rFonts w:ascii="Palatino Linotype" w:hAnsi="Palatino Linotype"/>
        </w:rPr>
        <w:t xml:space="preserve">La sentencia No. 100-2018-I, de las 13 horas 50 minutos del 17 de octubre de 2018, dictada por la Sección Primera del Tribunal Contencioso Administrativo resuelve también un caso relativo al impuesto del 8% a favor del INDER.  El tema, común a muchos casos, radica en el hecho de que, en aquellos casos en que una misma empresa asume simultáneamente las etapas de fabricación y distribución de licores, surge la cuestión de cómo determinar la base imponible, de modo que se pueda eliminar de esta los componentes de costo y utilidad atribuibles a la fase de distribución. Otros casos similares se plantean cuando hay una empresa fabricante y otra distribuidora, pero estas son vinculadas y la segunda es distribuidora exclusiva de la primera. </w:t>
      </w:r>
    </w:p>
    <w:p w14:paraId="30F46F28" w14:textId="77777777" w:rsidR="00E66130" w:rsidRPr="00D66245" w:rsidRDefault="00E66130" w:rsidP="00E66130">
      <w:pPr>
        <w:spacing w:before="120" w:after="200" w:line="240" w:lineRule="auto"/>
        <w:jc w:val="both"/>
        <w:rPr>
          <w:rFonts w:ascii="Palatino Linotype" w:hAnsi="Palatino Linotype"/>
          <w:lang w:val="es-US"/>
        </w:rPr>
      </w:pPr>
      <w:r w:rsidRPr="00D66245">
        <w:rPr>
          <w:rFonts w:ascii="Palatino Linotype" w:hAnsi="Palatino Linotype"/>
        </w:rPr>
        <w:t xml:space="preserve">La cuestión central en el caso señalado está en que el contribuyente, para determinar el precio al fabricante, declaró con base en una resolución general emitida por la Dirección General de Tributación en 2001, la DGT-07-2001, la cual precisamente establece un mecanismo técnico para determinar el precio al fabricante de licores para efectos del impuesto selectivo de consumo.  Según ese mecanismo, se parte del estado de resultados real de la empresa fabricante-distribuidora (o del conjunto de las empresas fabricante y distribuidora), se aíslan los costos de fabricación y de distribución y se procede a una “asignación equitativa” del margen de utilidad de las dos etapas. De este modo, el precio al fabricante es el resultado de aplicar ese margen a los costos de fabricación. Asimismo, tratándose del impuesto del INDER, debe agregarse el impuesto selectivo como parte de la base imponible.   Con argumentos un tanto contradictorios, el INDER sostiene la inaplicabilidad de dicha resolución por corresponder a un impuesto distinto y haber sido emitida por la Dirección General de Tributación. Pese a ello, se inclina entonces por aplicar un método consistente en tomar el precio del distribuidor al detallista y </w:t>
      </w:r>
      <w:r w:rsidRPr="00D66245">
        <w:rPr>
          <w:rFonts w:ascii="Palatino Linotype" w:hAnsi="Palatino Linotype"/>
          <w:b/>
          <w:bCs/>
          <w:lang w:val="es-CR"/>
        </w:rPr>
        <w:t xml:space="preserve">deflatarle el 23.5% </w:t>
      </w:r>
      <w:r w:rsidRPr="00D66245">
        <w:rPr>
          <w:rFonts w:ascii="Palatino Linotype" w:hAnsi="Palatino Linotype"/>
          <w:lang w:val="es-US"/>
        </w:rPr>
        <w:t xml:space="preserve">porcentaje que se extrae del Considerando quinto de la Resolución de la entonces Dirección General de Tributación Directa V-399-DG, de las 10 horas del 20 de diciembre de 1983,  la cual tiene por contenido el establecimiento de la recaudación a nivel de fábrica del impuesto general sobre las ventas. , en desarrollo de lo dispuesto en el último párrafo del artículo 11 de la Ley de ese impuesto.  Este corresponde al régimen especial de estimación objetiva de la base imponible regulado en el último párrafo del artículo 11 de la Ley de ese impuesto, mediante el cual al precio del fabricante se le adiciona un porcentaje del 60%, representativo del valor agregado en las etapas subsiguientes hasta el consumidor. El 23.5% dice referirse al margen de utilidad desde el fabricante al distribuidor. </w:t>
      </w:r>
    </w:p>
    <w:p w14:paraId="2C590CF3" w14:textId="77777777" w:rsidR="00E66130" w:rsidRPr="00D66245" w:rsidRDefault="00E66130" w:rsidP="00E66130">
      <w:pPr>
        <w:spacing w:before="120" w:after="200" w:line="240" w:lineRule="auto"/>
        <w:jc w:val="both"/>
        <w:rPr>
          <w:rFonts w:ascii="Palatino Linotype" w:hAnsi="Palatino Linotype"/>
          <w:noProof/>
        </w:rPr>
      </w:pPr>
      <w:r w:rsidRPr="00D66245">
        <w:rPr>
          <w:rFonts w:ascii="Palatino Linotype" w:hAnsi="Palatino Linotype"/>
          <w:lang w:val="es-US"/>
        </w:rPr>
        <w:t xml:space="preserve">Resulta clara la contradicción de no aplicar la resolución 07-01 por provenir de la Dirección General de Tributación y referirse a un impuesto distinto (el selectivo) pero en cambio aplicar la resolución V-399-DG, que proviene igualmente de la Dirección General de Tributación y se refiere a un impuesto distinto (el impuesto general sobre las ventas).   </w:t>
      </w:r>
      <w:r w:rsidRPr="00D66245">
        <w:rPr>
          <w:rFonts w:ascii="Palatino Linotype" w:hAnsi="Palatino Linotype"/>
          <w:noProof/>
        </w:rPr>
        <w:t xml:space="preserve">El resultado concreto es que opta por aplicar un mecanismo presuntivo -el de base presunta-, en que utiliza como hecho base de la presunción el margen que resultaba del estudio en que se fundamentó en su momento la resolución V-399-DG, en lugar de aplicar un mecanismo más cercano al de base cierta,  basado en los datos reales de la empresa (en eso consiste la resolución 07-01), al que se le adiciona un elemento de estimación objetiva para distribuir equitativamente los márgenes de utilidad sobre costos de fabricación y de distribución.  La sentencia citada acepta el argumento del INDER y del Estado de que “dado que la firma actora utiliza variables </w:t>
      </w:r>
      <w:r w:rsidRPr="00D66245">
        <w:rPr>
          <w:rFonts w:ascii="Palatino Linotype" w:hAnsi="Palatino Linotype"/>
          <w:b/>
          <w:noProof/>
        </w:rPr>
        <w:t>no actuales</w:t>
      </w:r>
      <w:r w:rsidRPr="00D66245">
        <w:rPr>
          <w:rFonts w:ascii="Palatino Linotype" w:hAnsi="Palatino Linotype"/>
          <w:noProof/>
        </w:rPr>
        <w:t xml:space="preserve">, sino con un trimestre de rezago, “aplica entonces la directriz V-399-DG”.   La incoherencia es llamativa: considera como un defecto insubsanable de la determinación hecha por la empresa contribuyente el uso de variables no actuales por tener un trimestre de rezago. Entonces, la fórmula para combatir ese problema de actualidad es acoger un método de determinación del precio del fabricante que utiliza una variable (el margen de utilidad) que proviene ¡de un estudio realizado en 1982, base de una resolución de 1983! O sea, una variable es no actual por tener un trimestre de rezago, ¡pero es actualísima si tiene 23 años de rezago!  La consecuencia es que, ciertamente, una “actualización” de los datos al último mes, por ejemplo, hubiera implicado un leve aumento del impuesto a pagar por mi representada, ¡mientras que con la resolución V-399-DG el aumento es de varios cientos de millones!  </w:t>
      </w:r>
    </w:p>
    <w:p w14:paraId="6F52A1B0" w14:textId="77777777" w:rsidR="00E66130" w:rsidRPr="00D66245" w:rsidRDefault="00E66130" w:rsidP="00E66130">
      <w:pPr>
        <w:spacing w:before="120" w:after="200" w:line="240" w:lineRule="auto"/>
        <w:jc w:val="both"/>
        <w:rPr>
          <w:rFonts w:ascii="Palatino Linotype" w:hAnsi="Palatino Linotype"/>
        </w:rPr>
      </w:pPr>
      <w:r w:rsidRPr="00D66245">
        <w:rPr>
          <w:rFonts w:ascii="Palatino Linotype" w:hAnsi="Palatino Linotype"/>
          <w:noProof/>
        </w:rPr>
        <w:t xml:space="preserve">También llama la atención que la sentencia da por bueno, rindiéndose a un argumento porque lo considera de autoridad, el dicho de una funcionaria del INDER de que los márgenes -y su promedio- que derivaban de  los estados de resultados que se le aportaron y tuvo a la vista durante la fiscalización no eran razonables.  Y ello pese a que la funcionaria había reconocido ante el Tribunal que no hizo estudio alguno de mercado del que resultara esa falta de razonabilidad; ni buscó o solicitó información a otra Administración Tributaria -en particular, a la Dirección General de Tributación, sobre </w:t>
      </w:r>
      <w:r w:rsidRPr="00D66245">
        <w:rPr>
          <w:rFonts w:ascii="Palatino Linotype" w:hAnsi="Palatino Linotype"/>
        </w:rPr>
        <w:t xml:space="preserve">el rendimiento normal del negocio o la explotación objeto de la investigación, o el de empresas similares ubicadas en la misma plaza, indicios expresamente previstos para aplicar la base presunta en el artículo 116 b) CNPT.  </w:t>
      </w:r>
    </w:p>
    <w:p w14:paraId="5011CDDB" w14:textId="77777777" w:rsidR="00E66130" w:rsidRPr="00D66245" w:rsidRDefault="00E66130" w:rsidP="00E66130">
      <w:pPr>
        <w:spacing w:before="120" w:after="200" w:line="240" w:lineRule="auto"/>
        <w:jc w:val="both"/>
        <w:rPr>
          <w:rFonts w:ascii="Palatino Linotype" w:hAnsi="Palatino Linotype"/>
        </w:rPr>
      </w:pPr>
      <w:r w:rsidRPr="00D66245">
        <w:rPr>
          <w:rFonts w:ascii="Palatino Linotype" w:hAnsi="Palatino Linotype"/>
        </w:rPr>
        <w:t xml:space="preserve">Salta a la vista la indebida construcción del mecanismo presuntivo realizada por la Administración. En esa dirección, la sentencia recurrida considera el argumento del contribuyente respecto de la falta de </w:t>
      </w:r>
      <w:r w:rsidRPr="00D66245">
        <w:rPr>
          <w:rFonts w:ascii="Palatino Linotype" w:hAnsi="Palatino Linotype"/>
          <w:i/>
        </w:rPr>
        <w:t xml:space="preserve">nexo lógico </w:t>
      </w:r>
      <w:r w:rsidRPr="00D66245">
        <w:rPr>
          <w:rFonts w:ascii="Palatino Linotype" w:hAnsi="Palatino Linotype"/>
        </w:rPr>
        <w:t xml:space="preserve">en la presunción aplicada por la Administración. De acuerdo con este argumento, la presunción </w:t>
      </w:r>
      <w:r w:rsidRPr="00D66245">
        <w:rPr>
          <w:rFonts w:ascii="Palatino Linotype" w:hAnsi="Palatino Linotype"/>
          <w:lang w:val="es-US"/>
        </w:rPr>
        <w:t xml:space="preserve">carece </w:t>
      </w:r>
      <w:r w:rsidRPr="00D66245">
        <w:rPr>
          <w:rFonts w:ascii="Palatino Linotype" w:hAnsi="Palatino Linotype"/>
          <w:b/>
          <w:bCs/>
          <w:lang w:val="es-US"/>
        </w:rPr>
        <w:t xml:space="preserve">del nexo de probabilidad o normalidad </w:t>
      </w:r>
      <w:r w:rsidRPr="00D66245">
        <w:rPr>
          <w:rFonts w:ascii="Palatino Linotype" w:hAnsi="Palatino Linotype"/>
          <w:lang w:val="es-US"/>
        </w:rPr>
        <w:t xml:space="preserve">entre el hecho utilizado como base –en un estudio de 1983, para efectos del régimen de estimación objetiva del impuesto general sobre las ventas, se estimó que el margen promedio de utilidad del distribuidor de bebidas alcohólicas era del 23,5% - y el hecho presunto – la empresa contribuyente opera con un margen de utilidad del 23.5%.  </w:t>
      </w:r>
    </w:p>
    <w:p w14:paraId="56131A35" w14:textId="77777777" w:rsidR="00E66130" w:rsidRPr="00D66245" w:rsidRDefault="00E66130" w:rsidP="00E66130">
      <w:pPr>
        <w:spacing w:before="120" w:after="200" w:line="240" w:lineRule="auto"/>
        <w:jc w:val="both"/>
        <w:rPr>
          <w:rFonts w:ascii="Palatino Linotype" w:hAnsi="Palatino Linotype"/>
          <w:lang w:val="es-US"/>
        </w:rPr>
      </w:pPr>
      <w:r w:rsidRPr="00D66245">
        <w:rPr>
          <w:rFonts w:ascii="Palatino Linotype" w:hAnsi="Palatino Linotype"/>
          <w:lang w:val="es-US"/>
        </w:rPr>
        <w:t xml:space="preserve">La evidencia de que este nexo es inexistente está en el origen del porcentaje utilizado: </w:t>
      </w:r>
      <w:r w:rsidRPr="00D66245">
        <w:rPr>
          <w:rFonts w:ascii="Palatino Linotype" w:hAnsi="Palatino Linotype"/>
          <w:bCs/>
          <w:lang w:val="es-US"/>
        </w:rPr>
        <w:t xml:space="preserve">la resolución de la que se toma el porcentaje realizó un cálculo de márgenes a partir del distribuidor en el año 1983, con base en un estudio de empresas que se realizó en aquella época. ¿Qué probabilidad hay de que tal margen se aproxime siquiera al real en los períodos auditados? ¿No debió utilizarse un estudio más reciente? </w:t>
      </w:r>
      <w:r w:rsidRPr="00D66245">
        <w:rPr>
          <w:rFonts w:ascii="Palatino Linotype" w:hAnsi="Palatino Linotype"/>
          <w:lang w:val="es-US"/>
        </w:rPr>
        <w:t xml:space="preserve">La resolución indicada es de obligada aplicación en el impuesto general sobre las ventas; en cambio, respecto del impuesto a los licores, simplemente se toma como un indicio de lo que puede ser la utilidad real, pero tal indicio de manera manifiestamente improbable refleja lo que puede ser el margen real de mi representada. </w:t>
      </w:r>
    </w:p>
    <w:p w14:paraId="35E14051" w14:textId="77777777" w:rsidR="00E66130" w:rsidRPr="00D66245" w:rsidRDefault="00E66130" w:rsidP="00E66130">
      <w:pPr>
        <w:pStyle w:val="Default"/>
        <w:spacing w:before="120" w:after="200"/>
        <w:jc w:val="both"/>
        <w:rPr>
          <w:rFonts w:ascii="Palatino Linotype" w:hAnsi="Palatino Linotype" w:cs="Times New Roman"/>
          <w:i/>
          <w:color w:val="auto"/>
          <w:sz w:val="22"/>
          <w:szCs w:val="22"/>
        </w:rPr>
      </w:pPr>
      <w:r w:rsidRPr="00D66245">
        <w:rPr>
          <w:rFonts w:ascii="Palatino Linotype" w:hAnsi="Palatino Linotype" w:cs="Times New Roman"/>
          <w:color w:val="auto"/>
          <w:sz w:val="22"/>
          <w:szCs w:val="22"/>
          <w:lang w:eastAsia="es-ES"/>
        </w:rPr>
        <w:t xml:space="preserve">La sentencia dice no apreciar ningún vicio en la metodología aplicada por el INDER por dos razones: por una parte, pues según su entender, la Administración no contó </w:t>
      </w:r>
      <w:r w:rsidRPr="00D66245">
        <w:rPr>
          <w:rFonts w:ascii="Palatino Linotype" w:hAnsi="Palatino Linotype" w:cs="Times New Roman"/>
          <w:i/>
          <w:color w:val="auto"/>
          <w:sz w:val="22"/>
          <w:szCs w:val="22"/>
        </w:rPr>
        <w:t xml:space="preserve">con la información requerida e idónea, para arribar a una determinación tributaria con base en el método inductivo, de suerte que en auxilio del numeral 125 del Código de Normas y Procedimientos Tributarios, acude válidamente a la aplicación de la presunción de un margen de utilidad que no ha sido desvirtuado técnicamente por la firma actora, la cual se limita a exponer argumentos en torno a la imposibilidad de aplicar esta resolución de forma aislada con una sentencia y la resolución 007-01 de la Dirección General de Tributación basados solamente en su dicho, sin ningún criterio técnico que demuestre la improcedencia del mecanismo utilizado y su incorrecto factor de presunción.  </w:t>
      </w:r>
      <w:r w:rsidRPr="00D66245">
        <w:rPr>
          <w:rFonts w:ascii="Palatino Linotype" w:hAnsi="Palatino Linotype" w:cs="Times New Roman"/>
          <w:color w:val="auto"/>
          <w:sz w:val="22"/>
          <w:szCs w:val="22"/>
        </w:rPr>
        <w:t>El segundo argumento es que sostiene que la contribuyente</w:t>
      </w:r>
      <w:r w:rsidRPr="00D66245">
        <w:rPr>
          <w:rFonts w:ascii="Palatino Linotype" w:hAnsi="Palatino Linotype" w:cs="Times New Roman"/>
          <w:i/>
          <w:color w:val="auto"/>
          <w:sz w:val="22"/>
          <w:szCs w:val="22"/>
        </w:rPr>
        <w:t xml:space="preserve"> que tampoco acredita que la presunción establecida con fundamento en estudios del año 1983 sean disconformes a su realidad, de suerte que tampoco es de recibo este argumento en los términos explicados, al no aportar la correspondiente prueba.</w:t>
      </w:r>
    </w:p>
    <w:p w14:paraId="1D6D2DD5" w14:textId="77777777" w:rsidR="00E66130" w:rsidRPr="00D66245" w:rsidRDefault="00E66130" w:rsidP="00E66130">
      <w:pPr>
        <w:pStyle w:val="Default"/>
        <w:spacing w:before="120" w:after="200"/>
        <w:jc w:val="both"/>
        <w:rPr>
          <w:rFonts w:ascii="Palatino Linotype" w:hAnsi="Palatino Linotype" w:cs="Times New Roman"/>
          <w:color w:val="auto"/>
          <w:sz w:val="22"/>
          <w:szCs w:val="22"/>
        </w:rPr>
      </w:pPr>
      <w:r w:rsidRPr="00D66245">
        <w:rPr>
          <w:rFonts w:ascii="Palatino Linotype" w:hAnsi="Palatino Linotype" w:cs="Times New Roman"/>
          <w:color w:val="auto"/>
          <w:sz w:val="22"/>
          <w:szCs w:val="22"/>
        </w:rPr>
        <w:t xml:space="preserve">En cuanto a la primera línea de razonamiento -y sin entrar en la discusión de si, en efecto, tuvo o no el INDER la información contable necesaria para aplicar la resolución 07-01-, lo relevante es que la falta de información es apenas un requisito para aplicar la base presunta, pero en sí misma no legitima la aplicación de presunciones que no se adecúan a la estructura que lógica y jurídicamente debe tener una presunción. En cuanto a la segunda línea del razonamiento de la sentencia, la sentencia parece no comprender que, a la hora de utilizar un indicio a modo de hecho base de una presunción, es necesario hacer el examen de si es o no una máxima de experiencia lo que une dicho hecho con el hecho presunto.  Es decir, la pregunta no es si el contribuyente probó que el porcentaje del 23,5% de la resolución de 1983 no corresponda a su realidad, sino que la pregunta es si dicho porcentaje está unido con un nexo lógico o de probabilidad suficiente con lo que podría ser el margen real de una empresa que opera más de 20 años después.   </w:t>
      </w:r>
    </w:p>
    <w:p w14:paraId="00840605" w14:textId="77777777" w:rsidR="00E66130" w:rsidRPr="00D66245" w:rsidRDefault="00E66130" w:rsidP="00E66130">
      <w:pPr>
        <w:pStyle w:val="Default"/>
        <w:spacing w:before="120" w:after="200"/>
        <w:jc w:val="both"/>
        <w:rPr>
          <w:rFonts w:ascii="Palatino Linotype" w:hAnsi="Palatino Linotype" w:cs="Times New Roman"/>
          <w:color w:val="auto"/>
          <w:sz w:val="22"/>
          <w:szCs w:val="22"/>
          <w:lang w:eastAsia="es-ES"/>
        </w:rPr>
      </w:pPr>
      <w:r w:rsidRPr="00D66245">
        <w:rPr>
          <w:rFonts w:ascii="Palatino Linotype" w:hAnsi="Palatino Linotype" w:cs="Times New Roman"/>
          <w:color w:val="auto"/>
          <w:sz w:val="22"/>
          <w:szCs w:val="22"/>
          <w:lang w:eastAsia="es-ES"/>
        </w:rPr>
        <w:t xml:space="preserve">En realidad, la presunción aplicada está viciada sencillamente porque no es en modo alguno una máxima de experiencia que los márgenes de utilidad de las empresas puedan mantenerse iguales o similares en un arco temporal de 22 o 24 años. Al respecto decir que los períodos fiscalizados se ubican entre 2005 y 2007.  Además, el estudio de base fue hecho en 1983, año en que Costa Rica recién empezaba su recuperación de la severa crisis económica de principios de los ochentas (hecho público y notorio).  </w:t>
      </w:r>
    </w:p>
    <w:p w14:paraId="63E7A5C9" w14:textId="77777777" w:rsidR="00E66130" w:rsidRPr="00D66245" w:rsidRDefault="00E66130" w:rsidP="00E66130">
      <w:pPr>
        <w:spacing w:before="120" w:after="200" w:line="240" w:lineRule="auto"/>
        <w:jc w:val="both"/>
        <w:rPr>
          <w:rFonts w:ascii="Palatino Linotype" w:hAnsi="Palatino Linotype"/>
        </w:rPr>
      </w:pPr>
      <w:r w:rsidRPr="00D66245">
        <w:rPr>
          <w:rFonts w:ascii="Palatino Linotype" w:hAnsi="Palatino Linotype"/>
          <w:lang w:eastAsia="es-ES"/>
        </w:rPr>
        <w:t xml:space="preserve">En ese sentido, cuando el artículo 116 se refiere a este tipo de indicios, concretamente </w:t>
      </w:r>
      <w:r w:rsidRPr="00D66245">
        <w:rPr>
          <w:rFonts w:ascii="Palatino Linotype" w:hAnsi="Palatino Linotype"/>
        </w:rPr>
        <w:t>el rendimiento normal del negocio o la explotación objeto de la investigación, o el de empresas similares ubicadas en la misma plaza, sería completamente irracional que se pretenda defender que el rendimiento normal del negocio es el margen de utilidad que tenía hace 20 años, o utilizar el margen de utilidad que empresas similares ubicadas en la misma plaza tenían hace 20 años para determinar así el margen de utilidad de una empresa en un período que se dio 20 años después. En ese sentido, por ejemplo y para efectos ilustrativos de nuestro argumento, es relevante señalar que l</w:t>
      </w:r>
      <w:r w:rsidRPr="00D66245">
        <w:rPr>
          <w:rFonts w:ascii="Palatino Linotype" w:hAnsi="Palatino Linotype"/>
          <w:bCs/>
          <w:lang w:val="es-ES_tradnl"/>
        </w:rPr>
        <w:t xml:space="preserve">a metodología de la OCDE en materia de precios de transferencia exige hacer cada año la secuencia de 9 pasos para el análisis de comparabilidad que señalan las Directrices en sus puntos 1.64 y 1.65, por lo que para apartarse de esa metodología, o, bien, al límite, recomienda la toma en consideración de años anteriores al analizar los datos de las empresas comparables </w:t>
      </w:r>
      <w:r w:rsidRPr="00D66245">
        <w:rPr>
          <w:rFonts w:ascii="Palatino Linotype" w:hAnsi="Palatino Linotype"/>
          <w:b/>
          <w:bCs/>
          <w:lang w:val="es-ES_tradnl"/>
        </w:rPr>
        <w:t>dentro de un plazo razonable</w:t>
      </w:r>
      <w:r w:rsidRPr="00D66245">
        <w:rPr>
          <w:rFonts w:ascii="Palatino Linotype" w:hAnsi="Palatino Linotype"/>
          <w:bCs/>
          <w:lang w:val="es-ES_tradnl"/>
        </w:rPr>
        <w:t xml:space="preserve">. En efecto, </w:t>
      </w:r>
      <w:r w:rsidRPr="00D66245">
        <w:rPr>
          <w:rFonts w:ascii="Palatino Linotype" w:hAnsi="Palatino Linotype"/>
        </w:rPr>
        <w:t xml:space="preserve">las Directrices de la OCDE, en el párrafo 3.76, inserto en la sección B.5 </w:t>
      </w:r>
      <w:r w:rsidRPr="00D66245">
        <w:rPr>
          <w:rFonts w:ascii="Palatino Linotype" w:hAnsi="Palatino Linotype"/>
          <w:i/>
        </w:rPr>
        <w:t xml:space="preserve">Datos de varios años, </w:t>
      </w:r>
      <w:r w:rsidRPr="00D66245">
        <w:rPr>
          <w:rFonts w:ascii="Palatino Linotype" w:hAnsi="Palatino Linotype"/>
        </w:rPr>
        <w:t>señala:</w:t>
      </w:r>
    </w:p>
    <w:p w14:paraId="48D00429" w14:textId="77777777" w:rsidR="00E66130" w:rsidRPr="00D66245" w:rsidRDefault="00E66130" w:rsidP="00E66130">
      <w:pPr>
        <w:spacing w:before="120" w:after="200" w:line="240" w:lineRule="auto"/>
        <w:ind w:left="705"/>
        <w:jc w:val="both"/>
        <w:rPr>
          <w:rFonts w:ascii="Palatino Linotype" w:hAnsi="Palatino Linotype"/>
        </w:rPr>
      </w:pPr>
      <w:r w:rsidRPr="00D66245">
        <w:rPr>
          <w:rFonts w:ascii="Palatino Linotype" w:hAnsi="Palatino Linotype"/>
        </w:rPr>
        <w:t xml:space="preserve">“Para poder llegar a comprender plenamente los hechos y circunstancias que rodean una operación vinculada, puede resultar útil examinar los </w:t>
      </w:r>
      <w:r w:rsidRPr="00D66245">
        <w:rPr>
          <w:rFonts w:ascii="Palatino Linotype" w:hAnsi="Palatino Linotype"/>
          <w:b/>
        </w:rPr>
        <w:t>datos referidos tanto al año que se examina como a los anteriores.</w:t>
      </w:r>
      <w:r w:rsidRPr="00D66245">
        <w:rPr>
          <w:rFonts w:ascii="Palatino Linotype" w:hAnsi="Palatino Linotype"/>
        </w:rPr>
        <w:t xml:space="preserve"> El análisis de esta información podría poner de manifiesto hechos que pueden haber influido (o que deberían haber influido) en la determinación del precio de transferencia. Por ejemplo, el uso de datos procedentes de años anteriores mostrará si la pérdida en una operación declarada por un contribuyente es parte de una serie de pérdidas producidas en operaciones similares, si es el resultado de circunstancias económicas particulares de un año anterior que implicaron incrementos en los costes en el año siguiente o si constituye el reflejo del hecho de que un producto determinado se encuentra al final de su ciclo vital. Este tipo de análisis puede ser particularmente útil cuando se acude a un método basado en el resultado de la operación. Véase el párrafo 1.72 sobre la utilidad de los datos plurianuales para el análisis de las situaciones de pérdida…”</w:t>
      </w:r>
    </w:p>
    <w:p w14:paraId="6F3C6CA9" w14:textId="77777777" w:rsidR="00E66130" w:rsidRPr="00D66245" w:rsidRDefault="00E66130" w:rsidP="00E66130">
      <w:pPr>
        <w:spacing w:before="120" w:after="200" w:line="240" w:lineRule="auto"/>
        <w:jc w:val="both"/>
        <w:rPr>
          <w:rFonts w:ascii="Palatino Linotype" w:hAnsi="Palatino Linotype"/>
        </w:rPr>
      </w:pPr>
      <w:r w:rsidRPr="00D66245">
        <w:rPr>
          <w:rFonts w:ascii="Palatino Linotype" w:hAnsi="Palatino Linotype"/>
        </w:rPr>
        <w:t xml:space="preserve">En este contexto sería impensable utilizar la situación financiera de empresas comparables de 22 o 24 años de antigüedad. De hecho, la práctica es un ciclo de 3 años aceptada por la propia Administración Tributaria estatal, con alguna excepción de ciclos económicos de productos agrícolas en que se discute de si se puede llegar a considerar datos de 7 años. </w:t>
      </w:r>
    </w:p>
    <w:p w14:paraId="7C219271"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hAnsi="Palatino Linotype"/>
        </w:rPr>
        <w:t xml:space="preserve">El fallo TFA-720-P-2018 del Tribunal Fiscal Administrativo es un fallo reciente en uno de los temas de mayor polémica administrativa y judicial de las últimas décadas, a saber, la regla de asignación entre gastos deducibles y no deducibles de los artículos 7 de la Ley del Impuesto sobre la Renta y 11 de su reglamento. </w:t>
      </w:r>
      <w:r w:rsidRPr="00D66245">
        <w:rPr>
          <w:rFonts w:ascii="Palatino Linotype" w:eastAsia="Times New Roman" w:hAnsi="Palatino Linotype"/>
          <w:lang w:eastAsia="es-CR"/>
        </w:rPr>
        <w:t xml:space="preserve"> El segundo párrafo del artículo 7 LISR exige la determinación de la “proporción de costos y gastos que corresponda a las rentas gravadas en el impuesto sobre las utilidades”, en aquellos casos en que se produzcan rentas gravables y no gravables.   El artículo 11 del Reglamento a la Ley del Impuesto sobre la Renta, en desarrollo del artículo 7 y del concepto de “proporción” indicado, dispone que:</w:t>
      </w:r>
    </w:p>
    <w:p w14:paraId="2EFBED6A" w14:textId="77777777" w:rsidR="00E66130" w:rsidRPr="00D66245" w:rsidRDefault="00E66130" w:rsidP="00E66130">
      <w:pPr>
        <w:spacing w:before="120" w:after="200" w:line="240" w:lineRule="auto"/>
        <w:ind w:left="708"/>
        <w:jc w:val="both"/>
        <w:rPr>
          <w:rFonts w:ascii="Palatino Linotype" w:eastAsia="Times New Roman" w:hAnsi="Palatino Linotype"/>
          <w:lang w:eastAsia="es-CR"/>
        </w:rPr>
      </w:pPr>
      <w:r w:rsidRPr="00D66245">
        <w:rPr>
          <w:rFonts w:ascii="Palatino Linotype" w:eastAsia="Times New Roman" w:hAnsi="Palatino Linotype"/>
          <w:lang w:eastAsia="es-CR"/>
        </w:rPr>
        <w:t>“Cuando el contribuyente no pueda justificar debidamente una proporción diferente, deberá deducir la suma que resulte de aplicar el porcentaje obtenido al relacionar las rentas gravadas con las rentas totales.”</w:t>
      </w:r>
    </w:p>
    <w:p w14:paraId="11CFD8CC"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eastAsia="Times New Roman" w:hAnsi="Palatino Linotype"/>
          <w:lang w:eastAsia="es-CR"/>
        </w:rPr>
        <w:t xml:space="preserve">Esta norma establece lo que podríamos denominar una “presunción subsidiaria”.  Nos dice que, si no se encuentra una forma directa o cuando menos razonable para distinguir entre gastos deducibles y no deducibles, se debe utilizar una presunción basada en la relación entre las rentas gravadas y las rentas totales. </w:t>
      </w:r>
    </w:p>
    <w:p w14:paraId="6DBCC30D"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eastAsia="Times New Roman" w:hAnsi="Palatino Linotype"/>
          <w:lang w:eastAsia="es-CR"/>
        </w:rPr>
        <w:t>Como hemos visto, una presunción tiene dos partes: el llamado "hecho base", que debe comprobarse directamente por ser, en principio, de fácil acreditación; el "hecho presumido" que, según un principio de normalidad según las normas de la común experiencia y un principio de lógica, normal y lógicamente sigue o acompaña al hecho base. De este modo, comprobado o probado el hecho base, la norma autoriza para tener por probado también el hecho presumido.</w:t>
      </w:r>
    </w:p>
    <w:p w14:paraId="7D93CBB8"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eastAsia="Times New Roman" w:hAnsi="Palatino Linotype"/>
          <w:lang w:eastAsia="es-CR"/>
        </w:rPr>
        <w:t>Pues bien, la presunción subsidiaria del artículo 11 del Reglamento es la siguiente:</w:t>
      </w:r>
    </w:p>
    <w:p w14:paraId="29FB57BE"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eastAsia="Times New Roman" w:hAnsi="Palatino Linotype"/>
          <w:lang w:eastAsia="es-CR"/>
        </w:rPr>
        <w:t>Hecho base: La relación porcentual entre ingresos gravables e ingresos totales es X%.</w:t>
      </w:r>
    </w:p>
    <w:p w14:paraId="2A61DE47"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eastAsia="Times New Roman" w:hAnsi="Palatino Linotype"/>
          <w:lang w:eastAsia="es-CR"/>
        </w:rPr>
        <w:t>Hecho presunto: La relación porcentual entre gastos deducibles y gastos totales es X%.</w:t>
      </w:r>
    </w:p>
    <w:p w14:paraId="079923DC"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eastAsia="Times New Roman" w:hAnsi="Palatino Linotype"/>
          <w:lang w:eastAsia="es-CR"/>
        </w:rPr>
        <w:t xml:space="preserve">La aplicación de esta presunción en el ámbito de las entidades financieras y aseguradoras (el caso resuelto en el fallo citado que usamos de mero ejemplo corresponde a una empresa de seguros) presenta el problema de que el enlace lógico o de normalidad es débil o inexistente. </w:t>
      </w:r>
    </w:p>
    <w:p w14:paraId="19016F23"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eastAsia="Times New Roman" w:hAnsi="Palatino Linotype"/>
          <w:lang w:eastAsia="es-CR"/>
        </w:rPr>
        <w:t xml:space="preserve">En ese sentido, es importante destacar que las rentas provenientes de inversiones de mercado financiero son rentas pasivas, que requieren para su producción gastos limitados. Tan es así que el impuesto sobre las rentas de mercado financiero del artículo 23, inciso c) es un impuesto sobre la renta bruta, a diferencia del impuesto de utilidades, que es sobre la renta neta.  Así, la constitucionalidad del primer impuesto solo podría explicarse por el carácter tendencialmente bruto de este tipo de renta, pues no hay mucho más que hacer que comprar los títulos y controlar sus vencimientos.  Por ello, el personal requerido para invertir 1.000 colones es el mismo que el requerido para invertir 10.000.000 de colones. Suponer que si se invierten 1.000 para obtener una renta de 100 es necesario contar con 10 empleados, pero que si se invierten 10.000.000 para obtener una renta de 1.000.000 se requieren 100 empleados va contra las reglas de la experiencia.  Esto refleja que no existe máxima experiencia alguna que valide la presunción, sino todo lo contrario. </w:t>
      </w:r>
    </w:p>
    <w:p w14:paraId="67115EBD"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eastAsia="Times New Roman" w:hAnsi="Palatino Linotype"/>
          <w:lang w:eastAsia="es-CR"/>
        </w:rPr>
        <w:t>Este problema de partida es lo que justifica su carácter subsidiario, de último remedio para cuando la entidad financiera o aseguradora no ha hecho el esfuerzo por asignar los gastos deducibles y los no deducibles, a ingresos gravables y no gravables, de una manera más directa o más razonable.</w:t>
      </w:r>
    </w:p>
    <w:p w14:paraId="206C6E60" w14:textId="77777777" w:rsidR="00E66130" w:rsidRPr="00D66245" w:rsidRDefault="00E66130" w:rsidP="00E66130">
      <w:pPr>
        <w:spacing w:before="120" w:after="200" w:line="240" w:lineRule="auto"/>
        <w:jc w:val="both"/>
        <w:rPr>
          <w:rFonts w:ascii="Palatino Linotype" w:hAnsi="Palatino Linotype"/>
        </w:rPr>
      </w:pPr>
      <w:r w:rsidRPr="00D66245">
        <w:rPr>
          <w:rFonts w:ascii="Palatino Linotype" w:hAnsi="Palatino Linotype"/>
        </w:rPr>
        <w:t xml:space="preserve">En el caso concreto resuelto en el fallo citado,  la Administración ha sostenido que los gastos reportados por la entidad aseguradora en los estados financieros, no pueden aplicarse únicamente a los ingresos gravables, sino a la totalidad de los ingresos obtenidos para los períodos fiscales 2012, 2013 y 2014, pues para ella es evidente que la estructura empresarial, es decir su operatividad completa (técnica, profesional y administrativa) contempla la planificación, coordinación, ejecución y control de todas las actividades y funciones empresariales, tendientes a obtener los ingresos gravables y no gravables por todas sus actividades, por lo que no puede excluirse como lo pretende la empresa, con el ejemplo de los gastos de aseguramiento o reclamos, puestos son parte integral de las actividades del INS que conllevan a generar tanto ingresos gravables como no gravables. </w:t>
      </w:r>
    </w:p>
    <w:p w14:paraId="7AD31A0F" w14:textId="77777777" w:rsidR="00E66130" w:rsidRPr="00D66245" w:rsidRDefault="00E66130" w:rsidP="00E66130">
      <w:pPr>
        <w:spacing w:before="120" w:after="200" w:line="240" w:lineRule="auto"/>
        <w:jc w:val="both"/>
        <w:rPr>
          <w:rFonts w:ascii="Palatino Linotype" w:hAnsi="Palatino Linotype"/>
        </w:rPr>
      </w:pPr>
      <w:r w:rsidRPr="00D66245">
        <w:rPr>
          <w:rFonts w:ascii="Palatino Linotype" w:hAnsi="Palatino Linotype"/>
        </w:rPr>
        <w:t>Se cuestiona así que el sistema de costeo hace una asignación parcial, pues si bien se recogen como gastos no deducibles tanto los directos del Departamento de Inversiones como los de otros Departamentos que coadyuvan con dicho Departamento (lo que se hace en función del número de empleados, equipo, software entre otros) se dejan por fuera un conjunto de gastos de la institución, respecto de los cuales la Administración (ver resolución determinativa, citando informe de alegatos, p. 40) considera que “sin lugar a dudas son coadyuvantes a la generación de ingresos no gravables”.</w:t>
      </w:r>
    </w:p>
    <w:p w14:paraId="0F9BB2B4"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eastAsia="Times New Roman" w:hAnsi="Palatino Linotype"/>
          <w:lang w:eastAsia="es-CR"/>
        </w:rPr>
        <w:t>En la metodología de la entidad contribuyente, los gastos de las inversiones financieras, que serían los involucrados con los ingresos no gravables -por inversiones de mercado financiero- se calculan de la siguiente manera:</w:t>
      </w:r>
    </w:p>
    <w:p w14:paraId="6323639A"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eastAsia="Times New Roman" w:hAnsi="Palatino Linotype"/>
          <w:lang w:eastAsia="es-CR"/>
        </w:rPr>
        <w:t xml:space="preserve">Primer componente: Gastos directos y exclusivos del Departamento de Inversión (gastos de por servicios de gestión de las inversiones, incluyendo corretajes de venta y comisiones; gastos del personal dedicado a la gestión de inversiones; amortizaciones de activos asignados al departamento y actividad descritas. </w:t>
      </w:r>
    </w:p>
    <w:p w14:paraId="5FB0FE55"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eastAsia="Times New Roman" w:hAnsi="Palatino Linotype"/>
          <w:lang w:eastAsia="es-CR"/>
        </w:rPr>
        <w:t xml:space="preserve">Segundo componente:  Una porción de los gastos de unidades de apoyo de la entidad  y de dirección (Junta Directiva, Auditoría, Comités Corporativos, Secretaría de Actas Corporativa, Presidencia Ejecutiva y sus subdirecciones de Planificación, Museo de Jade y Cultura Precolombina, Gerente General y sus Direcciones Jurídica y de Operaciones y varias subdirecciones, Subgerencia General y varias dependencias, Subgerencia área administrativa, etc.); más una porción de gastos que se cargan a un único Centro de Costo pero que es generador por varios Centros de Costo (servicios públicos, impuestos, vigilancia y aseo y depreciación edificio central.  Estas porciones se distribuyen en función de un conjunto de </w:t>
      </w:r>
      <w:r w:rsidRPr="00D66245">
        <w:rPr>
          <w:rFonts w:ascii="Palatino Linotype" w:eastAsia="Times New Roman" w:hAnsi="Palatino Linotype"/>
          <w:i/>
          <w:lang w:eastAsia="es-CR"/>
        </w:rPr>
        <w:t xml:space="preserve">drivers </w:t>
      </w:r>
      <w:r w:rsidRPr="00D66245">
        <w:rPr>
          <w:rFonts w:ascii="Palatino Linotype" w:eastAsia="Times New Roman" w:hAnsi="Palatino Linotype"/>
          <w:lang w:eastAsia="es-CR"/>
        </w:rPr>
        <w:t xml:space="preserve">o valores estadísticos (ejemplos: metros cuadrados, cantidad de personas, cantidad de usuarios TI, cantidad de pólizas suscritas por sede, cantidad de reclamos pagados por sede, cantidad de variaciones en pólizas por sede, etc.), definidos según la función principal de cada dependencia. </w:t>
      </w:r>
    </w:p>
    <w:p w14:paraId="2419F898"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eastAsia="Times New Roman" w:hAnsi="Palatino Linotype"/>
          <w:lang w:eastAsia="es-CR"/>
        </w:rPr>
        <w:t xml:space="preserve">Tercer componente: Gastos de las dependencias operativas (áreas de Seguro y Mercadeo), de Líneas de Seguro y Productos que se trasladan al área de inversiones por cuanto se realizó un servicio específico de beneficio exclusivo de esta área; gastos de las dependencias administrativas y de apoyo que igualmente se trasladan al área de inversiones por cuanto se realizó un servicio de beneficio exclusivo de esta área. </w:t>
      </w:r>
    </w:p>
    <w:p w14:paraId="1362A069"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eastAsia="Times New Roman" w:hAnsi="Palatino Linotype"/>
          <w:lang w:eastAsia="es-CR"/>
        </w:rPr>
        <w:t xml:space="preserve">En sentido contrario, no se imputan en modo alguno como gastos de las inversiones financieras los que, siendo de las dependencias operativas, no tienen nada que ver con las inversiones financieras: se trata de los gastos relacionados con la gestión de siniestros -por ejemplo, los gastos para el pago del seguro por un accidente automovilístico no tienen nada que ver con las inversiones financieras-; los relacionados con la publicidad y venta de pólizas de seguro -por ejemplo, el funcionario que vende seguros contra incendios no  dedica un minuto de su tiempo a inversiones financieras-; los relacionados con gestión de primas y de cartera de pólizas y cobro de las primas y de las operaciones de reaseguro cedido y aceptado -por ejemplo el funcionario que da seguimiento al pago de primas no dedica un minuto de su tiempo a inversiones financieras.  </w:t>
      </w:r>
    </w:p>
    <w:p w14:paraId="49B090AB"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eastAsia="Times New Roman" w:hAnsi="Palatino Linotype"/>
          <w:lang w:eastAsia="es-CR"/>
        </w:rPr>
        <w:t xml:space="preserve">las resoluciones administrativas, de manera genérica aducen como motivo del rechazo de esta metodología y su sustitución por la metodología subsidiaria el que </w:t>
      </w:r>
      <w:r w:rsidRPr="00D66245">
        <w:rPr>
          <w:rFonts w:ascii="Palatino Linotype" w:eastAsia="Times New Roman" w:hAnsi="Palatino Linotype"/>
          <w:b/>
          <w:lang w:eastAsia="es-CR"/>
        </w:rPr>
        <w:t xml:space="preserve">no todos los gastos de la institución son de alguna manera imputados -en una proporción- como no deducibles por su relación con las inversiones financieras. </w:t>
      </w:r>
      <w:r w:rsidRPr="00D66245">
        <w:rPr>
          <w:rFonts w:ascii="Palatino Linotype" w:eastAsia="Times New Roman" w:hAnsi="Palatino Linotype"/>
          <w:lang w:eastAsia="es-CR"/>
        </w:rPr>
        <w:t xml:space="preserve"> </w:t>
      </w:r>
    </w:p>
    <w:p w14:paraId="15AAD6A0"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eastAsia="Times New Roman" w:hAnsi="Palatino Linotype"/>
          <w:lang w:eastAsia="es-CR"/>
        </w:rPr>
        <w:t xml:space="preserve">Las resoluciones al aducir este motivo incurren en un doble error: por una parte, consideran que ciertos gastos no fueron asignados en modo alguno como relacionados con las inversiones, cuando en realidad sí fueron asignados; por otra, consideran que todos los gastos relacionados con la actividad central de seguros están relacionados con las inversiones a pesar de </w:t>
      </w:r>
      <w:r w:rsidRPr="00D66245">
        <w:rPr>
          <w:rFonts w:ascii="Palatino Linotype" w:eastAsia="Times New Roman" w:hAnsi="Palatino Linotype"/>
          <w:b/>
          <w:lang w:eastAsia="es-CR"/>
        </w:rPr>
        <w:t>que nada tienen que ver con los procesos de inversiones financieras</w:t>
      </w:r>
      <w:r w:rsidRPr="00D66245">
        <w:rPr>
          <w:rFonts w:ascii="Palatino Linotype" w:eastAsia="Times New Roman" w:hAnsi="Palatino Linotype"/>
          <w:lang w:eastAsia="es-CR"/>
        </w:rPr>
        <w:t xml:space="preserve">.  </w:t>
      </w:r>
    </w:p>
    <w:p w14:paraId="55F87E2F" w14:textId="77777777" w:rsidR="00E66130" w:rsidRPr="00D66245" w:rsidRDefault="00E66130" w:rsidP="00E66130">
      <w:pPr>
        <w:spacing w:before="120" w:after="200" w:line="240" w:lineRule="auto"/>
        <w:jc w:val="both"/>
        <w:rPr>
          <w:rFonts w:ascii="Palatino Linotype" w:hAnsi="Palatino Linotype"/>
        </w:rPr>
      </w:pPr>
      <w:r w:rsidRPr="00D66245">
        <w:rPr>
          <w:rFonts w:ascii="Palatino Linotype" w:eastAsia="Times New Roman" w:hAnsi="Palatino Linotype"/>
          <w:lang w:eastAsia="es-CR"/>
        </w:rPr>
        <w:t xml:space="preserve">Incurren así también en un vicio del motivo del acto administrativo, al resolver con base en un antecedente fáctico falso, a saber, que el agente de seguros que pasa todo el día vendiendo seguros, o los funcionarios que pasan todo el día atendiendo siniestros </w:t>
      </w:r>
      <w:r w:rsidRPr="00D66245">
        <w:rPr>
          <w:rFonts w:ascii="Palatino Linotype" w:hAnsi="Palatino Linotype"/>
        </w:rPr>
        <w:t xml:space="preserve">“sin lugar a dudas son coadyuvantes a la generación de ingresos no gravables” (por inversiones de mercado financiero).  Tal afirmación riñe contra toda máxima de experiencia y con la realidad del negocio de seguros, y no viene acompañada ni con motivación o prueba sobre cómo se manifiesta en la realidad esa “coadyuvancia”. </w:t>
      </w:r>
    </w:p>
    <w:p w14:paraId="390DA48C"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eastAsia="Times New Roman" w:hAnsi="Palatino Linotype"/>
          <w:lang w:eastAsia="es-CR"/>
        </w:rPr>
        <w:t xml:space="preserve">La clave del error de enfoque administrativo es que pierde de vista que, en la realidad de empresas aseguradoras y financieras, hay gastos de dos tipos: aquellos que directamente se pueden relacionar con la generación de ciertos ingresos y aquellos que son indistintamente utilizados para la generación de las rentas gravadas y no gravadas, tal como lo ha reconocido la propia Dirección General de Tributación mediante el oficio DGT-078-2009, del 18 de febrero del 2009. En relación con el primer tipo de gastos, la Dirección entiende que existen gastos que directamente se pueden aplicar ya sea a los gastos deducibles como a los no deducibles.  Igual tratamiento se podrá aplicar a los gastos vinculados con el cumplimiento de requisitos legales para llevar a cabo la operación generadora de rentas gravables, siempre y cuando estén debidamente justificados en los documentos y registros contables, como es el caso del encaje legal a que están obligados las entidades financieras. Este tipo de gastos debe ser excluido de la aplicación de cualquier tipo de proporcionalidad, que quedaría limitada a aquellos gastos que indistintamente inciden en la generación de ingresos gravables y no gravables.  </w:t>
      </w:r>
    </w:p>
    <w:p w14:paraId="5B6E4FAC"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eastAsia="Times New Roman" w:hAnsi="Palatino Linotype"/>
          <w:lang w:eastAsia="es-CR"/>
        </w:rPr>
        <w:t xml:space="preserve">La lógica aquí es impecable pues el presupuesto legal establecido en el artículo 7 LISR es que los costos, gastos o erogaciones autorizados se efectúen para producir </w:t>
      </w:r>
      <w:r w:rsidRPr="00D66245">
        <w:rPr>
          <w:rFonts w:ascii="Palatino Linotype" w:eastAsia="Times New Roman" w:hAnsi="Palatino Linotype"/>
          <w:i/>
          <w:lang w:eastAsia="es-CR"/>
        </w:rPr>
        <w:t xml:space="preserve">indistintamente </w:t>
      </w:r>
      <w:r w:rsidRPr="00D66245">
        <w:rPr>
          <w:rFonts w:ascii="Palatino Linotype" w:eastAsia="Times New Roman" w:hAnsi="Palatino Linotype"/>
          <w:lang w:eastAsia="es-CR"/>
        </w:rPr>
        <w:t xml:space="preserve">rentas gravadas o exentas. </w:t>
      </w:r>
      <w:r w:rsidRPr="00D66245">
        <w:rPr>
          <w:rFonts w:ascii="Palatino Linotype" w:eastAsia="Times New Roman" w:hAnsi="Palatino Linotype"/>
          <w:i/>
          <w:lang w:eastAsia="es-CR"/>
        </w:rPr>
        <w:t>A</w:t>
      </w:r>
      <w:r w:rsidRPr="00D66245">
        <w:rPr>
          <w:rFonts w:ascii="Palatino Linotype" w:eastAsia="Times New Roman" w:hAnsi="Palatino Linotype"/>
          <w:lang w:eastAsia="es-CR"/>
        </w:rPr>
        <w:t xml:space="preserve"> </w:t>
      </w:r>
      <w:r w:rsidRPr="00D66245">
        <w:rPr>
          <w:rFonts w:ascii="Palatino Linotype" w:eastAsia="Times New Roman" w:hAnsi="Palatino Linotype"/>
          <w:i/>
          <w:lang w:eastAsia="es-CR"/>
        </w:rPr>
        <w:t>contrario sensu</w:t>
      </w:r>
      <w:r w:rsidRPr="00D66245">
        <w:rPr>
          <w:rFonts w:ascii="Palatino Linotype" w:eastAsia="Times New Roman" w:hAnsi="Palatino Linotype"/>
          <w:lang w:eastAsia="es-CR"/>
        </w:rPr>
        <w:t>, cuando no se da ese supuesto de “producción indistinta”, sino producción exclusiva de un ingreso gravable, no se activa la consecuencia jurídica de la norma, a saber, la aplicación de una proporción.</w:t>
      </w:r>
    </w:p>
    <w:p w14:paraId="31F357E5"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eastAsia="Times New Roman" w:hAnsi="Palatino Linotype"/>
          <w:lang w:eastAsia="es-CR"/>
        </w:rPr>
        <w:t>En relación con el segundo tipo de gastos, la Dirección ha admitido la aplicación de un sistema de estimación y asignación objetiva de gastos deducibles y no deducibles.</w:t>
      </w:r>
      <w:r w:rsidRPr="00D66245">
        <w:rPr>
          <w:rStyle w:val="Refdenotaalpie"/>
          <w:rFonts w:ascii="Palatino Linotype" w:eastAsia="Times New Roman" w:hAnsi="Palatino Linotype"/>
          <w:lang w:eastAsia="es-CR"/>
        </w:rPr>
        <w:footnoteReference w:id="285"/>
      </w:r>
      <w:r w:rsidRPr="00D66245">
        <w:rPr>
          <w:rFonts w:ascii="Palatino Linotype" w:eastAsia="Times New Roman" w:hAnsi="Palatino Linotype"/>
          <w:lang w:eastAsia="es-CR"/>
        </w:rPr>
        <w:t xml:space="preserve">  </w:t>
      </w:r>
    </w:p>
    <w:p w14:paraId="5F7FC0EF" w14:textId="77777777" w:rsidR="00E66130" w:rsidRPr="00D66245" w:rsidRDefault="00E66130" w:rsidP="00E66130">
      <w:pPr>
        <w:spacing w:before="120" w:after="200"/>
        <w:jc w:val="both"/>
        <w:rPr>
          <w:rFonts w:ascii="Palatino Linotype" w:eastAsia="Times New Roman" w:hAnsi="Palatino Linotype"/>
          <w:lang w:eastAsia="es-CR"/>
        </w:rPr>
      </w:pPr>
      <w:r w:rsidRPr="00D66245">
        <w:rPr>
          <w:rFonts w:ascii="Palatino Linotype" w:eastAsia="Times New Roman" w:hAnsi="Palatino Linotype"/>
          <w:lang w:eastAsia="es-CR"/>
        </w:rPr>
        <w:t xml:space="preserve">La afirmación de que necesariamente una  metodología de asignación de gasto deducible y no deducible debe aplicar una proporción no deducible </w:t>
      </w:r>
      <w:r w:rsidRPr="00D66245">
        <w:rPr>
          <w:rFonts w:ascii="Palatino Linotype" w:eastAsia="Times New Roman" w:hAnsi="Palatino Linotype"/>
          <w:b/>
          <w:lang w:eastAsia="es-CR"/>
        </w:rPr>
        <w:t>a todos y cada uno de los gastos de la empresa</w:t>
      </w:r>
      <w:r w:rsidRPr="00D66245">
        <w:rPr>
          <w:rFonts w:ascii="Palatino Linotype" w:eastAsia="Times New Roman" w:hAnsi="Palatino Linotype"/>
          <w:lang w:eastAsia="es-CR"/>
        </w:rPr>
        <w:t xml:space="preserve"> ignora esta distinción básica.   En el caso analizado, como en muchos otros,  no es que la Administración, mediante un estudio pormenorizado de la situación particular de la entidad contribuyente, llegó a la conclusión de que, en este caso concreto, resulta que sí, en efecto, todos los gastos de la institución de alguna forma se relacionan con la generación de ingresos de inversiones financieras.  Es otra cosa: las resoluciones afirman, de manera general y para este y cualquier otro caso, que está en la propia naturaleza de las cosas que si una empresa invierte en el mercado financiero debe asignarle como gasto necesario para producir las correspondientes rentas al menos una porción de todos y cada uno de los gastos en que incurra la empresa.  </w:t>
      </w:r>
    </w:p>
    <w:p w14:paraId="43197B5F" w14:textId="77777777" w:rsidR="00E66130" w:rsidRPr="00D66245" w:rsidRDefault="00E66130" w:rsidP="00E66130">
      <w:pPr>
        <w:spacing w:before="120" w:after="200"/>
        <w:jc w:val="both"/>
        <w:rPr>
          <w:rFonts w:ascii="Palatino Linotype" w:eastAsia="Times New Roman" w:hAnsi="Palatino Linotype"/>
          <w:lang w:eastAsia="es-CR"/>
        </w:rPr>
      </w:pPr>
      <w:r w:rsidRPr="00D66245">
        <w:rPr>
          <w:rFonts w:ascii="Palatino Linotype" w:eastAsia="Times New Roman" w:hAnsi="Palatino Linotype"/>
          <w:lang w:eastAsia="es-CR"/>
        </w:rPr>
        <w:t xml:space="preserve">En realidad, la aplicación de una proporción a la totalidad de los gastos es una característica </w:t>
      </w:r>
      <w:r w:rsidRPr="00D66245">
        <w:rPr>
          <w:rFonts w:ascii="Palatino Linotype" w:eastAsia="Times New Roman" w:hAnsi="Palatino Linotype"/>
          <w:b/>
          <w:lang w:eastAsia="es-CR"/>
        </w:rPr>
        <w:t xml:space="preserve">exclusiva </w:t>
      </w:r>
      <w:r w:rsidRPr="00D66245">
        <w:rPr>
          <w:rFonts w:ascii="Palatino Linotype" w:eastAsia="Times New Roman" w:hAnsi="Palatino Linotype"/>
          <w:lang w:eastAsia="es-CR"/>
        </w:rPr>
        <w:t xml:space="preserve">de la metodología subsidiaria: una vez encontrado el porcentaje que representan los ingresos no gravables en los ingresos totales de la entidad, dicho porcentaje se aplica a la totalidad de los gastos de la entidad, que se ve como un único flujo de gastos.   Obviamente, no puede ser una característica cuando se entra en un análisis directo de los gastos, para determinar cómo cada uno se relaciona con inversiones o con cartera de crédito u otros usos.  </w:t>
      </w:r>
    </w:p>
    <w:p w14:paraId="439ED097" w14:textId="77777777" w:rsidR="00E66130" w:rsidRPr="00D66245" w:rsidRDefault="00E66130" w:rsidP="00E66130">
      <w:pPr>
        <w:spacing w:before="120" w:after="200"/>
        <w:jc w:val="both"/>
        <w:rPr>
          <w:rFonts w:ascii="Palatino Linotype" w:eastAsia="Times New Roman" w:hAnsi="Palatino Linotype"/>
          <w:lang w:eastAsia="es-CR"/>
        </w:rPr>
      </w:pPr>
      <w:r w:rsidRPr="00D66245">
        <w:rPr>
          <w:rFonts w:ascii="Palatino Linotype" w:eastAsia="Times New Roman" w:hAnsi="Palatino Linotype"/>
          <w:lang w:eastAsia="es-CR"/>
        </w:rPr>
        <w:t xml:space="preserve">Así, las resoluciones administrativas en el fondo sostienen como única metodología de cálculo de los gastos no deducibles, la presunción subsidiaria de la proporcionalidad.  </w:t>
      </w:r>
      <w:r w:rsidRPr="00D66245">
        <w:rPr>
          <w:rFonts w:ascii="Palatino Linotype" w:hAnsi="Palatino Linotype"/>
        </w:rPr>
        <w:t>En otras palabras, leen la norma del artículo 11 RLISR como si dijera:</w:t>
      </w:r>
    </w:p>
    <w:p w14:paraId="3EB50BF8" w14:textId="77777777" w:rsidR="00E66130" w:rsidRPr="00D66245" w:rsidRDefault="00E66130" w:rsidP="00E66130">
      <w:pPr>
        <w:spacing w:before="120" w:after="200" w:line="240" w:lineRule="auto"/>
        <w:ind w:left="705"/>
        <w:jc w:val="both"/>
        <w:rPr>
          <w:rFonts w:ascii="Palatino Linotype" w:hAnsi="Palatino Linotype"/>
        </w:rPr>
      </w:pPr>
      <w:r w:rsidRPr="00D66245">
        <w:rPr>
          <w:rFonts w:ascii="Palatino Linotype" w:hAnsi="Palatino Linotype"/>
        </w:rPr>
        <w:tab/>
        <w:t xml:space="preserve">“El contribuyente no podrá aplicar una PROPORCIÓN DIFERENTE de la que resulte de aplicar el PORCENTAJE obtenido AL RELACIONAR LAS RENTAS GRAVADAS CON LAS RENTAS TOTALES…” </w:t>
      </w:r>
    </w:p>
    <w:p w14:paraId="4298FE23" w14:textId="77777777" w:rsidR="00E66130" w:rsidRPr="00D66245" w:rsidRDefault="00E66130" w:rsidP="00E66130">
      <w:pPr>
        <w:spacing w:before="120" w:after="200" w:line="240" w:lineRule="auto"/>
        <w:jc w:val="both"/>
        <w:rPr>
          <w:rFonts w:ascii="Palatino Linotype" w:eastAsia="Times New Roman" w:hAnsi="Palatino Linotype"/>
          <w:lang w:eastAsia="es-CR"/>
        </w:rPr>
      </w:pPr>
      <w:r w:rsidRPr="00D66245">
        <w:rPr>
          <w:rFonts w:ascii="Palatino Linotype" w:eastAsia="Times New Roman" w:hAnsi="Palatino Linotype"/>
          <w:lang w:eastAsia="es-CR"/>
        </w:rPr>
        <w:t xml:space="preserve">El resultado: se insiste en aplicar una presunción carente de nexo lógico mínimamente fiable. </w:t>
      </w:r>
    </w:p>
    <w:p w14:paraId="025A64C7" w14:textId="77777777" w:rsidR="00E66130" w:rsidRPr="00D66245" w:rsidRDefault="00E66130" w:rsidP="00E66130">
      <w:pPr>
        <w:spacing w:before="120" w:after="200"/>
        <w:rPr>
          <w:rFonts w:ascii="Palatino Linotype" w:hAnsi="Palatino Linotype"/>
          <w:b/>
        </w:rPr>
      </w:pPr>
      <w:r w:rsidRPr="00D66245">
        <w:rPr>
          <w:rFonts w:ascii="Palatino Linotype" w:hAnsi="Palatino Linotype"/>
          <w:b/>
        </w:rPr>
        <w:t>2.3. La prueba directa o indirecta en contrario</w:t>
      </w:r>
    </w:p>
    <w:p w14:paraId="60D8D486" w14:textId="77777777" w:rsidR="00E66130" w:rsidRPr="00D66245" w:rsidRDefault="00E66130" w:rsidP="00E66130">
      <w:pPr>
        <w:spacing w:before="120" w:after="200"/>
        <w:rPr>
          <w:rFonts w:ascii="Palatino Linotype" w:hAnsi="Palatino Linotype"/>
          <w:lang w:val="es-CR"/>
        </w:rPr>
      </w:pPr>
      <w:r w:rsidRPr="00D66245">
        <w:rPr>
          <w:rFonts w:ascii="Palatino Linotype" w:hAnsi="Palatino Linotype"/>
        </w:rPr>
        <w:t xml:space="preserve">Como vimos en la parte teórica, la prueba en contrario del hecho presunto puede no solo consistir en prueba directa, sino también prueba indirecta o indiciaria. </w:t>
      </w:r>
    </w:p>
    <w:p w14:paraId="795DF54A" w14:textId="77777777" w:rsidR="00E66130" w:rsidRPr="00D66245" w:rsidRDefault="00E66130" w:rsidP="00E66130">
      <w:pPr>
        <w:pStyle w:val="Sinespaciado"/>
        <w:spacing w:before="120" w:after="200"/>
        <w:rPr>
          <w:rFonts w:ascii="Palatino Linotype" w:hAnsi="Palatino Linotype"/>
        </w:rPr>
      </w:pPr>
      <w:r w:rsidRPr="00D66245">
        <w:rPr>
          <w:rFonts w:ascii="Palatino Linotype" w:hAnsi="Palatino Linotype"/>
        </w:rPr>
        <w:t xml:space="preserve">Paradigmática en el sentido positivo es la sentencia de la Sala Primera de la Corte Suprema de Justicia 1380-2011, que resuelve a favor de la empresa contribuyente sobre la base de un estudio sobre la proporción en que un conjunto de empresas hoteleras similares a la actora venden en efectivo o con tarjeta de crédito, revirtiendo la premisa de la Administración de que la empresa vendía 80% en efectivo y únicamente el 20% en tarjetas. Es decir, en este caso, frente a la aplicación del método de base presunta realizado por la Administración, se admite como prueba en contrario la prueba de indicios y, además, se utilizan las potestades que tiene dicha Administración para exigir información de terceros (artículos 105 y 106 CNPT) y de las que carece el contribuyente. En efecto, el Tribunal Contencioso Administrativo, en resolución de las 17:11 horas del 1 de octubre del año 2012, ordenó a la Administración Tributaria de Alajuela producir información sobre las proporciones en que hoteles de la zona cobraban en efectivo o con tarjeta de crédito, dato que fue esencial para declarar con lugar la demanda. </w:t>
      </w:r>
    </w:p>
    <w:p w14:paraId="24981C35" w14:textId="77777777" w:rsidR="00E66130" w:rsidRPr="00D66245" w:rsidRDefault="00E66130" w:rsidP="00E66130">
      <w:pPr>
        <w:pStyle w:val="Sinespaciado"/>
        <w:spacing w:before="120" w:after="200"/>
        <w:rPr>
          <w:rFonts w:ascii="Palatino Linotype" w:hAnsi="Palatino Linotype"/>
        </w:rPr>
      </w:pPr>
      <w:r w:rsidRPr="00D66245">
        <w:rPr>
          <w:rFonts w:ascii="Palatino Linotype" w:hAnsi="Palatino Linotype"/>
        </w:rPr>
        <w:t xml:space="preserve">En el mismo sentido, en el proceso llevado en el expediente 13-006787-1027-CA, de MONTAÑA DEL ARCO IRIS, S.A. contra EL ESTADO, el Tribunal Contencioso, mediante oficio de 16 de junio del 2014 ordenó a la Dirección General de Tributación del Ministerio de Hacienda, la remisión de “una </w:t>
      </w:r>
      <w:r w:rsidRPr="00D66245">
        <w:rPr>
          <w:rFonts w:ascii="Palatino Linotype" w:hAnsi="Palatino Linotype"/>
          <w:i/>
        </w:rPr>
        <w:t xml:space="preserve">certificación del margen de utilidad bruto y neto para la actividad de ELABORACIÓN DE EXTRACTOS, ESENCIAS Y CONCENTRADO DE TÉ, </w:t>
      </w:r>
      <w:r w:rsidRPr="00D66245">
        <w:rPr>
          <w:rFonts w:ascii="Palatino Linotype" w:hAnsi="Palatino Linotype"/>
        </w:rPr>
        <w:t>para los períodos fiscales 2001, 2002 y 2003.”</w:t>
      </w:r>
    </w:p>
    <w:p w14:paraId="7A7EEEB3" w14:textId="77777777" w:rsidR="00E66130" w:rsidRPr="00D66245" w:rsidRDefault="00E66130" w:rsidP="00E66130">
      <w:pPr>
        <w:spacing w:before="120" w:after="200"/>
        <w:jc w:val="both"/>
        <w:rPr>
          <w:rFonts w:ascii="Palatino Linotype" w:hAnsi="Palatino Linotype"/>
        </w:rPr>
      </w:pPr>
      <w:r w:rsidRPr="00D66245">
        <w:rPr>
          <w:rFonts w:ascii="Palatino Linotype" w:hAnsi="Palatino Linotype"/>
        </w:rPr>
        <w:t xml:space="preserve">Sin embargo, esta no es la tendencia y muchas veces la Administración niega la aplicación de la prueba indirecta y, sobre todo, el aportarla ella misma con base en el uso de sus potestades de información.  En el caso expuesto sobre la aplicación del incremento no justificado de patrimonio, la empresa auditada ofreció como prueba información sobre el rendimiento normal  de otras piñeras de la zona de San Carlos. La empresa alegó </w:t>
      </w:r>
      <w:r w:rsidRPr="00D66245">
        <w:rPr>
          <w:rFonts w:ascii="Palatino Linotype" w:hAnsi="Palatino Linotype"/>
          <w:lang w:val="es-CR"/>
        </w:rPr>
        <w:t xml:space="preserve"> que si  no se le concedía esta prueba (solicitud de información a las piñeras de la zona), se le estaría poniendo en imposibilidad material de defenderse, ya que la prueba que se espera que aporte no la puede obtener por medios lícitos. Las resoluciones administrativas, invocando la confidencialidad, se negó a aplicar estos márgenes. Esto es injustificado, porque no es necesario que la Administración revele los nombres de las empresas. Se incurre así en una violación de un derecho del contribuyente, reconocido en el artículo 171 del Código de Normas y Procedimientos Tributarios:</w:t>
      </w:r>
    </w:p>
    <w:p w14:paraId="729833DF" w14:textId="77777777" w:rsidR="00E66130" w:rsidRPr="00D66245" w:rsidRDefault="00E66130" w:rsidP="00E66130">
      <w:pPr>
        <w:pStyle w:val="formofi"/>
        <w:tabs>
          <w:tab w:val="clear" w:pos="-1152"/>
          <w:tab w:val="clear" w:pos="-432"/>
          <w:tab w:val="clear" w:pos="720"/>
          <w:tab w:val="clear" w:pos="1440"/>
          <w:tab w:val="clear" w:pos="2160"/>
          <w:tab w:val="clear" w:pos="2880"/>
          <w:tab w:val="clear" w:pos="3600"/>
          <w:tab w:val="clear" w:pos="4320"/>
        </w:tabs>
        <w:spacing w:before="120" w:after="200" w:line="240" w:lineRule="auto"/>
        <w:ind w:left="360"/>
        <w:jc w:val="both"/>
        <w:rPr>
          <w:rFonts w:ascii="Palatino Linotype" w:hAnsi="Palatino Linotype"/>
          <w:i/>
          <w:sz w:val="22"/>
          <w:szCs w:val="22"/>
          <w:lang w:val="es-CR"/>
        </w:rPr>
      </w:pPr>
      <w:r w:rsidRPr="00D66245">
        <w:rPr>
          <w:rFonts w:ascii="Palatino Linotype" w:hAnsi="Palatino Linotype"/>
          <w:i/>
          <w:sz w:val="22"/>
          <w:szCs w:val="22"/>
          <w:lang w:val="es-CR"/>
        </w:rPr>
        <w:t>13) Derecho a ser informado de los valores y los parámetros de valores que se empleen para fines tributarios.</w:t>
      </w:r>
    </w:p>
    <w:p w14:paraId="540AF31D" w14:textId="77777777" w:rsidR="00E66130" w:rsidRPr="00D66245" w:rsidRDefault="00E66130" w:rsidP="00E66130">
      <w:pPr>
        <w:pStyle w:val="Sinespaciado"/>
        <w:spacing w:before="120" w:after="200"/>
        <w:rPr>
          <w:rFonts w:ascii="Palatino Linotype" w:hAnsi="Palatino Linotype"/>
        </w:rPr>
      </w:pPr>
      <w:r w:rsidRPr="00D66245">
        <w:rPr>
          <w:rFonts w:ascii="Palatino Linotype" w:hAnsi="Palatino Linotype"/>
        </w:rPr>
        <w:t>Sobre este tema, he tenido la ocasión de recopilar el estado doctrinal de la cuestión en los siguientes términos</w:t>
      </w:r>
      <w:r w:rsidRPr="00D66245">
        <w:rPr>
          <w:rStyle w:val="Refdenotaalpie"/>
          <w:rFonts w:ascii="Palatino Linotype" w:hAnsi="Palatino Linotype"/>
        </w:rPr>
        <w:footnoteReference w:id="286"/>
      </w:r>
      <w:r w:rsidRPr="00D66245">
        <w:rPr>
          <w:rFonts w:ascii="Palatino Linotype" w:hAnsi="Palatino Linotype"/>
        </w:rPr>
        <w:t>:</w:t>
      </w:r>
    </w:p>
    <w:p w14:paraId="431D782D" w14:textId="77777777" w:rsidR="00E66130" w:rsidRPr="00D66245" w:rsidRDefault="00E66130" w:rsidP="00E66130">
      <w:pPr>
        <w:spacing w:before="120" w:after="200"/>
        <w:ind w:left="708" w:right="74"/>
        <w:jc w:val="both"/>
        <w:rPr>
          <w:rFonts w:ascii="Palatino Linotype" w:hAnsi="Palatino Linotype"/>
          <w:lang w:val="es-ES_tradnl"/>
        </w:rPr>
      </w:pPr>
      <w:r w:rsidRPr="00D66245">
        <w:rPr>
          <w:rFonts w:ascii="Palatino Linotype" w:hAnsi="Palatino Linotype"/>
          <w:lang w:val="es-ES_tradnl"/>
        </w:rPr>
        <w:t xml:space="preserve">De lo anterior llegamos a la conclusión de que la carga de la prueba, en materia tributaria, plantea las siguientes particularidades: </w:t>
      </w:r>
    </w:p>
    <w:p w14:paraId="5C982B9D" w14:textId="77777777" w:rsidR="00E66130" w:rsidRPr="00D66245" w:rsidRDefault="00E66130" w:rsidP="00E66130">
      <w:pPr>
        <w:spacing w:before="120" w:after="200"/>
        <w:ind w:left="708" w:right="74"/>
        <w:jc w:val="both"/>
        <w:rPr>
          <w:rFonts w:ascii="Palatino Linotype" w:hAnsi="Palatino Linotype"/>
          <w:lang w:val="es-ES_tradnl"/>
        </w:rPr>
      </w:pPr>
      <w:r w:rsidRPr="00D66245">
        <w:rPr>
          <w:rFonts w:ascii="Palatino Linotype" w:hAnsi="Palatino Linotype"/>
          <w:lang w:val="es-ES_tradnl"/>
        </w:rPr>
        <w:t xml:space="preserve">a)Al estar ante procedimientos de carácter inquisitivo, no rige el principio de carga subjetiva según el cual cada parte debe aportar, por sí misma, los elementos de prueba, sin que nadie lo pueda hacer por ella.  Es este el sentido de lo dispuesto por el citado numeral 1 del artículo 88 MCTCIAT en cuanto a que la obligación de aportar prueba se entiende cumplida si se designan de modo concreto los elementos de prueba en poder de la Administración. El Comentario 3 a este artículo explica el importante sentido de esta norma al decir que </w:t>
      </w:r>
      <w:r w:rsidRPr="00D66245">
        <w:rPr>
          <w:rFonts w:ascii="Palatino Linotype" w:hAnsi="Palatino Linotype"/>
        </w:rPr>
        <w:t xml:space="preserve">reconoce que en muchos casos las pruebas no son de fácil o legal acceso del obligado tributario, por carecer éste de las potestades de imperio de la Administración. En ese sentido, por ejemplo, normalmente las presunciones aplicadas por la Administración Tributaria admiten prueba en contrario, la que puede ser directa o indirecta, esto es, indiciaria. En tal caso,  el obligado tributario podría requerir de la comparación con la situación económica de otros contribuyentes para constatar si lo presumido por la Administración Tributaria está dentro de parámetros razonables, puede requerir de información que  obra en poder de la Administración Tributaria, con el fin de tener los datos de comparación adecuados para aplicar correctamente el método presuntivo.   </w:t>
      </w:r>
    </w:p>
    <w:p w14:paraId="54CE1AFF" w14:textId="77777777" w:rsidR="00E66130" w:rsidRPr="00D66245" w:rsidRDefault="00E66130" w:rsidP="00E66130">
      <w:pPr>
        <w:spacing w:before="120" w:after="200"/>
        <w:ind w:left="708"/>
        <w:jc w:val="both"/>
        <w:rPr>
          <w:rFonts w:ascii="Palatino Linotype" w:hAnsi="Palatino Linotype"/>
          <w:lang w:val="es-ES_tradnl"/>
        </w:rPr>
      </w:pPr>
      <w:r w:rsidRPr="00D66245">
        <w:rPr>
          <w:rFonts w:ascii="Palatino Linotype" w:hAnsi="Palatino Linotype"/>
          <w:lang w:val="es-ES_tradnl"/>
        </w:rPr>
        <w:t>En comentario de la norma similar del artículo 105,2 LGT, señala CASANA MERINO que “exigir al obligado tributario determinadas pruebas para las que resultan imprescindibles datos que obran en poder de la Administración, si ésta no los aporta a pesar de haber sido requerida para ello, genera en el obligado tributario indefensión y vulnera el derecho a la tutela judicial efectiva recogido en artículo 24 CE.”</w:t>
      </w:r>
      <w:r w:rsidRPr="00D66245">
        <w:rPr>
          <w:rFonts w:ascii="Palatino Linotype" w:hAnsi="Palatino Linotype"/>
          <w:vertAlign w:val="superscript"/>
          <w:lang w:val="es-ES_tradnl"/>
        </w:rPr>
        <w:footnoteReference w:id="287"/>
      </w:r>
      <w:r w:rsidRPr="00D66245">
        <w:rPr>
          <w:rFonts w:ascii="Palatino Linotype" w:hAnsi="Palatino Linotype"/>
          <w:vertAlign w:val="superscript"/>
          <w:lang w:val="es-ES_tradnl"/>
        </w:rPr>
        <w:t xml:space="preserve">  </w:t>
      </w:r>
      <w:r w:rsidRPr="00D66245">
        <w:rPr>
          <w:rFonts w:ascii="Palatino Linotype" w:hAnsi="Palatino Linotype"/>
          <w:lang w:val="es-ES_tradnl"/>
        </w:rPr>
        <w:t xml:space="preserve"> </w:t>
      </w:r>
    </w:p>
    <w:p w14:paraId="01EE973C" w14:textId="77777777" w:rsidR="00E66130" w:rsidRPr="00D66245" w:rsidRDefault="00E66130" w:rsidP="00E66130">
      <w:pPr>
        <w:spacing w:before="120" w:after="200"/>
        <w:ind w:left="708"/>
        <w:jc w:val="both"/>
        <w:rPr>
          <w:rFonts w:ascii="Palatino Linotype" w:hAnsi="Palatino Linotype"/>
          <w:lang w:val="es-ES_tradnl"/>
        </w:rPr>
      </w:pPr>
      <w:r w:rsidRPr="00D66245">
        <w:rPr>
          <w:rFonts w:ascii="Palatino Linotype" w:hAnsi="Palatino Linotype"/>
          <w:lang w:val="es-ES_tradnl"/>
        </w:rPr>
        <w:t>Una disposición como la que comentamos encuentra también anclaje en el principio de buena fe, que se manifiesta en la obligación de la Administración de poner a disposición elementos de prueba aunque beneficien al obligado tributario, pues sería contrario a este principio “el hecho de que la Administración tuviera en su poder pruebas que beneficiaran al contribuyente y no las pusiera en conocimiento del mismo o no las hiciera valer en un procedimiento para el que resultaran relevantes”.</w:t>
      </w:r>
      <w:r w:rsidRPr="00D66245">
        <w:rPr>
          <w:rStyle w:val="Refdenotaalpie"/>
          <w:rFonts w:ascii="Palatino Linotype" w:hAnsi="Palatino Linotype"/>
          <w:lang w:val="es-ES_tradnl"/>
        </w:rPr>
        <w:footnoteReference w:id="288"/>
      </w:r>
    </w:p>
    <w:p w14:paraId="392C902B" w14:textId="77777777" w:rsidR="00E66130" w:rsidRPr="00D66245" w:rsidRDefault="00E66130" w:rsidP="00E66130">
      <w:pPr>
        <w:spacing w:before="120" w:after="200"/>
        <w:ind w:left="708"/>
        <w:jc w:val="both"/>
        <w:rPr>
          <w:rFonts w:ascii="Palatino Linotype" w:hAnsi="Palatino Linotype"/>
          <w:lang w:val="es-ES_tradnl"/>
        </w:rPr>
      </w:pPr>
      <w:r w:rsidRPr="00D66245">
        <w:rPr>
          <w:rFonts w:ascii="Palatino Linotype" w:hAnsi="Palatino Linotype"/>
          <w:lang w:val="es-ES_tradnl"/>
        </w:rPr>
        <w:t xml:space="preserve">Opera así el principio de buena fe objetiva, que impone el deber de atenuar las asimetrías informativas, el cual se manifiesta en la necesidad de someter “a un contradictorio con el contribuyente los elementos probatorios que la Administración trae de fuentes que han estado reservadas (piénsese en los casos en los que la Administración hace uso de información estadística o datos añadidos, como por ejemplo, los índices de rentabilidad de los sectores económicos, tomados del registro tributario y propuestos en el litigio en apoyo de las conclusiones planteadas sin que la otra parte esté en condiciones de analizar y de, eventualmente, cuestionar el origen, la fiabilidad y los métodos de elaboración de tales datos.” </w:t>
      </w:r>
    </w:p>
    <w:p w14:paraId="670597E3" w14:textId="77777777" w:rsidR="00D141D3" w:rsidRDefault="00E66130" w:rsidP="00D141D3">
      <w:pPr>
        <w:spacing w:before="120" w:after="200"/>
        <w:ind w:left="708"/>
        <w:jc w:val="both"/>
        <w:rPr>
          <w:rFonts w:ascii="Palatino Linotype" w:hAnsi="Palatino Linotype"/>
          <w:lang w:val="es-ES_tradnl"/>
        </w:rPr>
      </w:pPr>
      <w:r w:rsidRPr="00D66245">
        <w:rPr>
          <w:rFonts w:ascii="Palatino Linotype" w:hAnsi="Palatino Linotype"/>
          <w:lang w:val="es-ES_tradnl"/>
        </w:rPr>
        <w:t xml:space="preserve">De ahí que una norma como la que analizamos permite “contrarrestar el </w:t>
      </w:r>
      <w:r w:rsidRPr="00D66245">
        <w:rPr>
          <w:rFonts w:ascii="Palatino Linotype" w:hAnsi="Palatino Linotype"/>
          <w:i/>
          <w:lang w:val="es-ES_tradnl"/>
        </w:rPr>
        <w:t>déficit</w:t>
      </w:r>
      <w:r w:rsidRPr="00D66245">
        <w:rPr>
          <w:rFonts w:ascii="Palatino Linotype" w:hAnsi="Palatino Linotype"/>
          <w:lang w:val="es-ES_tradnl"/>
        </w:rPr>
        <w:t xml:space="preserve"> de tutela del contribuyente en las hipótesis en las que las comprobaciones se basan sobre elementos estadísticos, económico-hacendísticos, presuntivos (por ejemplo, estudios de sectores) cuyos resultados no son conocidos (o al menos no muy a fondo) por el sujeto pasivo no puede conocer los criterios técnicos que conducen al resultado expresado por el instrumento.”</w:t>
      </w:r>
      <w:r w:rsidRPr="00D66245">
        <w:rPr>
          <w:rStyle w:val="Refdenotaalpie"/>
          <w:rFonts w:ascii="Palatino Linotype" w:hAnsi="Palatino Linotype"/>
          <w:lang w:val="es-ES_tradnl"/>
        </w:rPr>
        <w:footnoteReference w:id="289"/>
      </w:r>
    </w:p>
    <w:p w14:paraId="2010D30F" w14:textId="77777777" w:rsidR="00D95FD2" w:rsidRDefault="00D95FD2" w:rsidP="00D141D3">
      <w:pPr>
        <w:spacing w:before="120" w:after="200"/>
        <w:ind w:left="708"/>
        <w:jc w:val="both"/>
        <w:rPr>
          <w:rFonts w:ascii="Palatino Linotype" w:hAnsi="Palatino Linotype"/>
          <w:lang w:val="es-ES_tradnl"/>
        </w:rPr>
      </w:pPr>
    </w:p>
    <w:p w14:paraId="1488DB80" w14:textId="77777777" w:rsidR="00D95FD2" w:rsidRDefault="00D95FD2" w:rsidP="00F53211">
      <w:pPr>
        <w:shd w:val="clear" w:color="auto" w:fill="FFFFFF"/>
        <w:spacing w:before="120" w:after="200" w:line="300" w:lineRule="atLeast"/>
        <w:jc w:val="center"/>
        <w:rPr>
          <w:rFonts w:ascii="Palatino Linotype" w:eastAsia="Times New Roman" w:hAnsi="Palatino Linotype" w:cs="Arial"/>
          <w:b/>
          <w:bCs/>
          <w:lang w:eastAsia="es-ES"/>
        </w:rPr>
        <w:sectPr w:rsidR="00D95FD2" w:rsidSect="00BA1B42">
          <w:headerReference w:type="even" r:id="rId58"/>
          <w:headerReference w:type="default" r:id="rId59"/>
          <w:type w:val="nextColumn"/>
          <w:pgSz w:w="12242" w:h="15842" w:code="1"/>
          <w:pgMar w:top="1474" w:right="2098" w:bottom="1021" w:left="2778" w:header="851" w:footer="2835" w:gutter="0"/>
          <w:cols w:space="708"/>
          <w:titlePg/>
          <w:docGrid w:linePitch="360"/>
        </w:sectPr>
      </w:pPr>
    </w:p>
    <w:p w14:paraId="3744C5C7" w14:textId="3DFFA7A0" w:rsidR="00214F2D" w:rsidRDefault="00214F2D" w:rsidP="00F53211">
      <w:pPr>
        <w:shd w:val="clear" w:color="auto" w:fill="FFFFFF"/>
        <w:spacing w:before="120" w:after="200" w:line="300" w:lineRule="atLeast"/>
        <w:jc w:val="center"/>
        <w:rPr>
          <w:rFonts w:ascii="Palatino Linotype" w:eastAsia="Times New Roman" w:hAnsi="Palatino Linotype" w:cs="Arial"/>
          <w:b/>
          <w:bCs/>
          <w:lang w:eastAsia="es-ES"/>
        </w:rPr>
      </w:pPr>
    </w:p>
    <w:p w14:paraId="2CBD5AB6" w14:textId="7661E5EC" w:rsidR="005A441E" w:rsidRPr="00D66245" w:rsidRDefault="00214F2D" w:rsidP="00F53211">
      <w:pPr>
        <w:shd w:val="clear" w:color="auto" w:fill="FFFFFF"/>
        <w:spacing w:before="120" w:after="200" w:line="300" w:lineRule="atLeast"/>
        <w:jc w:val="center"/>
        <w:rPr>
          <w:rFonts w:ascii="Palatino Linotype" w:eastAsia="Times New Roman" w:hAnsi="Palatino Linotype" w:cs="Arial"/>
          <w:b/>
          <w:bCs/>
          <w:lang w:eastAsia="es-ES"/>
        </w:rPr>
      </w:pPr>
      <w:r w:rsidRPr="00D66245">
        <w:rPr>
          <w:rFonts w:ascii="Palatino Linotype" w:eastAsia="Times New Roman" w:hAnsi="Palatino Linotype" w:cs="Arial"/>
          <w:b/>
          <w:bCs/>
          <w:lang w:eastAsia="es-ES"/>
        </w:rPr>
        <w:t>APORTES DE LA CASACIÓN LABORAL EN 18 MESES DE VIGENCIA DE LA REFORMA PROCESAL LABORAL</w:t>
      </w:r>
    </w:p>
    <w:p w14:paraId="7D490F05" w14:textId="6C96167F" w:rsidR="005A441E" w:rsidRPr="00D66245" w:rsidRDefault="005A441E" w:rsidP="00F53211">
      <w:pPr>
        <w:shd w:val="clear" w:color="auto" w:fill="FFFFFF"/>
        <w:spacing w:before="120" w:after="200" w:line="300" w:lineRule="atLeast"/>
        <w:jc w:val="right"/>
        <w:rPr>
          <w:rFonts w:ascii="Palatino Linotype" w:eastAsia="Times New Roman" w:hAnsi="Palatino Linotype" w:cs="Arial"/>
          <w:b/>
          <w:bCs/>
          <w:lang w:eastAsia="es-ES"/>
        </w:rPr>
      </w:pPr>
      <w:bookmarkStart w:id="66" w:name="_Hlk8659185"/>
      <w:r w:rsidRPr="00D66245">
        <w:rPr>
          <w:rFonts w:ascii="Palatino Linotype" w:eastAsia="Times New Roman" w:hAnsi="Palatino Linotype" w:cs="Arial"/>
          <w:b/>
          <w:bCs/>
          <w:lang w:eastAsia="es-ES"/>
        </w:rPr>
        <w:t>Javier Falla</w:t>
      </w:r>
      <w:r w:rsidR="00763C8E" w:rsidRPr="00D66245">
        <w:rPr>
          <w:rFonts w:ascii="Palatino Linotype" w:eastAsia="Times New Roman" w:hAnsi="Palatino Linotype" w:cs="Arial"/>
          <w:b/>
          <w:bCs/>
          <w:lang w:eastAsia="es-ES"/>
        </w:rPr>
        <w:t xml:space="preserve">s </w:t>
      </w:r>
      <w:r w:rsidRPr="00D66245">
        <w:rPr>
          <w:rFonts w:ascii="Palatino Linotype" w:eastAsia="Times New Roman" w:hAnsi="Palatino Linotype" w:cs="Arial"/>
          <w:b/>
          <w:bCs/>
          <w:lang w:eastAsia="es-ES"/>
        </w:rPr>
        <w:t>Villaplana</w:t>
      </w:r>
      <w:bookmarkEnd w:id="1"/>
      <w:bookmarkEnd w:id="66"/>
      <w:r w:rsidR="00311FAA" w:rsidRPr="00D66245">
        <w:rPr>
          <w:rStyle w:val="Refdenotaalpie"/>
          <w:rFonts w:ascii="Palatino Linotype" w:eastAsia="Times New Roman" w:hAnsi="Palatino Linotype" w:cs="Arial"/>
          <w:b/>
          <w:bCs/>
          <w:lang w:eastAsia="es-ES"/>
        </w:rPr>
        <w:footnoteReference w:id="290"/>
      </w:r>
    </w:p>
    <w:p w14:paraId="79411575" w14:textId="77777777" w:rsidR="005A441E" w:rsidRPr="00D66245" w:rsidRDefault="00E9609E" w:rsidP="00F53211">
      <w:pPr>
        <w:shd w:val="clear" w:color="auto" w:fill="FFFFFF" w:themeFill="background1"/>
        <w:spacing w:before="120" w:after="200" w:line="300" w:lineRule="atLeast"/>
        <w:ind w:firstLine="708"/>
        <w:jc w:val="both"/>
        <w:rPr>
          <w:rFonts w:ascii="Palatino Linotype" w:eastAsia="Times New Roman" w:hAnsi="Palatino Linotype" w:cs="Arial"/>
          <w:bCs/>
          <w:lang w:eastAsia="es-ES"/>
        </w:rPr>
      </w:pPr>
      <w:r w:rsidRPr="00D66245">
        <w:rPr>
          <w:rFonts w:ascii="Palatino Linotype" w:eastAsia="Times New Roman" w:hAnsi="Palatino Linotype" w:cs="Arial"/>
          <w:bCs/>
          <w:lang w:eastAsia="es-ES"/>
        </w:rPr>
        <w:t xml:space="preserve">Con la aprobación </w:t>
      </w:r>
      <w:r w:rsidR="00300C09" w:rsidRPr="00D66245">
        <w:rPr>
          <w:rFonts w:ascii="Palatino Linotype" w:eastAsia="Times New Roman" w:hAnsi="Palatino Linotype" w:cs="Arial"/>
          <w:bCs/>
          <w:lang w:eastAsia="es-ES"/>
        </w:rPr>
        <w:t xml:space="preserve">de la Reforma Procesal Laboral </w:t>
      </w:r>
      <w:r w:rsidRPr="00D66245">
        <w:rPr>
          <w:rFonts w:ascii="Palatino Linotype" w:eastAsia="Times New Roman" w:hAnsi="Palatino Linotype" w:cs="Arial"/>
          <w:bCs/>
          <w:lang w:eastAsia="es-ES"/>
        </w:rPr>
        <w:t>pueden establecerse cuatro aspectos esenciales</w:t>
      </w:r>
      <w:r w:rsidR="00622073" w:rsidRPr="00D66245">
        <w:rPr>
          <w:rFonts w:ascii="Palatino Linotype" w:eastAsia="Times New Roman" w:hAnsi="Palatino Linotype" w:cs="Arial"/>
          <w:bCs/>
          <w:lang w:eastAsia="es-ES"/>
        </w:rPr>
        <w:t xml:space="preserve"> a destacar como llamativos para la jurisdicción laboral</w:t>
      </w:r>
      <w:r w:rsidRPr="00D66245">
        <w:rPr>
          <w:rFonts w:ascii="Palatino Linotype" w:eastAsia="Times New Roman" w:hAnsi="Palatino Linotype" w:cs="Arial"/>
          <w:bCs/>
          <w:lang w:eastAsia="es-ES"/>
        </w:rPr>
        <w:t xml:space="preserve">: </w:t>
      </w:r>
      <w:r w:rsidR="00622073" w:rsidRPr="00D66245">
        <w:rPr>
          <w:rFonts w:ascii="Palatino Linotype" w:eastAsia="Times New Roman" w:hAnsi="Palatino Linotype" w:cs="Arial"/>
          <w:bCs/>
          <w:lang w:eastAsia="es-ES"/>
        </w:rPr>
        <w:t>La</w:t>
      </w:r>
      <w:r w:rsidRPr="00D66245">
        <w:rPr>
          <w:rFonts w:ascii="Palatino Linotype" w:eastAsia="Times New Roman" w:hAnsi="Palatino Linotype" w:cs="Arial"/>
          <w:bCs/>
          <w:lang w:eastAsia="es-ES"/>
        </w:rPr>
        <w:t xml:space="preserve"> fijación de normas procesales propias para la jurisdicción laboral, la regulación de las medidas cautelares –típicas y atípicas-, la introducción de los fueros</w:t>
      </w:r>
      <w:r w:rsidR="00622073" w:rsidRPr="00D66245">
        <w:rPr>
          <w:rFonts w:ascii="Palatino Linotype" w:eastAsia="Times New Roman" w:hAnsi="Palatino Linotype" w:cs="Arial"/>
          <w:bCs/>
          <w:lang w:eastAsia="es-ES"/>
        </w:rPr>
        <w:t>,</w:t>
      </w:r>
      <w:r w:rsidRPr="00D66245">
        <w:rPr>
          <w:rFonts w:ascii="Palatino Linotype" w:eastAsia="Times New Roman" w:hAnsi="Palatino Linotype" w:cs="Arial"/>
          <w:bCs/>
          <w:lang w:eastAsia="es-ES"/>
        </w:rPr>
        <w:t xml:space="preserve"> y la determinación de </w:t>
      </w:r>
      <w:r w:rsidR="00622073" w:rsidRPr="00D66245">
        <w:rPr>
          <w:rFonts w:ascii="Palatino Linotype" w:eastAsia="Times New Roman" w:hAnsi="Palatino Linotype" w:cs="Arial"/>
          <w:bCs/>
          <w:lang w:eastAsia="es-ES"/>
        </w:rPr>
        <w:t>reglas legales</w:t>
      </w:r>
      <w:r w:rsidRPr="00D66245">
        <w:rPr>
          <w:rFonts w:ascii="Palatino Linotype" w:eastAsia="Times New Roman" w:hAnsi="Palatino Linotype" w:cs="Arial"/>
          <w:bCs/>
          <w:lang w:eastAsia="es-ES"/>
        </w:rPr>
        <w:t xml:space="preserve"> para </w:t>
      </w:r>
      <w:r w:rsidR="00622073" w:rsidRPr="00D66245">
        <w:rPr>
          <w:rFonts w:ascii="Palatino Linotype" w:eastAsia="Times New Roman" w:hAnsi="Palatino Linotype" w:cs="Arial"/>
          <w:bCs/>
          <w:lang w:eastAsia="es-ES"/>
        </w:rPr>
        <w:t xml:space="preserve">la resolución de las solicitudes de declaratoria de legalidad o ilegalidad de </w:t>
      </w:r>
      <w:r w:rsidRPr="00D66245">
        <w:rPr>
          <w:rFonts w:ascii="Palatino Linotype" w:eastAsia="Times New Roman" w:hAnsi="Palatino Linotype" w:cs="Arial"/>
          <w:bCs/>
          <w:lang w:eastAsia="es-ES"/>
        </w:rPr>
        <w:t xml:space="preserve">los movimientos de huelga. </w:t>
      </w:r>
    </w:p>
    <w:p w14:paraId="66B3F166" w14:textId="77777777" w:rsidR="00E9609E" w:rsidRPr="00D66245" w:rsidRDefault="00E9609E" w:rsidP="00F53211">
      <w:pPr>
        <w:shd w:val="clear" w:color="auto" w:fill="FFFFFF"/>
        <w:spacing w:before="120" w:after="200" w:line="300" w:lineRule="atLeast"/>
        <w:ind w:firstLine="708"/>
        <w:jc w:val="both"/>
        <w:rPr>
          <w:rFonts w:ascii="Palatino Linotype" w:eastAsia="Times New Roman" w:hAnsi="Palatino Linotype" w:cs="Arial"/>
          <w:bCs/>
          <w:lang w:eastAsia="es-ES"/>
        </w:rPr>
      </w:pPr>
      <w:r w:rsidRPr="00D66245">
        <w:rPr>
          <w:rFonts w:ascii="Palatino Linotype" w:eastAsia="Times New Roman" w:hAnsi="Palatino Linotype" w:cs="Arial"/>
          <w:bCs/>
          <w:lang w:eastAsia="es-ES"/>
        </w:rPr>
        <w:t>Excluyendo el tema general de la fijación de normas procesales laborales, de los otros tres t</w:t>
      </w:r>
      <w:r w:rsidR="00300C09" w:rsidRPr="00D66245">
        <w:rPr>
          <w:rFonts w:ascii="Palatino Linotype" w:eastAsia="Times New Roman" w:hAnsi="Palatino Linotype" w:cs="Arial"/>
          <w:bCs/>
          <w:lang w:eastAsia="es-ES"/>
        </w:rPr>
        <w:t>ópicos</w:t>
      </w:r>
      <w:r w:rsidRPr="00D66245">
        <w:rPr>
          <w:rFonts w:ascii="Palatino Linotype" w:eastAsia="Times New Roman" w:hAnsi="Palatino Linotype" w:cs="Arial"/>
          <w:bCs/>
          <w:lang w:eastAsia="es-ES"/>
        </w:rPr>
        <w:t>,</w:t>
      </w:r>
      <w:r w:rsidR="00300C09" w:rsidRPr="00D66245">
        <w:rPr>
          <w:rFonts w:ascii="Palatino Linotype" w:eastAsia="Times New Roman" w:hAnsi="Palatino Linotype" w:cs="Arial"/>
          <w:bCs/>
          <w:lang w:eastAsia="es-ES"/>
        </w:rPr>
        <w:t xml:space="preserve"> sea,</w:t>
      </w:r>
      <w:r w:rsidRPr="00D66245">
        <w:rPr>
          <w:rFonts w:ascii="Palatino Linotype" w:eastAsia="Times New Roman" w:hAnsi="Palatino Linotype" w:cs="Arial"/>
          <w:bCs/>
          <w:lang w:eastAsia="es-ES"/>
        </w:rPr>
        <w:t xml:space="preserve"> </w:t>
      </w:r>
      <w:r w:rsidR="00622073" w:rsidRPr="00D66245">
        <w:rPr>
          <w:rFonts w:ascii="Palatino Linotype" w:eastAsia="Times New Roman" w:hAnsi="Palatino Linotype" w:cs="Arial"/>
          <w:bCs/>
          <w:lang w:eastAsia="es-ES"/>
        </w:rPr>
        <w:t>los vinculados con el</w:t>
      </w:r>
      <w:r w:rsidRPr="00D66245">
        <w:rPr>
          <w:rFonts w:ascii="Palatino Linotype" w:eastAsia="Times New Roman" w:hAnsi="Palatino Linotype" w:cs="Arial"/>
          <w:bCs/>
          <w:lang w:eastAsia="es-ES"/>
        </w:rPr>
        <w:t xml:space="preserve"> derecho de fondo, solo en uno de ellos participa la Sala Segunda conociendo</w:t>
      </w:r>
      <w:r w:rsidR="00882774" w:rsidRPr="00D66245">
        <w:rPr>
          <w:rFonts w:ascii="Palatino Linotype" w:eastAsia="Times New Roman" w:hAnsi="Palatino Linotype" w:cs="Arial"/>
          <w:bCs/>
          <w:lang w:eastAsia="es-ES"/>
        </w:rPr>
        <w:t xml:space="preserve">lo </w:t>
      </w:r>
      <w:r w:rsidRPr="00D66245">
        <w:rPr>
          <w:rFonts w:ascii="Palatino Linotype" w:eastAsia="Times New Roman" w:hAnsi="Palatino Linotype" w:cs="Arial"/>
          <w:bCs/>
          <w:lang w:eastAsia="es-ES"/>
        </w:rPr>
        <w:t xml:space="preserve">y emitiendo línea jurisprudencial: en los fueros. </w:t>
      </w:r>
      <w:r w:rsidR="00622073" w:rsidRPr="00D66245">
        <w:rPr>
          <w:rFonts w:ascii="Palatino Linotype" w:eastAsia="Times New Roman" w:hAnsi="Palatino Linotype" w:cs="Arial"/>
          <w:bCs/>
          <w:lang w:eastAsia="es-ES"/>
        </w:rPr>
        <w:t>En los otros dos, el d</w:t>
      </w:r>
      <w:r w:rsidRPr="00D66245">
        <w:rPr>
          <w:rFonts w:ascii="Palatino Linotype" w:eastAsia="Times New Roman" w:hAnsi="Palatino Linotype" w:cs="Arial"/>
          <w:bCs/>
          <w:lang w:eastAsia="es-ES"/>
        </w:rPr>
        <w:t>e las medidas cautelares y de la huelga –con la exc</w:t>
      </w:r>
      <w:r w:rsidR="000D1864" w:rsidRPr="00D66245">
        <w:rPr>
          <w:rFonts w:ascii="Palatino Linotype" w:eastAsia="Times New Roman" w:hAnsi="Palatino Linotype" w:cs="Arial"/>
          <w:bCs/>
          <w:lang w:eastAsia="es-ES"/>
        </w:rPr>
        <w:t>epción del control por medio del recurso de casación en interés del ordenamiento jurídico</w:t>
      </w:r>
      <w:r w:rsidR="00622073" w:rsidRPr="00D66245">
        <w:rPr>
          <w:rFonts w:ascii="Palatino Linotype" w:eastAsia="Times New Roman" w:hAnsi="Palatino Linotype" w:cs="Arial"/>
          <w:bCs/>
          <w:lang w:eastAsia="es-ES"/>
        </w:rPr>
        <w:t xml:space="preserve"> que podría ejecutar en el caso de las huelgas</w:t>
      </w:r>
      <w:r w:rsidR="000D1864" w:rsidRPr="00D66245">
        <w:rPr>
          <w:rFonts w:ascii="Palatino Linotype" w:eastAsia="Times New Roman" w:hAnsi="Palatino Linotype" w:cs="Arial"/>
          <w:bCs/>
          <w:lang w:eastAsia="es-ES"/>
        </w:rPr>
        <w:t xml:space="preserve">-, el máximo órgano en materia laboral no participa unificando criterios ni estableciendo líneas jurisprudenciales. </w:t>
      </w:r>
    </w:p>
    <w:p w14:paraId="6F9CB3D9" w14:textId="24BE7BD5" w:rsidR="000D1864" w:rsidRDefault="000D1864" w:rsidP="00F53211">
      <w:pPr>
        <w:shd w:val="clear" w:color="auto" w:fill="FFFFFF"/>
        <w:spacing w:before="120" w:after="200" w:line="300" w:lineRule="atLeast"/>
        <w:ind w:firstLine="708"/>
        <w:jc w:val="both"/>
        <w:rPr>
          <w:rFonts w:ascii="Palatino Linotype" w:eastAsia="Times New Roman" w:hAnsi="Palatino Linotype" w:cs="Arial"/>
          <w:bCs/>
          <w:lang w:eastAsia="es-ES"/>
        </w:rPr>
      </w:pPr>
      <w:r w:rsidRPr="00D66245">
        <w:rPr>
          <w:rFonts w:ascii="Palatino Linotype" w:eastAsia="Times New Roman" w:hAnsi="Palatino Linotype" w:cs="Arial"/>
          <w:bCs/>
          <w:lang w:eastAsia="es-ES"/>
        </w:rPr>
        <w:t xml:space="preserve">Con motivo de la atenta invitación que me cursó el Instituto Costarricense de Derecho Procesal, en lugar de presentarles unas líneas a manera de ensayo, me decanté por adjuntar una serie de fallos sobre los temas de medidas cautelares, en materia de fueros, y dos sobre las huelgas, para que sean de consulta y de revisión por cada una de las personas articipantes en el Congreso. </w:t>
      </w:r>
      <w:r w:rsidR="00E27160" w:rsidRPr="00D66245">
        <w:rPr>
          <w:rFonts w:ascii="Palatino Linotype" w:eastAsia="Times New Roman" w:hAnsi="Palatino Linotype" w:cs="Arial"/>
          <w:bCs/>
          <w:lang w:eastAsia="es-ES"/>
        </w:rPr>
        <w:t>Es mi convicción que este material resultará de su utilidad.</w:t>
      </w:r>
    </w:p>
    <w:p w14:paraId="3AA15FD7" w14:textId="77777777" w:rsidR="00214F2D" w:rsidRPr="00D66245" w:rsidRDefault="00214F2D" w:rsidP="00F53211">
      <w:pPr>
        <w:shd w:val="clear" w:color="auto" w:fill="FFFFFF"/>
        <w:spacing w:before="120" w:after="200" w:line="300" w:lineRule="atLeast"/>
        <w:ind w:firstLine="708"/>
        <w:jc w:val="both"/>
        <w:rPr>
          <w:rFonts w:ascii="Palatino Linotype" w:eastAsia="Times New Roman" w:hAnsi="Palatino Linotype" w:cs="Arial"/>
          <w:bCs/>
          <w:lang w:eastAsia="es-ES"/>
        </w:rPr>
      </w:pPr>
    </w:p>
    <w:p w14:paraId="1A00F867" w14:textId="77777777" w:rsidR="000D1864" w:rsidRPr="00D66245" w:rsidRDefault="000D1864" w:rsidP="00F53211">
      <w:pPr>
        <w:shd w:val="clear" w:color="auto" w:fill="FFFFFF"/>
        <w:spacing w:before="120" w:after="200" w:line="300" w:lineRule="atLeast"/>
        <w:jc w:val="center"/>
        <w:rPr>
          <w:rFonts w:ascii="Palatino Linotype" w:eastAsia="Times New Roman" w:hAnsi="Palatino Linotype" w:cs="Arial"/>
          <w:b/>
          <w:bCs/>
          <w:lang w:eastAsia="es-ES"/>
        </w:rPr>
      </w:pPr>
      <w:r w:rsidRPr="00D66245">
        <w:rPr>
          <w:rFonts w:ascii="Palatino Linotype" w:eastAsia="Times New Roman" w:hAnsi="Palatino Linotype" w:cs="Arial"/>
          <w:b/>
          <w:bCs/>
          <w:lang w:eastAsia="es-ES"/>
        </w:rPr>
        <w:t>MEDIDAS CAUTELARES</w:t>
      </w:r>
    </w:p>
    <w:p w14:paraId="4E1FB467" w14:textId="77777777" w:rsidR="00E33680" w:rsidRPr="00D66245" w:rsidRDefault="00E33680" w:rsidP="00F53211">
      <w:pPr>
        <w:spacing w:before="120" w:after="200" w:line="230" w:lineRule="auto"/>
        <w:ind w:firstLine="708"/>
        <w:jc w:val="both"/>
        <w:rPr>
          <w:rFonts w:ascii="Palatino Linotype" w:eastAsia="Times New Roman" w:hAnsi="Palatino Linotype" w:cs="Times New Roman"/>
          <w:bCs/>
          <w:lang w:eastAsia="es-ES"/>
        </w:rPr>
      </w:pPr>
      <w:r w:rsidRPr="00D66245">
        <w:rPr>
          <w:rFonts w:ascii="Palatino Linotype" w:eastAsia="Times New Roman" w:hAnsi="Palatino Linotype" w:cs="Times New Roman"/>
          <w:bCs/>
          <w:lang w:eastAsia="es-ES"/>
        </w:rPr>
        <w:t xml:space="preserve">La Sección Primera del Tribunal de Apelación de Trabajo del Primer Circuito Judicial de San José, mediante resolución 140, de las 09.15 hrs del 11-02-2019, dispuso: </w:t>
      </w:r>
    </w:p>
    <w:p w14:paraId="3220ECF8" w14:textId="77777777" w:rsidR="00E33680" w:rsidRPr="00D66245" w:rsidRDefault="00E33680" w:rsidP="00F53211">
      <w:pPr>
        <w:spacing w:before="120" w:after="200" w:line="230" w:lineRule="auto"/>
        <w:ind w:left="851" w:right="851"/>
        <w:jc w:val="both"/>
        <w:rPr>
          <w:rFonts w:ascii="Palatino Linotype" w:hAnsi="Palatino Linotype"/>
          <w:i/>
        </w:rPr>
      </w:pPr>
      <w:r w:rsidRPr="00D66245">
        <w:rPr>
          <w:rFonts w:ascii="Palatino Linotype" w:hAnsi="Palatino Linotype"/>
          <w:i/>
        </w:rPr>
        <w:t>“V.- SOBRE EL FONDO: Estudiados los autos, considera el tribunal de alzada, que deben resolverse los recursos en el orden en que han sido planteados, como sigue: A.- SOBRE EL RECURSO DE APELACIÓN INTERPUESTO CONTRA EL AUTO DE LAS 15: 27 HORAS DEL 05 DE JULIO DEL AÑO 2018: Vistos los agravios planteados, por la parte actora recurrente, analizado el caso concreto, consideramos las personas integrantes de este Tribunal que la resolución recurrida debe ser revocada. De conformidad con el artículo 540 del Código de Trabajo, las personas trabajadoras, tanto del sector público como del privado, que en virtud de un fuero especial gocen de estabilidad en su empleo o de procedimientos especiales para ser afectados, podrán impugnar en la vía sumarísima prevista en esta sección, con motivo del despido o de cualquier otra medida disciplinaria o discriminatoria, la violación de fueros especiales de protección, de procedimientos a que tienen derecho, formalidades o autorizaciones especialmente previstas.- Así mismo, estatuye, el artículo 542 del Código de Trabajo que, la solicitud de tutela se presentará ante el juzgado de trabajo competente, mientras subsistan las medidas o los efectos que provocan la violación contra la cual se reclama. Por su parte, el artículo 543 idem, prevé que: "... En el caso de actuaciones con resultados lesivos, en la misma resolución se podrá disponer la suspensión de los efectos del acto, y la parte accionante quedará repuesta provisionalmente a su situación previa al acto impugnado. Esa medida se ejecutará de inmediato sin necesidad de garantía alguna y podrá revisarse y modificarse a instancia de la parte accionada, hecha mediante la interposición del recurso correspondiente, por razones de conveniencia o de evidente interés público, o bien, porque valorada la situación de forma provisional se estime que existen evidencias excluyentes de discriminación, sin perjuicio de lo que se resuelva sobre el fondo."(Lo destacado no es del original).- La norma general del artículo 493 del Código de Trabajo señala: " En los procesos contra el Estado o cualquiera de sus instituciones u órganos, que sea de conocimiento de la jurisdicción laboral y que no versen sobre la violación de fueros especiales de tutela, cuya pretensión tenga como efecto la reinstalación al puesto de trabajo, podrá plantearse como medida cautelar la suspensión de los efectos del acto de despido o, en su caso, la reinstalación provisional de la persona trabajadora. La medida cautelar será procedente cuando la ejecución o permanencia de la conducta administrativa sometida a proceso pueda ser fuente de daños y perjuicios, actuales o potenciales, de difícil o imposible reparación. La medida también será procedente en supuestos no regidos por el derecho público, cuando en proceso judicial se impugne la validez o la injusticia del acto del despido y se invoque alguna norma de estabilidad. El órgano jurisdiccional, al pronunciarse sobre la solicitud, ponderará no solo la seriedad de la petición y los intereses cuya tutela provisional se pide, sino también las eventuales lesiones que se puedan producir al interés público o a la armonía o seguridad de las empresas, de manera tal que no se afecten el funcionamiento de la organización o entidad, ni el buen servicio, disponiendo o manteniendo situaciones inconvenientes. La satisfacción del interés público se tendrá, al resolverse estas situaciones, como valor preeminente.".- Con fundamento en lo anterior, y analizado el caso bajo estudio, considera este Tribunal, que estamos ante un supuesto en el que debe acogerse la medida cautelar. La parte recurrente, se muestra disconforme con lo resuelto en primera instancia, tomando en cuenta que se acreditaron los daños y la situación vulnerable en la que quedó el actor con su cese del puesto que venía ocupando al servicio del Estado, en concreto en el Organismo de Investigación Judicial, órgano adscrito al Poder Judicial. Lo anterior, resulta evidente, ya que la razón por la cual se cesa al trabajador de sus labores, es por motivo de su discapacidad auditiva, lo que necesariamente le genera consecuencias lesivas, viendo afectada su posibilidad de cubrir necesidades como alimentación, medicina y demás aspectos para la manutención de su persona y familia. El cese operado en esas condiciones, priva en forma arbitraria prima facie, al trabajador de su sustento, que amerita en este caso en particular, de acoger la tutela cautelar peticionada. Con independencia de que haya casi transcurrido un año del despido, pues el término de prescripción que establece el artículo 542 del Código de Trabajo, se refiere al proceso de tutela por violación al debido proceso no así al proceso de tutela por discriminación, que es lo que se discute en este proceso.- El actor (…), laboraba al servicio del Organismo de Investigación Judicial del Poder Judicial como Investigador 1, desde el 13 de octubre año 2015 en forma interina y hasta el 20 de julio del 2017 en que fue cesado, debido a que sufre una condición médica descrita como Hipoacusia Neurosensorial moderada en el oído izquierdo, por la que requiere la utilización de una prótesis autiditiva, y pese a su uso, no se recomendó para el puesto de investigador que ocupaba, según lo determinado por la Jefatura del Departamento de Investigaciones Criminales del OIJ (imágenes 85 a 86 del expediente completo). Lo anterior, se dispuso pese a que, el Consejo Superior del Poder Judicial, ante recurso de reconsideración planteado por el actor contra el Acuerdo tomado en sesión No. 57-17 del 20 de junio del 2017, señaló que "la condición personal de capacidad disminuida a nivel auditivo del señor (…) no impide sea considerado por la Dirección del Organismo de Investigación Judicial en otro tipo de puestos que no involucren una puesta en peligro de su integridad física y la de las personas con las que debe interactuar. Lo anterior con el fin de aprovechar su perfil competencial asociado a sus conocimientos, habilidades, destrezas, aptitudes, actitudes entre otras, adquiridas por la señora Arely con ocasión de la capacitación que ha recibido en el Poder Judicial...".(imagen 10 del escrito de demanda, y documental de imágenes 80 a 84). De conformidad a lo anterior, consideran los integrantes de este Tribunal, que basta con tomar en cuenta el motivo por el que se determina el cese del nombramiento, para concluir que el petente demuestra las consecuencias lesivas o daños y perjuicios que le produjo el acto, requisito necesario para acoger la gestión. Adicionalmente, también se cumple con el presupuesto de apariencia de buen derecho que requiere la toma de medidas cautelares. Pues claramente, se trata de un trabajador, que debido a su discapacidad es cesado en su puesto de trabajo. Esto, pese a que el órgano superior, el Consejo Superior avala la posibilidad de ubicar al trabajador en un puesto que se adapte a sus necesidades especiales, pues debe atenderse también a la estabilidad relativa que tiene el actor en su puesto de trabajo, por lo que no se hizo lo propio para reubicarlo laboralmente por esa situación y se optó primeramente por su destitución.- Hay que tomar en cuenta, que por el tipo de trabajo que realizaba el actor, tan especializado dentro del Organismo de Investigación Judicial, la aplicación del cese reviste una situación difícil para el trabajador, por cuanto, por su labor, experiencia y capacitación en estos temas, aunado a su discapacidad auditiva, su posibilidad de acceder a un nuevo empleo se le dificulta. Es por esto, que dadas las particularidades del caso, se logra acreditar la posible existencia de daños y perjuicios actuales, potenciales y de difícil reparación, al exponer al trabajador de no poder cubrir sus necesidades básicas, y eventuales, al considerarse las condiciones especiales que el trabajador ha enfrentado y puede enfrentar para obtener un nuevo empleo. En este sentido, se determina en el caso bajo estudio, la apariencia de buen derecho y el peligro en la demora, de forma preliminar, hecho el análisis de los elementos que se aportan al proceso, lo cual no prejuzga a lo que se va a resolver en el fondo del asunto. En este caso, se puede descartar que la solicitud de esta medida cautelar sea temeraria por lo que atender la misma no implica un perjuicio para la Administración o bien de terceros con lo cual se confirma el cumplimiento del elemento de apariencia de buen derecho para acceder a la tutela cautelar, además de las consecuencias lesivas que ha tenido el cese operado en el puesto de labores del actor. Cabe recordar, que en este tipo de procesos, el artículo 543 del Código de Trabajo, permite aplicar este tipo de medidas, prima facie, en caso de actuaciones con resultados lesivos, en la resolución inicial, incluso de oficio, por lo que no es necesario cumplir con los requisitos de medida cautelar para un proceso ordinario.- No obstante, es importante recalcar que el actor fue cesado por una discapacidad física, con lo cual, su gestión parece ser fundada. Así las cosas, y dadas las pruebas aportadas, así como las particularidades de este caso, se concluye que la condición específica del actor respecto de sus necesidades de manutención y obligaciones económicas, llevan a concluir que el daño generado a partir de la conducta administrativa (cese de labores) es grave, pues el mismo operó incluso, sin responsabilidad patronal (oficio de cese a imágenes 85 y 86 del expediente completo). Por último, se considera que lo resuelto en esta etapa procesal no pone en riesgo ni afecta el funcionamiento de la organización demandada, siempre y cuanto se atiendan las consideraciones señaladas por el Consejo Superior del Poder Judicial, en el tanto se ubique al trabajador en un puesto acorde a sus capacidades físicas especiales. Por ende, al concurrir la totalidad de los presupuestos legales necesarios, debe revocarse la resolución venida en alzada, y declararse con lugar la medida cautelar solicitada. Se ordena la suspensión de lo resuelto mediante oficio 149-E-2017 de fecha veinte de julio del dos mil diecisiete, se ordena la suspensión del contenido del artículo LXVII adoptado por el Consejo Superior del Poder Judicial en sesión N°59-17 del día veinte de junio del dos mil diecisiete y se ordena la reinstalación del actor al cargo que venía ocupando o bien en caso, de no ser posible, a uno en el que se pueda desempeñar según lo analizado bajo las mismas condiciones laborales que tenía antes de ser cesado (salario y demás pluses). Lo anterior, mientas se tramita el presente proceso y deberá la patronal abstenerse de ejecutar acciones que puedan hacer nugatorio el resultado del presente proceso.”</w:t>
      </w:r>
    </w:p>
    <w:p w14:paraId="248A4087" w14:textId="77777777" w:rsidR="00E33680" w:rsidRPr="00D66245" w:rsidRDefault="00E33680" w:rsidP="00F53211">
      <w:pPr>
        <w:spacing w:before="120" w:after="200" w:line="230" w:lineRule="auto"/>
        <w:ind w:firstLine="708"/>
        <w:jc w:val="both"/>
        <w:rPr>
          <w:rFonts w:ascii="Palatino Linotype" w:hAnsi="Palatino Linotype"/>
        </w:rPr>
      </w:pPr>
      <w:r w:rsidRPr="00D66245">
        <w:rPr>
          <w:rFonts w:ascii="Palatino Linotype" w:hAnsi="Palatino Linotype"/>
        </w:rPr>
        <w:t xml:space="preserve">La misma Sección de ese Tribunal de Apelaciones del Primer Circuito de San José, mediante voto 138 de las 09.05 hrs del 11-02-2019, indicó:  </w:t>
      </w:r>
    </w:p>
    <w:p w14:paraId="5DBE38E3" w14:textId="77777777" w:rsidR="00E33680" w:rsidRPr="00D66245" w:rsidRDefault="00E33680" w:rsidP="00F53211">
      <w:pPr>
        <w:spacing w:before="120" w:after="200" w:line="230" w:lineRule="auto"/>
        <w:ind w:left="851" w:right="851"/>
        <w:jc w:val="both"/>
        <w:rPr>
          <w:rFonts w:ascii="Palatino Linotype" w:hAnsi="Palatino Linotype"/>
          <w:i/>
        </w:rPr>
      </w:pPr>
      <w:r w:rsidRPr="00D66245">
        <w:rPr>
          <w:rFonts w:ascii="Palatino Linotype" w:hAnsi="Palatino Linotype"/>
          <w:i/>
        </w:rPr>
        <w:t>“V.) SOBRE EL FONDO: Estudiados los autos, consideran los integrantes de este tribunal de alzada, que lleva razón el recurrente, por lo que debe ser revocada la resolución que denegó la medida cautelar, por los motivos que se exponen a continuación. En tratándose de actos administrativos, el artículo 493 del Código de Trabajo, dispone: "En los procesos contra el Estado o cualquiera de sus instituciones u órganos, que sea de conocimiento de la jurisdicción laboral y que no versen sobre la violación de fueros especiales de tutela, cuya pretensión tenga como efecto la reinstalación al puesto de trabajo, podrá plantearse como medida cautelar la suspensión de los efectos del acto de despido o, en su caso, la reinstalación provisional de la persona trabajadora. La medida cautelar será procedente cuando la ejecución o permanencia de la conducta administrativa sometida a proceso pueda ser fuente de daños y perjuicios, actuales o potenciales, de difícil o imposible reparación. La medida también será procedente en supuestos no regidos por el derecho público, cuando en proceso judicial se impugne la validez o la injusticia del acto del despido y se invoque alguna norma de estabilidad. El órgano jurisdiccional, al pronunciarse sobre la solicitud, ponderará no solo la seriedad de la petición y los intereses cuya tutela provisional se pide, sino también las eventuales lesiones que se puedan producir al interés público o a la armonía o seguridad de las empresas, de manera tal que no se afecten el funcionamiento de la organización o entidad, ni el buen servicio, disponiendo o manteniendo situaciones inconvenientes. La satisfacción del interés público se tendrá, al resolverse estas situaciones, como valor preeminente". Ahora bien, la juez de instancia, consideró que no era procedente la medida cautelar solicitada, bajo el fundamento del artículo 21 y 22 del Código Procesal Contencioso Administrativo, los cuales al efecto determinan que, la medida cautelar será procedente cuando produzca graves daños y perjuicios, siempre que la pretensión no sea temeraria, o en forma palmaria carente de seriedad, considerándose en todo caso el principio de proporcionalidad, ponderándola eventual lesión al interés público, los daños y perjuicios provocados con la medida a terceros, así como los caracteres de instrumentalidad y provisionalidad. Agrega la A quo, que el actor reclama vicios en el procedimiento, por lo que cataloga el despido de nulo, prescrito, caduco, violatorio del debido proceso, desproporcionado y carente de razonabilidad, contrario al ordenamiento jurídico, lo cual a su criterio deben ser resueltos en la resolución de fondo del ordinario planteado, señalando a su vez, que no hay peligro en la demora, toda vez que el despido se dio desde el año 2017, y es hasta el año 2018 que solicita la medida, por lo que se presume que el actor ha tenido otro medio para hacer frente a sus obligaciones económicas. La parte actora recurrente, se muestra disconforme con lo resuelto en primera instancia, más aún con la última fundamentación de la denegatoria, sea que habiendo sido despedido desde al año 2017, y que se solicitara la medida cautelar mucho tiempo después. Los agravios opuestos van dirigidos a la demostración de que si bien el acto administrativo de despido fue el 1º de diciembre del año 2017, este quedo firme hasta el 17 de julio del 2018, después que fueron resueltos los recursos de revocatoria y apelación presentados en sede administrativa, afirmando existe abundante prueba en el expediente, sin embargo, aportada junto con el escrito de apelación prueba para mejor resolver. Lo anterior, resulta evidente, tenemos que, la razón por la cual se cesa al trabajador de sus labores, es por motivo de incumplimiento al artículo 64 inciso c.) del Reglamento Interno de Trabajo, sea irrespeto a compañera y jefatura, al utilizar frases irrespetuosas, peyorativas y denigrantes, utilizando el correo institucional, lo cual queda evidenciado en el traslado de cargos, fechado diecinueve de agosto del 2013 (imágenes 232 a 257 del expediente electrónico, formato pdf) así como el acto final de despido que se emitiera mediante resolución DAGP-1758-2017, fechada 01 de diciembre del 2017, dictado por la Sub Dirección de Administración y Gestión de Personal, Gerencia Administrativa, Caja Costarricense del Seguro Social (imágenes 3121 a 3151 del expediente electrónico, formato pdf), en los que en forma clara y precisa se establece que los hechos objetos de investigación ocurrieron el 24 de abril, 22 de mayo y 08 de agosto del 2013, y que con base en la prueba documental, testimonial e indiciaria recabada en el procedimiento administrativo, así como el fundamento jurídico enunciado, bajo la sana critica al amparo del numeral 138 de la Normativa de Relaciones Laborales, habiéndose acreditado la falta se despide sin responsabilidad patronal al recurrente Ahora bien, conforme a la normativa en que se fundamenta el despido, se tiene que la sanción a imponer puede ser una amonestación, una suspensión sin goce de salario o bien el despido, dependiendo de la gravedad de la falta; en el caso que nos ocupa se impuso la máxima e irreparable sanción de despido, proporcionalidad que será analizada en la resolución de fondo. Sin embargo, el cese operado en esas condiciones, priva en forma arbitraria prima facie, al trabajador de su sustento, que amerita en este caso en particular, acoger la tutela cautelar peticionada, no solo por la sanción impuesta como tal, sino a su vez porque se invoca una violación al debido proceso, así como la prescripción y caducidad de la potestad patronal para sancionar. Apéndice a lo anterior, no se puede obviar que el criterio emitido por la Juzgadora de Instancia en cuanto a la falta de interés actual, no es acorde con la prueba que consta en autos, obsérvese que, en el caso de estudio, si bien es cierto el acto final se dictó mediante oficio DAGP-1758-2017, en fecha 17 de julio del 2017, (imagen 3127 a 3151 del expediente electrónico, formato pdf) esta resolución adquirió firmeza hasta el 16 de julio del 2018, mediante resolución GA-1052-2018 (imágenes 3449 a 3454 del expediente electrónico, formato pdf) al declararse sin lugar el recurso de apelación interpuesto por el señor (…), que le fuera notificado el día siguiente, sea el 17 de julio del 2018 (imagen 3455 del expediente electrónico, formato pdf); toda vez que entre la data del 17 de julio del 2017 y el 16 de julio del 2018, el actor hizo uso de la cadena recursiva (imágenes 3155 y 3156, 3160 a 3178, 3196 a 3204, 3389 a 3398 del expediente electrónico); por ende yerra la A quo en el criterio emitido en la denegatoria de la medida cautelar, ya que no transcurrió mucho tiempo, sino escasos dos meses con 4 días; pero con independencia del plazo entre un evento y el otro, la medida cautelar se podía solicitar en el tanto existiera la afectación. Sin ánimos de entrar en el fondo, se debe de considerar que el actor argumenta en su demanda que se encuentra prescrita la potestad disciplinaria del ente empleador y violación al debido proceso, y si bien es cierto dicha defensa y violación será analizada y resuelta en la resolución de fondo, no deja de ser menos cierto, que ello conllevaría una nulidad en la sanción impuesta, lo cual claro está, fue debatido en la contestación de la demanda, pero no por ello, se debe de tener por cierta la línea jurisprudencial que se sigue al respecto, ya que como se ha señalado en otros votos de esta sección, la jurisprudencia laboral se reconoce como fuente de derecho, pero la misma no es vinculante para las personas juzgadoras de primera instancia. De conformidad a lo anterior, consideran los integrantes de este Tribunal, que basta con tomar en cuenta el motivo por el que se determina el cese del nombramiento, para concluir que el petente demuestra las consecuencias lesivas o daños y perjuicios que le produjo el acto, requisito necesario para acoger la gestión. Adicionalmente, también se cumple con el presupuesto de apariencia de buen derecho que requiere la toma de medidas cautelares. Pues claramente, se trata de un trabajador, que previo al despido interpuso una denuncia por acoso laboral, aunque la misma fue desestimada en sede administrativa. Es por esto que, dadas las particularidades del caso, se logra acreditar la posible existencia de daños y perjuicios actuales, potenciales y de difícil reparación, al exponer al trabajador de no poder cubrir sus necesidades básicas, y eventuales, al considerarse las condiciones especiales que ha enfrentado y puede enfrentar para obtener un nuevo empleo, más aun por los padecimientos que enfrenta como es el trastorno depresivo recurrente y trastorno de adaptación, por el que recibe control en el servicio de psiquiatría (imagen 81 formato pdf del expediente electrónico), así como la edad, sin dejar de lado que siempre ha laborado en el sector público. En este sentido, se determina en el caso bajo estudio, la apariencia de buen derecho y el peligro en la demora, de forma preliminar, hecho el análisis de los elementos que se aportan al proceso, lo cual no prejuzga a lo que se va a resolver en el fondo del asunto. En este caso, se puede descartar que la solicitud de esta medida cautelar sea temeraria por lo que atender la misma no implica un perjuicio para la Administración o bien de terceros con lo cual se confirma el cumplimiento del elemento de apariencia de buen derecho para acceder a la tutela cautelar, además de las consecuencias lesivas que ha tenido el cese operado en el puesto de labores del actor, lo que ha quedado acreditado con las pruebas aportadas (imágenes 87 a 117, 135 del expediente electrónico, formato pdf). Con las particularidades de este caso, y la condición específica del actor respecto de sus necesidades de manutención y obligaciones económicas, llevan a concluir que el daño generado a partir de la conducta administrativa (cese de labores) es grave para él. Por último, se considera que lo resuelto en esta etapa procesal no pone en riesgo ni afecta el funcionamiento de la organización demandada, ya que bien se le puede restituir en sus labores o como él mismo lo ha solicitado reubicar en otro puesto con igualdad de derechos y obligaciones aquellas que tenía antes del cese. Por ende, al concurrir la totalidad de los presupuestos legales necesarios, debe revocarse la resolución venida en alzada, y declararse con lugar la medida cautelar solicitada. Apéndice a lo anterior hay que señalar que si bien es cierto, la jurisprudencia ha señalado en forma reiterada que, los daños que alegan las partes pueden ser cuantificables e indemnizables, no se puede obviar que, en el caso que nos ocupa se desprende que el actor podría sufrir un grave perjuicio irreversible en lo personal, familiar y profesional, de ahí que procede acoger la medida cautelar solicitada, por lo que se ordena la suspensión de lo resuelto mediante oficio GA-1052-2018 fechada 16 de julio del 2018, y se ordena la reinstalación del actor al cargo que venía ocupando o bien en caso, de no ser posible, a uno en el que se pueda desempeñar según lo analizado bajo las mismas condiciones laborales que tenía antes de ser cesado (salario y demás pluses). Lo anterior, hasta tanto se resuelva en el fondo el presente proceso y deberá la patronal abstenerse de ejecutar acciones que puedan hacer nugatorio el resultado del presente proceso.”</w:t>
      </w:r>
    </w:p>
    <w:p w14:paraId="467989D2" w14:textId="77777777" w:rsidR="00E33680" w:rsidRPr="00D66245" w:rsidRDefault="00E33680" w:rsidP="00F53211">
      <w:pPr>
        <w:spacing w:before="120" w:after="200" w:line="230" w:lineRule="auto"/>
        <w:ind w:firstLine="708"/>
        <w:jc w:val="both"/>
        <w:rPr>
          <w:rFonts w:ascii="Palatino Linotype" w:hAnsi="Palatino Linotype"/>
        </w:rPr>
      </w:pPr>
      <w:r w:rsidRPr="00D66245">
        <w:rPr>
          <w:rFonts w:ascii="Palatino Linotype" w:hAnsi="Palatino Linotype"/>
        </w:rPr>
        <w:t>El Tribunal de cita, Sección Primera, mediante sentencia Nº 141, de las 09.20 hrs del 11-02-2019, dispuso:</w:t>
      </w:r>
    </w:p>
    <w:p w14:paraId="54C98015" w14:textId="77777777" w:rsidR="00E33680" w:rsidRPr="00D66245" w:rsidRDefault="00E33680" w:rsidP="00F53211">
      <w:pPr>
        <w:spacing w:before="120" w:after="200" w:line="230" w:lineRule="auto"/>
        <w:ind w:left="851" w:right="851"/>
        <w:jc w:val="both"/>
        <w:rPr>
          <w:rFonts w:ascii="Palatino Linotype" w:hAnsi="Palatino Linotype"/>
          <w:i/>
        </w:rPr>
      </w:pPr>
      <w:r w:rsidRPr="00D66245">
        <w:rPr>
          <w:rFonts w:ascii="Palatino Linotype" w:hAnsi="Palatino Linotype"/>
          <w:i/>
        </w:rPr>
        <w:t>“VI.- ANÁLISIS DEL CASO BAJO ESTUDIO.- Ahora bien, estudiado a fondo esta suspensión de los efectos del acto administrativo impugnado, la medida cautelar en este tipo de procesos debe cumplir con dos requisitos fundamentales a saber: La apariencia de un buen derecho, que este caso, la actora es quién debe demostrar de forma preliminar los daños y perjuicios de difícil e imposible reparación alegados; con los medios probatorios que la parte tenga a su alcance al momento de la presentación de tal solicitud. En el caso bajo estudio, se echan de menos la demostración de tales daños, simplemente la parte manifiesta en el escrito que, con la conducta impugnada se le están ocasionando daños graves y perjuicios en su actividad comercial, pero no demuestra su existencia, su cuantificación y la gravedad de ellos, por lo que ante esta situación, la medida cautelar debe ser rechazada como lo hizo la A-quo, toda vez que la demostración de tales daños y perjuicios de difícil e imposible reparación no solamente deben ser alegados, sino primordialmente demostrados, que en este caso la parte no lo hizo. Los alegatos de fondo expuestos en el escrito de apelación, serán resueltos al momento del dictado del fallo, no son propios del objeto de una medida cautelar como la que se conoce.”</w:t>
      </w:r>
    </w:p>
    <w:p w14:paraId="26780504" w14:textId="77777777" w:rsidR="00E33680" w:rsidRPr="00D66245" w:rsidRDefault="00E33680" w:rsidP="00F53211">
      <w:pPr>
        <w:spacing w:before="120" w:after="200" w:line="230" w:lineRule="auto"/>
        <w:ind w:firstLine="708"/>
        <w:jc w:val="both"/>
        <w:rPr>
          <w:rFonts w:ascii="Palatino Linotype" w:hAnsi="Palatino Linotype"/>
        </w:rPr>
      </w:pPr>
      <w:r w:rsidRPr="00D66245">
        <w:rPr>
          <w:rFonts w:ascii="Palatino Linotype" w:hAnsi="Palatino Linotype"/>
        </w:rPr>
        <w:t xml:space="preserve">El mismo Tribunal, en voto 137, de las 09.00 hrs del 11-02-2019, indicó lo siguiente: </w:t>
      </w:r>
    </w:p>
    <w:p w14:paraId="60C5D41B" w14:textId="4769BDD4" w:rsidR="00E33680" w:rsidRPr="00D66245" w:rsidRDefault="00E33680" w:rsidP="00F53211">
      <w:pPr>
        <w:spacing w:before="120" w:after="200" w:line="230" w:lineRule="auto"/>
        <w:ind w:left="851" w:right="851"/>
        <w:jc w:val="both"/>
        <w:rPr>
          <w:rFonts w:ascii="Palatino Linotype" w:hAnsi="Palatino Linotype"/>
          <w:i/>
        </w:rPr>
      </w:pPr>
      <w:r w:rsidRPr="00D66245">
        <w:rPr>
          <w:rFonts w:ascii="Palatino Linotype" w:hAnsi="Palatino Linotype"/>
          <w:i/>
        </w:rPr>
        <w:t>“2.) DE LA MEDIDA CAUTELAR. En materia de medidas cautelares para este tipo de proceso sumario, estatuye el artículo 543 del Código de Trabajo, que para el caso de actuaciones con resultados lesivos, en la misma resolución que da curso a la acción, se podrá disponer la suspensión de los efectos del acto y la parte accionante quedará repuesta provisionalmente a su situación previa al acto impugnado. En el caso concreto, en la primera instancia se rechazó la medida cautelar de reinstalación prima facie solicitada por la parte actora. . De conformidad con lo ordenado en el numeral 583 inciso 10.) del Código de Trabajo, cuando se deniegue una medida cautelar, será apelable ante el órgano de alzada, por lo que se procede a conocer los agravios opuestos a la denegatoria que nos ocupa. Son comprensibles los agravios esbozados por el recurrente, no solo en cuanto al proceso elegido, sino a su vez en cuanto a su disconformidad con el rechazo de la medida cautelar solicitada. Considérese que, este proceso es un fuero de tutela por enfermedad, y si bien será en la resolución de fondo donde se determinará si el acto de despido que se impugna fue realizado de acuerdo con el ordenamiento jurídico o no, no se puede obviar que en principio existe prueba en el expediente de las citas que se le han dado al actor por motivos de enfermedad – Nodulo Pulmonar- (imágenes 12 a 16 del expediente electrónico, formato pdf). Estudiado el presente asunto, se obtiene que la parte recurrente lleva razón en los agravios que expone y el auto recurrido merece revocarse, para en su lugar otorgar la medida cautelar solicitada. En primer lugar, en el presente asunto se demanda un proceso de fuero especial de discriminación por enfermedad, lo que podría provocar eventualmente consecuencias lesivas del acto de despido; amén que al requerir de atención medica ante la Caja Costarricense del Seguro Social, no podrá recibir el trabajador en el caso que ya no exista una relación laboral, o al menos lo recibirá por un tiempo determinado solamente, aseguranza que se torna indispensable para el padecimiento del recurrente, que si bien conlleva una pretensión material concreta de atención médica, solamente se pide esta prestación en forma cautelar, lo que considera el tribunal que repercute directamente en la salud de don (…), teniendo claro que la incidencia en lo que finalmente es independiente de la medida cautelar, que lo que pretende es minimizar los efectos del despido. No cabe duda a este Tribunal, que los supuestos que deben estar presentes para el otorgamiento de una medida cautelar concurren en el proceso que nos ocupa. Obsérvese que, para la determinación de la procedencia de la medida es también importante tomar en cuenta, las siguientes características: 1) La instrumentalidad e independencia previa con relación a la sentencia definitiva que se produzca en un proceso principal, cuestión que determina al propio tiempo, la subordinación o accesoriedad de la medida con respecto del proceso principal dentro o a efecto del cual se dicta, 2) La provisionalidad, en cuanto su eficacia en principio se agota al momento de dictarse la sentencia de mérito en el asunto principal o cuando las circunstancias así lo impongan. Es decir, tiene efectos supeditados a la pendencia de aquel proceso, tanto como y por otro lado, a la permanencia en el tiempo de las circunstancias que fuesen tomadas en cuenta para su adopción, características que traen causa de su intrínseca posibilidad de modificación o revocación (eficacia rebus sic stantibus). 3) La urgencia, para evitar el peligro en la mora, nota que justifica las medidas cautelares adoptadas ante causam, prima facie o inaudita altera parte, 4) La sumaria cognitio, esto es, que este tipo de medidas son adoptadas en virtud de una cognición sumarísima efectuada por el órgano jurisdiccional, sin entrar a prejuzgar sobre el mérito del asunto que de forma alguna sustituye la plenaria sucesión de pasos que implica el proceso de conocimiento.”</w:t>
      </w:r>
    </w:p>
    <w:p w14:paraId="20670825" w14:textId="77777777" w:rsidR="0090618D" w:rsidRPr="00D66245" w:rsidRDefault="0090618D" w:rsidP="00F53211">
      <w:pPr>
        <w:shd w:val="clear" w:color="auto" w:fill="FFFFFF"/>
        <w:spacing w:before="120" w:after="200" w:line="300" w:lineRule="atLeast"/>
        <w:jc w:val="center"/>
        <w:rPr>
          <w:rFonts w:ascii="Palatino Linotype" w:eastAsia="Times New Roman" w:hAnsi="Palatino Linotype" w:cs="Arial"/>
          <w:b/>
          <w:bCs/>
          <w:lang w:eastAsia="es-ES"/>
        </w:rPr>
      </w:pPr>
      <w:r w:rsidRPr="00D66245">
        <w:rPr>
          <w:rFonts w:ascii="Palatino Linotype" w:eastAsia="Times New Roman" w:hAnsi="Palatino Linotype" w:cs="Arial"/>
          <w:b/>
          <w:bCs/>
          <w:lang w:eastAsia="es-ES"/>
        </w:rPr>
        <w:t>FUEROS</w:t>
      </w:r>
    </w:p>
    <w:p w14:paraId="23EDE7B6" w14:textId="77777777" w:rsidR="00FE4941" w:rsidRPr="00D66245" w:rsidRDefault="00FE4941" w:rsidP="00F53211">
      <w:pPr>
        <w:shd w:val="clear" w:color="auto" w:fill="FFFFFF"/>
        <w:spacing w:before="120" w:after="200" w:line="300" w:lineRule="atLeast"/>
        <w:jc w:val="both"/>
        <w:rPr>
          <w:rFonts w:ascii="Palatino Linotype" w:eastAsia="Times New Roman" w:hAnsi="Palatino Linotype" w:cs="Arial"/>
          <w:b/>
          <w:bCs/>
          <w:lang w:eastAsia="es-ES"/>
        </w:rPr>
      </w:pPr>
      <w:r w:rsidRPr="00D66245">
        <w:rPr>
          <w:rFonts w:ascii="Palatino Linotype" w:eastAsia="Times New Roman" w:hAnsi="Palatino Linotype" w:cs="Arial"/>
          <w:b/>
          <w:bCs/>
          <w:lang w:eastAsia="es-ES"/>
        </w:rPr>
        <w:t>FUERO POR MATERNIDAD:</w:t>
      </w:r>
    </w:p>
    <w:p w14:paraId="1DD14068" w14:textId="77777777" w:rsidR="00FE4941" w:rsidRPr="00D66245" w:rsidRDefault="00FE4941"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2018-001968</w:t>
      </w:r>
    </w:p>
    <w:p w14:paraId="7FA08AC1" w14:textId="77777777" w:rsidR="00FE4941" w:rsidRPr="00D66245" w:rsidRDefault="00FE4941" w:rsidP="00F53211">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diez horas cincuenta minutos del doce de diciembre de dos mil dieciocho.</w:t>
      </w:r>
    </w:p>
    <w:p w14:paraId="4CF7F810" w14:textId="0488FFA3" w:rsidR="00FE4941" w:rsidRPr="00D66245" w:rsidRDefault="00E21891" w:rsidP="00F53211">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w:t>
      </w:r>
      <w:r w:rsidR="00FE4941" w:rsidRPr="00D66245">
        <w:rPr>
          <w:rFonts w:ascii="Palatino Linotype" w:eastAsia="Times New Roman" w:hAnsi="Palatino Linotype" w:cs="Arial"/>
          <w:b/>
          <w:bCs/>
          <w:i/>
          <w:lang w:eastAsia="es-ES"/>
        </w:rPr>
        <w:t>IV.- RECURSO POR EL FONDO:</w:t>
      </w:r>
      <w:r w:rsidR="00FE4941" w:rsidRPr="00D66245">
        <w:rPr>
          <w:rFonts w:ascii="Palatino Linotype" w:eastAsia="Times New Roman" w:hAnsi="Palatino Linotype" w:cs="Arial"/>
          <w:i/>
          <w:lang w:eastAsia="es-ES"/>
        </w:rPr>
        <w:t> De conformidad con el artículo 590 del Código de Trabajo, en el recurso deben indicarse las razones claras y precisas que ameritan la revocatoria del pronunciamiento. Desde luego que esas razones deben estar dirigidas a atacar el fundamento jurídico del fallo. En este asunto, el apoderado de la demandada alega que la actora suscribió un contrato a plazo regido por el artículo 31 del Código de Trabajo, por lo que respecto de tal contratación no es aplicable la protección del fuero por embarazo, por cuanto la terminación no es propiamente por despido, sino por vencimiento del plazo pactado. También refirió que el estado de gestación de la accionante se conoció cuando estaba próximo a vencer el contrato suscrito. La discusión en el caso concreto se centra en si la aplicación de los artículos 94 y 94 bis ídem fue correcta. La Constitución Política dedica el Título V a la tutela y protección de los derechos y garantías sociales. En el Capítulo Único de ese Título, está el ordinal 51 que instituye a la familia como elemento natural y fundamento esencial de la sociedad, estableciéndole un derecho de protección especial por parte del Estado, el cual se hace extensivo expresamente, a la madre, al niño, al anciano y al enfermo desvalido. La denominada Ley de Promoción de la Igualdad Social de la Mujer, número 7142 del 8 de marzo de 1990 (publicada en La Gaceta n.° 59, del 26 de marzo de ese año), que desarrolla en parte el numeral 51 constitucional y la Convención Interamericana para prevenir, sancionar y erradicar la violencia contra la mujer “Convención Belem do Pará”, mediante el numeral 32, reformó, entre otros, el artículo 94 del Código de Trabajo e introdujo el numeral 94 bis, estableciendo aquella protección especial para las trabajadoras embarazadas o en período de lactancia. Ese artículo 94, establece la prohibición para el empleador de despedir a las trabajadoras embarazadas o en período de lactancia, salvo el caso de la comisión de una falta grave, respecto de los deberes originados en el contrato de trabajo, según el numeral 81 ídem. Dicha norma establece: “</w:t>
      </w:r>
      <w:r w:rsidR="00FE4941" w:rsidRPr="00D66245">
        <w:rPr>
          <w:rFonts w:ascii="Palatino Linotype" w:eastAsia="Times New Roman" w:hAnsi="Palatino Linotype" w:cs="Arial"/>
          <w:i/>
          <w:iCs/>
          <w:lang w:eastAsia="es-ES"/>
        </w:rPr>
        <w:t>Queda prohibido a los patronos despedir a las trabajadoras que estuvieren en estado de embarazo o en período de lactancia, salvo por causa justificada originada en falta grave a los deberes derivados del contrato conforme con las causales establecidas en el artículo 81. En este caso, el patrono deberá gestionar el despido ante la Dirección Nacional y la Inspección General del Trabajo, para lo cual deberá comprobar la falta.</w:t>
      </w:r>
      <w:r w:rsidR="00FE4941" w:rsidRPr="00D66245">
        <w:rPr>
          <w:rFonts w:ascii="Palatino Linotype" w:eastAsia="Times New Roman" w:hAnsi="Palatino Linotype" w:cs="Arial"/>
          <w:i/>
          <w:lang w:eastAsia="es-ES"/>
        </w:rPr>
        <w:t> </w:t>
      </w:r>
      <w:r w:rsidR="00FE4941" w:rsidRPr="00D66245">
        <w:rPr>
          <w:rFonts w:ascii="Palatino Linotype" w:eastAsia="Times New Roman" w:hAnsi="Palatino Linotype" w:cs="Arial"/>
          <w:i/>
          <w:iCs/>
          <w:lang w:eastAsia="es-ES"/>
        </w:rPr>
        <w:t>Excepcionalmente, la Dirección podrá ordenar la suspensión de la trabajadora, mientras se resuelve la gestión de despido. / Para gozar de la protección que aquí se establece, la trabajadora, deberá darle aviso de su estado al empleador, y aportar certificación médica o constancia de la Caja Costarricense de Seguro Social</w:t>
      </w:r>
      <w:r w:rsidR="00FE4941" w:rsidRPr="00D66245">
        <w:rPr>
          <w:rFonts w:ascii="Palatino Linotype" w:eastAsia="Times New Roman" w:hAnsi="Palatino Linotype" w:cs="Arial"/>
          <w:i/>
          <w:lang w:eastAsia="es-ES"/>
        </w:rPr>
        <w:t>”. Por su parte, el 94 bis ídem -introducido también por dicha reforma-, establece el derecho de la trabajadora despedida en contra de lo regulado en el 94 anterior, a ser reinstalada con el pleno goce de todos sus derechos en el puesto que desempeñaba, así: “</w:t>
      </w:r>
      <w:r w:rsidR="00FE4941" w:rsidRPr="00D66245">
        <w:rPr>
          <w:rFonts w:ascii="Palatino Linotype" w:eastAsia="Times New Roman" w:hAnsi="Palatino Linotype" w:cs="Arial"/>
          <w:i/>
          <w:iCs/>
          <w:lang w:eastAsia="es-ES"/>
        </w:rPr>
        <w:t>La trabajadora embarazada o en período de lactancia, que fuera despedida en contravención con lo dispuesto en el artículo anterior, podrá gestionar ante el juzgado de trabajo su reinstalación inmediata, con pleno goce de todos sus derechos, mediante el procedimiento establecido en el título décimo de este Código. / La trabajadora podrá optar por la reinstalación, en cuyo caso el empleador o la empleadora deberán pagarle, además de la indemnización a que tenga derecho y en concepto de daños y perjuicios, las sumas correspondientes al subsidio de pre y post parto, y los salarios que hubiera dejado de percibir desde el momento del despido, hasta completar ocho meses de embarazo. / Si se tratara de una trabajadora en período de lactancia tendrá derecho, además de la cesantía y en concepto de daños y perjuicios, a diez días de salario</w:t>
      </w:r>
      <w:r w:rsidR="00FE4941" w:rsidRPr="00D66245">
        <w:rPr>
          <w:rFonts w:ascii="Palatino Linotype" w:eastAsia="Times New Roman" w:hAnsi="Palatino Linotype" w:cs="Arial"/>
          <w:i/>
          <w:lang w:eastAsia="es-ES"/>
        </w:rPr>
        <w:t>”. Esa legislación interpretada conforme con las normas constitucionales y de Derecho Internacional ratificadas por Costa Rica, responde a la voluntad del legislador de brindar especial protección a la trabajadora en estado de embarazo o en período de lactancia, cuyo propósito es la erradicación de aquellas prácticas discriminatorias que las ha afectado históricamente en muchos ámbitos, particularmente en el laboral, con vulneración de sus derechos como persona y que por ser tal, le deben ser reconocidos sin distingo alguno. La interpretación de la parte accionada en cuanto a que los numerales 94 y 94 bis citados, son inaplicables al caso, porque el contrato de la actora fue uno a plazo o tiempo determinado, no es atendible. No es cierto que a la demandante se le haya cesado por haber expirado el plazo de su contrato de trabajo “por tiempo determinado”. En el asunto concreto, no puede concluirse que el contrato de trabajo por ella suscrito (visible a imagen 58 del expediente del juzgado en formato PDF), sea en esencia de tal naturaleza, pues la parte empleadora no ha acreditado de forma fehaciente las circunstancias excepcionales que justifiquen ese tipo de contratación. En la carta constante en imagen 13 del expediente del juzgado en formato PDF, se comunicó a la actora la finalización del contrato a plazo con fecha de vencimiento 29 de diciembre de 2017. En el informe, la accionada dijo que el contrato era a plazo fijo y que en la empresa ese tipo de contrato “</w:t>
      </w:r>
      <w:r w:rsidR="00FE4941" w:rsidRPr="00D66245">
        <w:rPr>
          <w:rFonts w:ascii="Palatino Linotype" w:eastAsia="Times New Roman" w:hAnsi="Palatino Linotype" w:cs="Arial"/>
          <w:i/>
          <w:iCs/>
          <w:lang w:eastAsia="es-ES"/>
        </w:rPr>
        <w:t>…es frecuente porque la finca depende de la producción de piña y hay épocas en que hay más fruta y se requieren más trabajadores (…) además la actora faltaba mucho a su trabajo ya que pidió permiso los días 5, 10, 12, 16, 17 y 19 de diciembre…</w:t>
      </w:r>
      <w:r w:rsidR="00FE4941" w:rsidRPr="00D66245">
        <w:rPr>
          <w:rFonts w:ascii="Palatino Linotype" w:eastAsia="Times New Roman" w:hAnsi="Palatino Linotype" w:cs="Arial"/>
          <w:i/>
          <w:lang w:eastAsia="es-ES"/>
        </w:rPr>
        <w:t>”. Refirió que en la planta donde trabajaba la accionante se labora en equipos compuestos por un número fijo de trabajadores y cuando uno falta, el equipo queda desarticulado, con lo que se atrasa el trabajo y por ende el empaque, lo que perjudica doblemente a la empresa, primero porque al ser una labor especializada no es fácil conseguir un sustituto y porque se extiende la jornada de los demás trabajadores debido al recargo por la ausencia de la actora. Alegó ser esa la causa objetiva por la cual se terminó el contrato y no el embarazo alegado, el cual ignoraba la empresa. El artículo 25 del Código de Trabajo dispone que la prueba plena del contrato escrito solo podrá hacerse con el respectivo documento y su falta se imputará al empleador. Si bien en este asunto esa prueba se aportó, en ella no consta lo dicho por la accionada al contestar la demanda, referente a los motivos que justificaban la contratación temporal. En ese sentido, no se hizo referencia a alguna necesidad específica por el término contratado relacionada con la producción. Por su parte, el numeral 26 ídem establece: “ </w:t>
      </w:r>
      <w:r w:rsidR="00FE4941" w:rsidRPr="00D66245">
        <w:rPr>
          <w:rFonts w:ascii="Palatino Linotype" w:eastAsia="Times New Roman" w:hAnsi="Palatino Linotype" w:cs="Arial"/>
          <w:i/>
          <w:iCs/>
          <w:lang w:eastAsia="es-ES"/>
        </w:rPr>
        <w:t>El contrato de trabajo sólo podrá estipularse por tiempo determinado en aquellos casos en que su celebración resulte de la naturaleza del servicio que se va a prestar. Si vencido su término subsisten las causas que le dieron origen y la materia del trabajo, se tendrá como contrato por tiempo indefinido, </w:t>
      </w:r>
      <w:r w:rsidR="00FE4941" w:rsidRPr="00D66245">
        <w:rPr>
          <w:rFonts w:ascii="Palatino Linotype" w:eastAsia="Times New Roman" w:hAnsi="Palatino Linotype" w:cs="Arial"/>
          <w:b/>
          <w:bCs/>
          <w:i/>
          <w:iCs/>
          <w:lang w:eastAsia="es-ES"/>
        </w:rPr>
        <w:t>en cuanto beneficie al trabajador</w:t>
      </w:r>
      <w:r w:rsidR="00FE4941" w:rsidRPr="00D66245">
        <w:rPr>
          <w:rFonts w:ascii="Palatino Linotype" w:eastAsia="Times New Roman" w:hAnsi="Palatino Linotype" w:cs="Arial"/>
          <w:i/>
          <w:iCs/>
          <w:lang w:eastAsia="es-ES"/>
        </w:rPr>
        <w:t>, aquél en que es permanente la naturaleza de los trabajos</w:t>
      </w:r>
      <w:r w:rsidR="00FE4941" w:rsidRPr="00D66245">
        <w:rPr>
          <w:rFonts w:ascii="Palatino Linotype" w:eastAsia="Times New Roman" w:hAnsi="Palatino Linotype" w:cs="Arial"/>
          <w:i/>
          <w:lang w:eastAsia="es-ES"/>
        </w:rPr>
        <w:t>” (la negrita es del redactor). Este caso gira en torno al cese de una trabajadora en estado de gestación, de ahí la necesidad de aplicar el principio protector en su manifestación de la condición más beneficiosa para la persona trabajadora, según el citado artículo 26 del Código de Trabajo. Los testigos ofrecidos por las partes fueron contestes en que la demandante se desempeñaba en el área de empaque y selección de piña (en esta última, cuando los representantes patronales se impusieron de su estado de gravidez), y que si bien existen picos de producción los puestos desempeñados por la actora en la empresa eran estables, porque siempre hay producción de piña. Esas funciones específicas encomendadas a la accionante llevan a concluir que la actividad por ella ejecutada no es de naturaleza excepcional, sino del giro normal de la empresa empleadora y no se demostró que su contratación estuviera ligada a picos de producción por circunstancias especiales determinadas. Incluso la misma demandada reconoció que por las labores que desempeñaba era difícil de sustituir en sus ausencias. La parte accionada intentó eludir su responsabilidad, escudándose en una supuesta contratación a plazo fijo o por tiempo determinado y en la presunta temporalidad de las actividades encomendadas, sin contar con un supuesto real, que justificara esa limitación de la contratación en el tiempo. Lo enunciado lleva a concluir que la relación laboral entre la parte actora y la accionada fue por tiempo indefinido y no a plazo o tiempo determinado, motivo por el cual no es cierto que su contrato se rigiera por el artículo 31 del Código de Trabajo, y que no le sea aplicable la protección regulada en la legislación laboral. Esa protección especial codificada en los artículos 94, 94 bis y 95 del Código de Trabajo, así como el proceso especial regulado en los ordinales 540 y 541 de la reforma procesal laboral, garantizan la protección especial y prohibición de despedir a una trabajadora que se encuentre en estado de gravidez, salvo por causa justificada originada en falta grave a los deberes derivados del contrato conforme con las causales establecidas en el artículo 81, supuesto en el cual la empleadora de previo debe gestionar el despido ante la Dirección Nacional e Inspección General del Trabajo, donde debe comprobar la existencia de una falta grave para que se le autorice el despido. En este asunto, está comprobado que la accionada omitió seguir el procedimiento establecido por el legislador para despedir a una trabajadora embarazada, con lo cual el despido ordenado resulta nulo, por violación a su fuero de protección, de los procedimientos a que tenía derecho, así como de las formalidades o autorizaciones especialmente previstas para ser afectada.</w:t>
      </w:r>
      <w:r w:rsidRPr="00D66245">
        <w:rPr>
          <w:rFonts w:ascii="Palatino Linotype" w:eastAsia="Times New Roman" w:hAnsi="Palatino Linotype" w:cs="Arial"/>
          <w:i/>
          <w:lang w:eastAsia="es-ES"/>
        </w:rPr>
        <w:t>”</w:t>
      </w:r>
    </w:p>
    <w:p w14:paraId="3AED7DB0" w14:textId="77777777" w:rsidR="00FE4941" w:rsidRPr="00D66245" w:rsidRDefault="00FE4941"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2018-002040</w:t>
      </w:r>
    </w:p>
    <w:p w14:paraId="43FB92BE" w14:textId="77777777" w:rsidR="00FE4941" w:rsidRPr="00D66245" w:rsidRDefault="00FE4941" w:rsidP="00F53211">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doce horas treinta y cinco minutos del veintiuno de diciembre de dos mil dieciocho.</w:t>
      </w:r>
    </w:p>
    <w:p w14:paraId="253959A4" w14:textId="4651312F" w:rsidR="00FE4941" w:rsidRPr="00D66245" w:rsidRDefault="00E21891" w:rsidP="00F53211">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w:t>
      </w:r>
      <w:r w:rsidR="00FE4941" w:rsidRPr="00D66245">
        <w:rPr>
          <w:rFonts w:ascii="Palatino Linotype" w:eastAsia="Times New Roman" w:hAnsi="Palatino Linotype" w:cs="Arial"/>
          <w:b/>
          <w:bCs/>
          <w:i/>
          <w:lang w:eastAsia="es-ES"/>
        </w:rPr>
        <w:t>III.- RÉGIMEN DE PROTECCIÓN A FAVOR DE LAS TRABAJADORAS EMBARAZADAS Y EN PERÍODO DE LACTANCIA. </w:t>
      </w:r>
      <w:r w:rsidR="00FE4941" w:rsidRPr="00D66245">
        <w:rPr>
          <w:rFonts w:ascii="Palatino Linotype" w:eastAsia="Times New Roman" w:hAnsi="Palatino Linotype" w:cs="Arial"/>
          <w:i/>
          <w:lang w:eastAsia="es-ES"/>
        </w:rPr>
        <w:t>La Constitución Política dedica el Título V a la tutela y protección de los derechos y garantías sociales. El artículo 51 consagra a la familia como el elemento natural y fundamento esencial de la sociedad, estableciéndole un derecho de protección especial por parte del Estado, derecho que, expresamente, se hace extensivo a la madre, a la niñez, a las personas adultas mayores y a aquellas enfermas desvalidas. Por su parte, el artículo 71 establece que las leyes deben dar una protección especial a las mujeres y a las personas menores de edad en su trabajo. La denominada Ley de Promoción de la Igualdad Social de la Mujer, n.° 7142 de 2 de marzo de 1990, vino a desarrollar, en parte, estos numerales constitucionales, así como las disposiciones contempladas en la Convención sobre la Eliminación de todas las formas de Discriminación contra la Mujer (ratificada por nuestro país mediante Ley n.° 6968 de 2 de octubre de 1984). Esta Ley, a través de su numeral 32, reformó, entre otros, el artículo 94 del Código de Trabajo e introdujo el numeral 94 bis. El primero de estos artículos impone una prohibición a los patronos para despedir a las trabajadoras que se encuentren en estado de embarazo o en período de lactancia. La excepción que establece para ello, es que exista una causa justificada para proceder con el despido que se origine en una falta grave a los deberes derivados del contrato de trabajo, para lo cual, debe realizar la respectiva gestión ante el Ministerio de Trabajo y Seguridad Social con el fin de comprobar la falta. Así, de acuerdo con el artículo 94 bis, en caso de que se dé el despido sin seguir el procedimiento establecido, la trabajadora puede solicitar la reinstalación inmediata con el pleno goce de sus derechos. Esto es acorde con lo dispuesto en la Ley de Fomento de la Lactancia Materna, n.° 7430 del 14/09/1994, cuyo objetivo definido en el artículo 1 es fomentar la nutrición segura ysuficiente para los lactantes, mediante la educación de la familia y la protección de la lactancia materna. De esta forma, se establece un régimen de protección a favor de las trabajadoras embarazadas y en período de lactancia, que se deriva de la normativa nacional ya mencionada, así como de diversos instrumentos internacionales aprobados por el país. Entre tales normas, no se puede dejar de mencionar el Convenio 102, sobre la seguridad social (norma mínima), de 1952, así como la Convención Interamericana para prevenir, sancionar y erradicar la violencia contra la mujer, conocida como la "</w:t>
      </w:r>
      <w:r w:rsidR="00FE4941" w:rsidRPr="00D66245">
        <w:rPr>
          <w:rFonts w:ascii="Palatino Linotype" w:eastAsia="Times New Roman" w:hAnsi="Palatino Linotype" w:cs="Arial"/>
          <w:i/>
          <w:iCs/>
          <w:lang w:eastAsia="es-ES"/>
        </w:rPr>
        <w:t>Convención Belém do Pará"</w:t>
      </w:r>
      <w:r w:rsidR="00FE4941" w:rsidRPr="00D66245">
        <w:rPr>
          <w:rFonts w:ascii="Palatino Linotype" w:eastAsia="Times New Roman" w:hAnsi="Palatino Linotype" w:cs="Arial"/>
          <w:i/>
          <w:lang w:eastAsia="es-ES"/>
        </w:rPr>
        <w:t>, adoptada por la Organización de Estados Americanos el 9 de junio de 1994. Lo que se busca con esta normativa, es precisamente proteger a las trabajadoras de despidos discriminatorios en su contra, en primer lugar por su condición de mujeres y en segundo lugar, por encontrarse en estado de embarazo o en período de lactancia. A mayor abundamiento, es necesario agregar que el cuerpo de normas indicado responde, primordialmente, a las exigencias de salud y bienestar de las madres y de la niñez, que han seguido los parámetros biológicos establecidos por las organizaciones encargadas de velar por la salud. Sobre este aspecto la Sala Constitucional, mediante el voto 635-2011 de las 08:39 horas del 21 de enero del 2011, se pronunció indicando lo siguiente: “(…) </w:t>
      </w:r>
      <w:r w:rsidR="00FE4941" w:rsidRPr="00D66245">
        <w:rPr>
          <w:rFonts w:ascii="Palatino Linotype" w:eastAsia="Times New Roman" w:hAnsi="Palatino Linotype" w:cs="Arial"/>
          <w:b/>
          <w:bCs/>
          <w:i/>
          <w:iCs/>
          <w:lang w:eastAsia="es-ES"/>
        </w:rPr>
        <w:t>IV.- SOBRE LA LACTANCIA MATERNA.</w:t>
      </w:r>
      <w:r w:rsidR="00FE4941" w:rsidRPr="00D66245">
        <w:rPr>
          <w:rFonts w:ascii="Palatino Linotype" w:eastAsia="Times New Roman" w:hAnsi="Palatino Linotype" w:cs="Arial"/>
          <w:i/>
          <w:iCs/>
          <w:lang w:eastAsia="es-ES"/>
        </w:rPr>
        <w:t> La Organización Mundial de la Salud y el Fondo de las Naciones Unidas para la Infancia o UNICEF (United Nations Children's Fund) recomiendan vivamente la lactancia materna, por ser una de las formas más eficaces de asegurar la supervivencia infantil y de garantizar a los niños un crecimiento y desarrollo saludables. En el caso particular de la Organización Mundial de la Salud, en su sitio web oficial se puede encontrar profusa información sobre el tema [ver, por ejem</w:t>
      </w:r>
      <w:r w:rsidR="00311FAA" w:rsidRPr="00D66245">
        <w:rPr>
          <w:rFonts w:ascii="Palatino Linotype" w:eastAsia="Times New Roman" w:hAnsi="Palatino Linotype" w:cs="Arial"/>
          <w:i/>
          <w:iCs/>
          <w:lang w:eastAsia="es-ES"/>
        </w:rPr>
        <w:t>.</w:t>
      </w:r>
      <w:r w:rsidR="00214F2D">
        <w:rPr>
          <w:rFonts w:ascii="Palatino Linotype" w:eastAsia="Times New Roman" w:hAnsi="Palatino Linotype" w:cs="Arial"/>
          <w:i/>
          <w:iCs/>
          <w:lang w:eastAsia="es-ES"/>
        </w:rPr>
        <w:t xml:space="preserve"> </w:t>
      </w:r>
      <w:r w:rsidR="00214F2D" w:rsidRPr="00D66245">
        <w:rPr>
          <w:rFonts w:ascii="Palatino Linotype" w:eastAsia="Times New Roman" w:hAnsi="Palatino Linotype" w:cs="Arial"/>
          <w:i/>
          <w:iCs/>
          <w:lang w:eastAsia="es-ES"/>
        </w:rPr>
        <w:t>http://www.who.int/features/factfiles/breastfeeding/es/index.html</w:t>
      </w:r>
      <w:r w:rsidR="00FE4941" w:rsidRPr="00D66245">
        <w:rPr>
          <w:rFonts w:ascii="Palatino Linotype" w:eastAsia="Times New Roman" w:hAnsi="Palatino Linotype" w:cs="Arial"/>
          <w:i/>
          <w:iCs/>
          <w:lang w:eastAsia="es-ES"/>
        </w:rPr>
        <w:t>(12/10/2010),http://www.who.int/mediacentre/factsheets/fs342/es/(12/10/2010) yhttp:// </w:t>
      </w:r>
      <w:hyperlink r:id="rId60" w:history="1">
        <w:r w:rsidR="00FE4941" w:rsidRPr="00D66245">
          <w:rPr>
            <w:rFonts w:ascii="Palatino Linotype" w:eastAsia="Times New Roman" w:hAnsi="Palatino Linotype" w:cs="Arial"/>
            <w:i/>
            <w:iCs/>
            <w:u w:val="single"/>
            <w:lang w:eastAsia="es-ES"/>
          </w:rPr>
          <w:t>www.who.int/child_adolescent_health/topics/prevention_care/child/nutrition/breastfeeding/es/index.html</w:t>
        </w:r>
      </w:hyperlink>
      <w:r w:rsidR="00FE4941" w:rsidRPr="00D66245">
        <w:rPr>
          <w:rFonts w:ascii="Palatino Linotype" w:eastAsia="Times New Roman" w:hAnsi="Palatino Linotype" w:cs="Arial"/>
          <w:i/>
          <w:iCs/>
          <w:lang w:eastAsia="es-ES"/>
        </w:rPr>
        <w:t>(12/10/2010)], en el sentido que la leche materna es el alimento ideal para los recién nacidos y lactantes, pues es inocua, les aporta todos los nutrientes que necesitan para un desarrollo sano, y contiene anticuerpos que ayudan a protegen </w:t>
      </w:r>
      <w:r w:rsidR="00FE4941" w:rsidRPr="00D66245">
        <w:rPr>
          <w:rFonts w:ascii="Palatino Linotype" w:eastAsia="Times New Roman" w:hAnsi="Palatino Linotype" w:cs="Arial"/>
          <w:i/>
          <w:lang w:eastAsia="es-ES"/>
        </w:rPr>
        <w:t>(sic)</w:t>
      </w:r>
      <w:r w:rsidR="00FE4941" w:rsidRPr="00D66245">
        <w:rPr>
          <w:rFonts w:ascii="Palatino Linotype" w:eastAsia="Times New Roman" w:hAnsi="Palatino Linotype" w:cs="Arial"/>
          <w:i/>
          <w:iCs/>
          <w:lang w:eastAsia="es-ES"/>
        </w:rPr>
        <w:t> al infante contra enfermedades frecuentes como la diarrea y la neumonía. La leche materna, que es el primer alimento natural de los niños, proporciona toda la energía y los nutrientes que necesitan durante sus primeros meses de vida y sigue aportándoles al menos la mitad de sus necesidades nutricionales durante la segunda mitad del primer año y hasta un tercio durante el segundo año de vida. La leche materna promueve el desarrollo sensorial y cognitivo de los bebés y los protege de enfermedades infecciosas y crónicas. La lactancia materna también contribuye a que el niño mantenga una buena salud durante el resto de su vida, ya que los adultos que de pequeños tuvieron acceso a la lactancia materna suelen tener una tensión arterial más baja, menos colesterol y menores tasas de sobrepeso, obesidad y diabetes de tipo 2. También beneficia a la madre, pues la lactancia materna reduce el riesgo de cáncer de mama y ovario en fases posteriores de la vida, ayuda a la madre a recuperar más rápidamente su peso anterior al embarazo y reduce las tasas de obesidad. Así las cosas, </w:t>
      </w:r>
      <w:r w:rsidR="00FE4941" w:rsidRPr="00D66245">
        <w:rPr>
          <w:rFonts w:ascii="Palatino Linotype" w:eastAsia="Times New Roman" w:hAnsi="Palatino Linotype" w:cs="Arial"/>
          <w:b/>
          <w:bCs/>
          <w:i/>
          <w:iCs/>
          <w:lang w:eastAsia="es-ES"/>
        </w:rPr>
        <w:t>la Organización Mundial de la Salud afirma, de forma contundente, que la lactancia materna reduce la morbilidad y mortalidad infantil, mejora el desarrollo general del niño, y tiene beneficios sanitarios que llegan hasta la edad adulta, por lo que para el conjunto de la población se recomienda la lactancia materna exclusiva durante los primeros 6 meses de vida y a partir de entonces su refuerzo con alimentos complementarios al menos hasta los 2 años”</w:t>
      </w:r>
      <w:r w:rsidR="00FE4941" w:rsidRPr="00D66245">
        <w:rPr>
          <w:rFonts w:ascii="Palatino Linotype" w:eastAsia="Times New Roman" w:hAnsi="Palatino Linotype" w:cs="Arial"/>
          <w:i/>
          <w:iCs/>
          <w:lang w:eastAsia="es-ES"/>
        </w:rPr>
        <w:t> </w:t>
      </w:r>
      <w:r w:rsidR="00FE4941" w:rsidRPr="00D66245">
        <w:rPr>
          <w:rFonts w:ascii="Palatino Linotype" w:eastAsia="Times New Roman" w:hAnsi="Palatino Linotype" w:cs="Arial"/>
          <w:i/>
          <w:lang w:eastAsia="es-ES"/>
        </w:rPr>
        <w:t>(el énfasis es suplido). En este mismo sentido, el Ministerio de Salud, mediante la Comisión Nacional de Lactancia Materna, aprobó la Política Pública de Lactancia Materna mediante la cual se establece que: “(…) </w:t>
      </w:r>
      <w:r w:rsidR="00FE4941" w:rsidRPr="00D66245">
        <w:rPr>
          <w:rFonts w:ascii="Palatino Linotype" w:eastAsia="Times New Roman" w:hAnsi="Palatino Linotype" w:cs="Arial"/>
          <w:i/>
          <w:iCs/>
          <w:lang w:eastAsia="es-ES"/>
        </w:rPr>
        <w:t>el amamantamiento es la norma biológica que debe orientar la alimentación del niño y de la niña, por lo que las instituciones públicas y privadas prestadoras de servicios a la niñez, deben garantizar las condiciones necesarias para que este grupo poblacional sea alimentado </w:t>
      </w:r>
      <w:r w:rsidR="00FE4941" w:rsidRPr="00D66245">
        <w:rPr>
          <w:rFonts w:ascii="Palatino Linotype" w:eastAsia="Times New Roman" w:hAnsi="Palatino Linotype" w:cs="Arial"/>
          <w:b/>
          <w:bCs/>
          <w:i/>
          <w:iCs/>
          <w:lang w:eastAsia="es-ES"/>
        </w:rPr>
        <w:t>con lactancia materna, de manera exclusiva hasta los seis meses de edad y de forma complementaria hasta los dos años o más</w:t>
      </w:r>
      <w:r w:rsidR="00FE4941" w:rsidRPr="00D66245">
        <w:rPr>
          <w:rFonts w:ascii="Palatino Linotype" w:eastAsia="Times New Roman" w:hAnsi="Palatino Linotype" w:cs="Arial"/>
          <w:i/>
          <w:iCs/>
          <w:lang w:eastAsia="es-ES"/>
        </w:rPr>
        <w:t>, con alimentos saludables, autóctonos y producidos en su comunidad (…)” </w:t>
      </w:r>
      <w:r w:rsidR="00FE4941" w:rsidRPr="00D66245">
        <w:rPr>
          <w:rFonts w:ascii="Palatino Linotype" w:eastAsia="Times New Roman" w:hAnsi="Palatino Linotype" w:cs="Arial"/>
          <w:i/>
          <w:lang w:eastAsia="es-ES"/>
        </w:rPr>
        <w:t>(el énfasis es suplido) (DM 8514-2008 del 03 octubre 2008). La anterior consideración sobre el plazo recomendado para el amamantamiento, ya se encontraba previsto en la legislación nacional, mediante la Ley de Fomento de la Lactancia Materna, cuya vigencia data desde el 21 de octubre de 1994. El legislador fijó como objetivo para la promulgación de esta norma, el </w:t>
      </w:r>
      <w:r w:rsidR="00FE4941" w:rsidRPr="00D66245">
        <w:rPr>
          <w:rFonts w:ascii="Palatino Linotype" w:eastAsia="Times New Roman" w:hAnsi="Palatino Linotype" w:cs="Arial"/>
          <w:i/>
          <w:iCs/>
          <w:lang w:eastAsia="es-ES"/>
        </w:rPr>
        <w:t>“(…) fomentar la nutrición segura y suficiente para los lactantes (…)” </w:t>
      </w:r>
      <w:r w:rsidR="00FE4941" w:rsidRPr="00D66245">
        <w:rPr>
          <w:rFonts w:ascii="Palatino Linotype" w:eastAsia="Times New Roman" w:hAnsi="Palatino Linotype" w:cs="Arial"/>
          <w:i/>
          <w:lang w:eastAsia="es-ES"/>
        </w:rPr>
        <w:t>(Artículo 1)</w:t>
      </w:r>
      <w:r w:rsidR="00FE4941" w:rsidRPr="00D66245">
        <w:rPr>
          <w:rFonts w:ascii="Palatino Linotype" w:eastAsia="Times New Roman" w:hAnsi="Palatino Linotype" w:cs="Arial"/>
          <w:i/>
          <w:iCs/>
          <w:lang w:eastAsia="es-ES"/>
        </w:rPr>
        <w:t>; </w:t>
      </w:r>
      <w:r w:rsidR="00FE4941" w:rsidRPr="00D66245">
        <w:rPr>
          <w:rFonts w:ascii="Palatino Linotype" w:eastAsia="Times New Roman" w:hAnsi="Palatino Linotype" w:cs="Arial"/>
          <w:i/>
          <w:lang w:eastAsia="es-ES"/>
        </w:rPr>
        <w:t>y su vez, definió a los lactantes como el “(…) </w:t>
      </w:r>
      <w:r w:rsidR="00FE4941" w:rsidRPr="00D66245">
        <w:rPr>
          <w:rFonts w:ascii="Palatino Linotype" w:eastAsia="Times New Roman" w:hAnsi="Palatino Linotype" w:cs="Arial"/>
          <w:i/>
          <w:iCs/>
          <w:lang w:eastAsia="es-ES"/>
        </w:rPr>
        <w:t>niño hasta la edad de doce meses cumplidos (…)” </w:t>
      </w:r>
      <w:r w:rsidR="00FE4941" w:rsidRPr="00D66245">
        <w:rPr>
          <w:rFonts w:ascii="Palatino Linotype" w:eastAsia="Times New Roman" w:hAnsi="Palatino Linotype" w:cs="Arial"/>
          <w:i/>
          <w:lang w:eastAsia="es-ES"/>
        </w:rPr>
        <w:t>(Artículo 2) </w:t>
      </w:r>
      <w:r w:rsidR="00FE4941" w:rsidRPr="00D66245">
        <w:rPr>
          <w:rFonts w:ascii="Palatino Linotype" w:eastAsia="Times New Roman" w:hAnsi="Palatino Linotype" w:cs="Arial"/>
          <w:i/>
          <w:iCs/>
          <w:lang w:eastAsia="es-ES"/>
        </w:rPr>
        <w:t>.</w:t>
      </w:r>
    </w:p>
    <w:p w14:paraId="2430C185" w14:textId="77777777" w:rsidR="00FE4941" w:rsidRPr="00D66245" w:rsidRDefault="00FE4941" w:rsidP="00F53211">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IV.- SOBRE EL PERÍODO MÍNIMO DE LA LICENCIA DE LACTANCIA: </w:t>
      </w:r>
      <w:r w:rsidRPr="00D66245">
        <w:rPr>
          <w:rFonts w:ascii="Palatino Linotype" w:eastAsia="Times New Roman" w:hAnsi="Palatino Linotype" w:cs="Arial"/>
          <w:i/>
          <w:lang w:eastAsia="es-ES"/>
        </w:rPr>
        <w:t>Dentro de los ordenamientos jurídicos es común encontrar que dos o más normas establezcan para un mismo supuesto de hecho consecuencias jurídicas distintas, a veces incompatibles entre sí; la teoría general del derecho ha denominado este fenómeno como antinomia. Para solucionar conflictos entre normas se han establecido varios criterios, cuya aplicación dependerá de cada caso. Así, por ejemplo, una norma de mayor rango prevalecerá sobre otra inferior; pero cuando se trate de normas que se encuentran en el mismo nivel jerárquico, la norma posterior prevalece ante la anterior y la norma especial prima ante la general. Este último supuesto se ha denominado como “criterio de especialidad”. El caso bajo estudio nos presenta un escenario antinómico respecto al plazo mínimo para la lactancia. En este sentido, debe notarse que el artículo 95 del Código de Trabajo establece que: “</w:t>
      </w:r>
      <w:r w:rsidRPr="00D66245">
        <w:rPr>
          <w:rFonts w:ascii="Palatino Linotype" w:eastAsia="Times New Roman" w:hAnsi="Palatino Linotype" w:cs="Arial"/>
          <w:i/>
          <w:iCs/>
          <w:lang w:eastAsia="es-ES"/>
        </w:rPr>
        <w:t>La trabajadora embarazada gozará obligatoriamente de una licencia remunerada por maternidad, durante el mes anterior al parto y los tres posteriores a él (…)”; </w:t>
      </w:r>
      <w:r w:rsidRPr="00D66245">
        <w:rPr>
          <w:rFonts w:ascii="Palatino Linotype" w:eastAsia="Times New Roman" w:hAnsi="Palatino Linotype" w:cs="Arial"/>
          <w:i/>
          <w:lang w:eastAsia="es-ES"/>
        </w:rPr>
        <w:t>el precepto expresa que en estos cuatro meses confluyen dos dimensiones de la licencia, en el mes previo al parto la licencia se da en razón de la maternidad y los siguientes tres meses al parto, lo serán también, como período mínimo de lactancia. Por otro lado, como ya se ha referido, el artículo 2 de la Ley de Fomento de la Lactancia Materna, establece al lactante como el niño que requiere un mínimo de doce meses de lactancia. Es claro que el Código de Trabajo es una norma general, pues ha dispuesto regular los derechos y obligaciones de patronos y trabajadores con ocasión del trabajo (artículo 1 del Código de Trabajo), aunque también contempla aspectos que puedan considerarse particulares, como el plazo mínimo para la lactancia; empero, el legislador dispuso de una ley para regular, específicamente, la nutrición segura y suficiente para los lactantes (artículo 1 de la Ley de Fomento de la Lactancia Materna). Para la solución de este conflicto, el jurista italiano Riccardo Guastini considera , “(..) </w:t>
      </w:r>
      <w:r w:rsidRPr="00D66245">
        <w:rPr>
          <w:rFonts w:ascii="Palatino Linotype" w:eastAsia="Times New Roman" w:hAnsi="Palatino Linotype" w:cs="Arial"/>
          <w:i/>
          <w:iCs/>
          <w:lang w:eastAsia="es-ES"/>
        </w:rPr>
        <w:t>- no que una de las dos normas en conflicto sea inválida o abrogada sino- que una de ellas, y precisamente la norma más general, es simplemente derogada por la otra. La norma (relativamente) más específica constituye una excepción a aquella (relativamente) más general. Ambas son válidas y vigentes, pero la norma general no tiene aplicación (es derogada) allí donde resulta aplicable la norma particular (…)”. </w:t>
      </w:r>
      <w:r w:rsidRPr="00D66245">
        <w:rPr>
          <w:rFonts w:ascii="Palatino Linotype" w:eastAsia="Times New Roman" w:hAnsi="Palatino Linotype" w:cs="Arial"/>
          <w:i/>
          <w:lang w:eastAsia="es-ES"/>
        </w:rPr>
        <w:t>De lo anterior se colige que, en estricto apego a la solución jurídica frente a una antinomia normativa como la que nos tiene en estudio, procede la aplicación de la ley especial, sobre la general, ergo, priva el plazo establecido en el artículo 2 de la Ley de Fomento de la Lactancia Materna ante el que regula el artículo 95 del Código de Trabajo. Ahora bien, con no menos fuerza argumentativa, debe agregarse que, de la normatividad del Derecho de la Constitución se deriva la obligación de todo operador jurídico de interpretar las</w:t>
      </w:r>
      <w:r w:rsidRPr="00D66245">
        <w:rPr>
          <w:rFonts w:ascii="Palatino Linotype" w:eastAsia="Times New Roman" w:hAnsi="Palatino Linotype" w:cs="Arial"/>
          <w:b/>
          <w:bCs/>
          <w:i/>
          <w:lang w:eastAsia="es-ES"/>
        </w:rPr>
        <w:t> </w:t>
      </w:r>
      <w:r w:rsidRPr="00D66245">
        <w:rPr>
          <w:rFonts w:ascii="Palatino Linotype" w:eastAsia="Times New Roman" w:hAnsi="Palatino Linotype" w:cs="Arial"/>
          <w:i/>
          <w:lang w:eastAsia="es-ES"/>
        </w:rPr>
        <w:t>normas infraconstitucionales de la forma más favorable para la efectividad de los valores, principios y derechos fundamentales que integran el bloque constitucional. Así lo ha establecido la Sala Constitucional, cuando ha indicado que esta interpretación debe hacerse siguiendo la regla general “(…)</w:t>
      </w:r>
      <w:r w:rsidRPr="00D66245">
        <w:rPr>
          <w:rFonts w:ascii="Palatino Linotype" w:eastAsia="Times New Roman" w:hAnsi="Palatino Linotype" w:cs="Arial"/>
          <w:i/>
          <w:iCs/>
          <w:lang w:eastAsia="es-ES"/>
        </w:rPr>
        <w:t> según la cual estos </w:t>
      </w:r>
      <w:r w:rsidRPr="00D66245">
        <w:rPr>
          <w:rFonts w:ascii="Palatino Linotype" w:eastAsia="Times New Roman" w:hAnsi="Palatino Linotype" w:cs="Arial"/>
          <w:i/>
          <w:lang w:eastAsia="es-ES"/>
        </w:rPr>
        <w:t>[los derechos fundamentales] </w:t>
      </w:r>
      <w:r w:rsidRPr="00D66245">
        <w:rPr>
          <w:rFonts w:ascii="Palatino Linotype" w:eastAsia="Times New Roman" w:hAnsi="Palatino Linotype" w:cs="Arial"/>
          <w:i/>
          <w:iCs/>
          <w:lang w:eastAsia="es-ES"/>
        </w:rPr>
        <w:t>deben ser implementados acorde con el principio pro homine, el que, junto con el principio pro libertate constituyen el meollo de la doctrina de los derechos humanos y que significan que el derecho debe interpretarse y aplicarse siempre de la manera que más favorezca al ser humano (…)”</w:t>
      </w:r>
      <w:r w:rsidRPr="00D66245">
        <w:rPr>
          <w:rFonts w:ascii="Palatino Linotype" w:eastAsia="Times New Roman" w:hAnsi="Palatino Linotype" w:cs="Arial"/>
          <w:i/>
          <w:lang w:eastAsia="es-ES"/>
        </w:rPr>
        <w:t> (Voto n° 2008-8607 de las 16:58 horas del 21 de mayo de 2008). Bajo esta línea de análisis, continuando con la jurisprudencia de la Sala Constitucional, y precisamente en el voto citado primero, en tratándose de un caso similar al que nos tiene en estudio, indicó que: </w:t>
      </w:r>
      <w:r w:rsidRPr="00D66245">
        <w:rPr>
          <w:rFonts w:ascii="Palatino Linotype" w:eastAsia="Times New Roman" w:hAnsi="Palatino Linotype" w:cs="Arial"/>
          <w:i/>
          <w:iCs/>
          <w:lang w:eastAsia="es-ES"/>
        </w:rPr>
        <w:t>“(…) Para tales efectos debe tomarse en consideración, en primer lugar, que el hecho que el artículo 2 de la Ley de Fomento de la Lactancia Materna defina al lactante, para “los efectos de esta Ley”, como “el niño hasta la edad de doce meses cumplidos”, no implica –ni implícita ni explícitamente- que se imponga un tope máximo al período de lactancia en lo que se refiere propiamente al ámbito de las relaciones de trabajo, cuando lo cierto es que el propio Código de Trabajo, al regular expresamente el tema (en sus artículos 95 y 97), no establece tope alguno al período de lactancia. Por el contrario, dicha normativa lo que prevé es un período mínimo de lactancia que puede ser prorrogado de existir un criterio médico que así lo sustente (…) </w:t>
      </w:r>
      <w:r w:rsidRPr="00D66245">
        <w:rPr>
          <w:rFonts w:ascii="Palatino Linotype" w:eastAsia="Times New Roman" w:hAnsi="Palatino Linotype" w:cs="Arial"/>
          <w:i/>
          <w:lang w:eastAsia="es-ES"/>
        </w:rPr>
        <w:t>(voto 635-2011 de las 08:39 horas del 21 de enero del 2011). Incluso, este criterio fue recogido recientemente por esta Sala, mediante el voto 875 – 2018 de las 09:00 horas del 21 de junio del 2018. Desde este análisis, se debe considerar que, una vez corroborado que la madre amamanta a su hijo o hija, por aplicación de la ley especial, esta persona lactante lo será, hasta que, como mínimo, cumpla sus doce meses de edad; consecuentemente, la licencia deberá concederse a la madre por este plazo, como mínimo. De ahí que, no lleve razón el recurrente cuando indica que la accionate fue despedida nueve meses después de dar a la luz, y que por eso, no se encontraba dentro de la licencia de lactancia, la cual había finalizado seis meses atrás. Esto por cuanto, al corroborarse que la persona menor de edad nació el 10 de febrero del 2017 (imagen 91 del expediente completo del Juzgado descargado en formato PDF) el plazo mínimo de la licencia de lactancia vencía hasta el 10 de febrero del 2018.</w:t>
      </w:r>
    </w:p>
    <w:p w14:paraId="7D7CD617" w14:textId="77777777" w:rsidR="00FE4941" w:rsidRPr="00D66245" w:rsidRDefault="00FE4941" w:rsidP="00F53211">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V.- PREMISA FÁCTICA PARA LA SOLUCIÓN DEL CASO: </w:t>
      </w:r>
      <w:r w:rsidRPr="00D66245">
        <w:rPr>
          <w:rFonts w:ascii="Palatino Linotype" w:eastAsia="Times New Roman" w:hAnsi="Palatino Linotype" w:cs="Arial"/>
          <w:i/>
          <w:lang w:eastAsia="es-ES"/>
        </w:rPr>
        <w:t>La parte demandada</w:t>
      </w:r>
      <w:r w:rsidRPr="00D66245">
        <w:rPr>
          <w:rFonts w:ascii="Palatino Linotype" w:eastAsia="Times New Roman" w:hAnsi="Palatino Linotype" w:cs="Arial"/>
          <w:b/>
          <w:bCs/>
          <w:i/>
          <w:lang w:eastAsia="es-ES"/>
        </w:rPr>
        <w:t> </w:t>
      </w:r>
      <w:r w:rsidRPr="00D66245">
        <w:rPr>
          <w:rFonts w:ascii="Palatino Linotype" w:eastAsia="Times New Roman" w:hAnsi="Palatino Linotype" w:cs="Arial"/>
          <w:i/>
          <w:lang w:eastAsia="es-ES"/>
        </w:rPr>
        <w:t>discute la valoración de la prueba testimonial realizada en primera instancia; reclama que por ello no es posible tener por acreditado que la accionante le comunicó a su patrono su estado de lactancia; sin embargo, la Sala considera que, contrario a lo que estima el recurrente, este hecho ha quedado suficientemente demostrado. En primer lugar, tal y como consta en autos, existe una referencia médica de la doctora Katarina Ureña Castro, de la oficina de Lactancia Materna del Hospital William Allen en Turrialba, que está dirigida directamente a la empresa Ucaporte, demandada en el presente proceso; en dicha referencia se indica que la señora [Nombre 001] , al 28 de junio del 2017, se encontraba amamantando a su hijo, de paso se recuerda la obligación del patrono de concederle el tiempo necesario para que pueda alimentarlo. Este documento demuestra que la accionante se encontraba amamantado, aún después de haber regresado a sus labores, y que realizó la gestión necesaria para comunicar al patrono su condición. Es claro que el documento no demuestra que se lo haya informado al patrono, pero cabe preguntarse qué sentido puede tener que una madre haga toda la gestión administrativa para obtener un dictamen y que se le conceda el permiso de lactancia y que luego, no se lo muestre a su patrono, como ha venido afirmando el recurrente. Para resolver el reclamo de la parte demandada, debe considerarse que el artículo 481 del Código de Trabajo, tratando sobre la valoración de la prueba, indica que estas se deben valorar respetando, entre otras cosas, el resultado del contradictorio; además, se expresa que la apreciación deberá hacerse de forma armónica en atención al conjunto probatorio, con criterios lógicos, de la experiencia, del correcto entendimiento humano y de las presunciones humanas o legales. En este sentido, se tiene que la parte demandada no asistió a la audiencia de pruebas (ver minuta de audiencia oral en imagen 44 del expediente completo del Juzgado descargado en formato PDF), donde pudo haber controvertido la prueba testimonial que ahora viene criticando, nótese que dentro de sus agravios, el recurrente afirma que no se le puede dar credibilidad a los testigos porque son familiares de la actora y por su vínculo afectivo la favorecerán; además, a ellos no les constan los hechos pues no trabajaban para la empresa. Al respecto debe indicarse que, los argumentos del recurrente no son de recibo, pues no es un parámetro racional pensar que todas las personas familiares de las partes llegarán a mentir para favorecerles, esto, a lo sumo, puede ser una presunción, que pudo haberse confirmado o refutado, mediante el contradictorio, pues es justamente esta etapa del proceso, que permite cuestionar, repreguntar, y poner en duda lo afirmado por los testigos; sin embargo, se reitera, la parte demandada renunció tácitamente a esta posibilidad, por lo que ha dejado ayuno de elementos a las personas juzgadoras para dudar de los testigos. Mientras tanto, los testigos no reflejan alguna circunstancia especial que lleve a dudar de su dicho, además, rindieron afirmaciones importantes para la solución del caso. Nótese que la testigo Rosa María Avendaño, quien en efecto es hermana de la actora, muestra sinceridad cuando reconoce que lo que sabe es por lo que su hermana le ha comentado, no conoce a las personas de la empresa, sino solo por nombres; sin embargo, refiere un elemento relevante y que sí le ha constado, indica que: </w:t>
      </w:r>
      <w:r w:rsidRPr="00D66245">
        <w:rPr>
          <w:rFonts w:ascii="Palatino Linotype" w:eastAsia="Times New Roman" w:hAnsi="Palatino Linotype" w:cs="Arial"/>
          <w:i/>
          <w:iCs/>
          <w:lang w:eastAsia="es-ES"/>
        </w:rPr>
        <w:t>“la habían despedido estando en horas de lactancia, mi sobrino iba a cumplir ocho meses (…) por ley ella estaba lactancia pero la que administra solamente un mes le dio, nada más, una hora de entrar un poco tarde o salir temprano para que ella pudiera cumplir esa hora, pero de ahí en fuera le suspendió la lactancia”</w:t>
      </w:r>
      <w:r w:rsidRPr="00D66245">
        <w:rPr>
          <w:rFonts w:ascii="Palatino Linotype" w:eastAsia="Times New Roman" w:hAnsi="Palatino Linotype" w:cs="Arial"/>
          <w:i/>
          <w:lang w:eastAsia="es-ES"/>
        </w:rPr>
        <w:t>. Por su parte, el testigo [Nombre 003], quien es la pareja de la accionante, le reviste una característica importante para considerar su testimonio, y es que el señor Moisés laboró para la empresa demandada por aproximadamente dos años, refirió conocer a don Víctor, quien viene representando a la empresa demandada, así como al señor Oldemar Baeza, que fue la persona que comunicó el despido. En lo que interesa el testigo refirió que:</w:t>
      </w:r>
      <w:r w:rsidRPr="00D66245">
        <w:rPr>
          <w:rFonts w:ascii="Palatino Linotype" w:eastAsia="Times New Roman" w:hAnsi="Palatino Linotype" w:cs="Arial"/>
          <w:i/>
          <w:iCs/>
          <w:lang w:eastAsia="es-ES"/>
        </w:rPr>
        <w:t>”le quitaron la lactancia, o sea, duró solo un mes”. </w:t>
      </w:r>
      <w:r w:rsidRPr="00D66245">
        <w:rPr>
          <w:rFonts w:ascii="Palatino Linotype" w:eastAsia="Times New Roman" w:hAnsi="Palatino Linotype" w:cs="Arial"/>
          <w:i/>
          <w:lang w:eastAsia="es-ES"/>
        </w:rPr>
        <w:t>Cuando se le pregunta si doña Jennifer le informó al señor Baeza sobre su tiempo de lactancia, el testigo afirmó: </w:t>
      </w:r>
      <w:r w:rsidRPr="00D66245">
        <w:rPr>
          <w:rFonts w:ascii="Palatino Linotype" w:eastAsia="Times New Roman" w:hAnsi="Palatino Linotype" w:cs="Arial"/>
          <w:i/>
          <w:iCs/>
          <w:lang w:eastAsia="es-ES"/>
        </w:rPr>
        <w:t>“sí, por supuesto, y a la gente de San José, que son los principales de la empresa”.</w:t>
      </w:r>
      <w:r w:rsidRPr="00D66245">
        <w:rPr>
          <w:rFonts w:ascii="Palatino Linotype" w:eastAsia="Times New Roman" w:hAnsi="Palatino Linotype" w:cs="Arial"/>
          <w:i/>
          <w:lang w:eastAsia="es-ES"/>
        </w:rPr>
        <w:t>Tomando en cuenta lo referido respecto al valor de estos testimonios; a la luz de las afirmaciones trascritas y de la prueba documental referida, se tiene que, en efecto, la empresa demandada tuvo conocimiento del período de lactancia, tanto así que la accionante lo disfrutó por un mes; sin embargo, aún así, y en violación a la normativa expuesta </w:t>
      </w:r>
      <w:r w:rsidRPr="00D66245">
        <w:rPr>
          <w:rFonts w:ascii="Palatino Linotype" w:eastAsia="Times New Roman" w:hAnsi="Palatino Linotype" w:cs="Arial"/>
          <w:i/>
          <w:iCs/>
          <w:lang w:eastAsia="es-ES"/>
        </w:rPr>
        <w:t>supra, </w:t>
      </w:r>
      <w:r w:rsidRPr="00D66245">
        <w:rPr>
          <w:rFonts w:ascii="Palatino Linotype" w:eastAsia="Times New Roman" w:hAnsi="Palatino Linotype" w:cs="Arial"/>
          <w:i/>
          <w:lang w:eastAsia="es-ES"/>
        </w:rPr>
        <w:t>se optó por su despido cuando su hijo tenía cerca de los ochos meses de edad, vulnerando el fuero que la protegía.</w:t>
      </w:r>
    </w:p>
    <w:p w14:paraId="392E3B33" w14:textId="77777777" w:rsidR="00FE4941" w:rsidRPr="00D66245" w:rsidRDefault="00FE4941" w:rsidP="00F53211">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VI.- COROLARIO: </w:t>
      </w:r>
      <w:r w:rsidRPr="00D66245">
        <w:rPr>
          <w:rFonts w:ascii="Palatino Linotype" w:eastAsia="Times New Roman" w:hAnsi="Palatino Linotype" w:cs="Arial"/>
          <w:i/>
          <w:lang w:eastAsia="es-ES"/>
        </w:rPr>
        <w:t>De esta manera, y habiendo valorado en conjunto las pruebas del expediente, se tiene que la empresa demandada tuvo conocimiento de que, como mínimo, para el mes de junio de 2017, la accionante se encontraba en período de lactancia. Que para el momento del despido, su hijo contaba con 9 meses de edad, aproximadamente. De esta manera, con base en el plazo mínimo de 12 meses para el período de lactancia regulado por la Ley de Fomento de la Lactancia materna (que se cumplía en el mes de febrero del 2018) se tiene que el despido se realizó dentro del período que comprende el fuero de protección para la accionante, por lo que se debe declarar sin lugar el recurso, y confirmar la sentencia de primera instancia.</w:t>
      </w:r>
      <w:r w:rsidR="00E21891" w:rsidRPr="00D66245">
        <w:rPr>
          <w:rFonts w:ascii="Palatino Linotype" w:eastAsia="Times New Roman" w:hAnsi="Palatino Linotype" w:cs="Arial"/>
          <w:i/>
          <w:lang w:eastAsia="es-ES"/>
        </w:rPr>
        <w:t>”</w:t>
      </w:r>
    </w:p>
    <w:p w14:paraId="05B4DC80" w14:textId="77777777" w:rsidR="00F97586" w:rsidRPr="00D66245" w:rsidRDefault="00F97586"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2018-001989</w:t>
      </w:r>
    </w:p>
    <w:p w14:paraId="067BCD15" w14:textId="77777777" w:rsidR="00D76F64" w:rsidRPr="00D66245" w:rsidRDefault="00F97586" w:rsidP="00F53211">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diez horas cuarenta y cinco minutos del catorce de diciembre de dos mil dieciocho.</w:t>
      </w:r>
    </w:p>
    <w:p w14:paraId="5677430B" w14:textId="77777777" w:rsidR="00F97586" w:rsidRPr="00D66245" w:rsidRDefault="00E21891" w:rsidP="00F53211">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w:t>
      </w:r>
      <w:r w:rsidR="00F97586" w:rsidRPr="00D66245">
        <w:rPr>
          <w:rFonts w:ascii="Palatino Linotype" w:eastAsia="Times New Roman" w:hAnsi="Palatino Linotype" w:cs="Arial"/>
          <w:b/>
          <w:bCs/>
          <w:i/>
          <w:lang w:eastAsia="es-ES"/>
        </w:rPr>
        <w:t>III.- SOBRE EL CASO: </w:t>
      </w:r>
      <w:r w:rsidR="00F97586" w:rsidRPr="00D66245">
        <w:rPr>
          <w:rFonts w:ascii="Palatino Linotype" w:eastAsia="Times New Roman" w:hAnsi="Palatino Linotype" w:cs="Arial"/>
          <w:i/>
          <w:lang w:eastAsia="es-ES"/>
        </w:rPr>
        <w:t>El proceso especial regulado a partir del artículo 540 del Código de Trabajo</w:t>
      </w:r>
      <w:r w:rsidR="00F97586" w:rsidRPr="00D66245">
        <w:rPr>
          <w:rFonts w:ascii="Palatino Linotype" w:eastAsia="Times New Roman" w:hAnsi="Palatino Linotype" w:cs="Arial"/>
          <w:i/>
          <w:iCs/>
          <w:lang w:eastAsia="es-ES"/>
        </w:rPr>
        <w:t>,</w:t>
      </w:r>
      <w:r w:rsidR="00F97586" w:rsidRPr="00D66245">
        <w:rPr>
          <w:rFonts w:ascii="Palatino Linotype" w:eastAsia="Times New Roman" w:hAnsi="Palatino Linotype" w:cs="Arial"/>
          <w:i/>
          <w:lang w:eastAsia="es-ES"/>
        </w:rPr>
        <w:t> denominado </w:t>
      </w:r>
      <w:r w:rsidR="00F97586" w:rsidRPr="00D66245">
        <w:rPr>
          <w:rFonts w:ascii="Palatino Linotype" w:eastAsia="Times New Roman" w:hAnsi="Palatino Linotype" w:cs="Arial"/>
          <w:i/>
          <w:iCs/>
          <w:lang w:eastAsia="es-ES"/>
        </w:rPr>
        <w:t>“Protección en fueros especiales y tutela del debido proceso”, </w:t>
      </w:r>
      <w:r w:rsidR="00F97586" w:rsidRPr="00D66245">
        <w:rPr>
          <w:rFonts w:ascii="Palatino Linotype" w:eastAsia="Times New Roman" w:hAnsi="Palatino Linotype" w:cs="Arial"/>
          <w:i/>
          <w:lang w:eastAsia="es-ES"/>
        </w:rPr>
        <w:t>constituye una vía sumarísima para constatar la violación de los fueros especiales de protección ahí regulados, la infracción de los procedimientos a los que las personas trabajadoras tengan derecho, o bien, la de formalidades o autorizaciones previstas con motivo del despido o cualquier medida disciplinaria. Este proceso especial también se previó para que las personas trabajadoras pudieran impugnar los casos de discriminación, por cualquier causa, que ocurrieran en el lugar de trabajo o con ocasión de éste. La competencia del órgano jurisdiccional se reduce a determinar la violación del fuero, de los procedimientos, formalidades o autorizaciones y la existencia de un acto discriminatorio. Cualquier otra cuestión que pretenda debatirse en este proceso especial excede la competencia del órgano jurisdiccional y el objeto para el que fue creado. El artículo 540 establece: </w:t>
      </w:r>
      <w:r w:rsidR="00F97586" w:rsidRPr="00D66245">
        <w:rPr>
          <w:rFonts w:ascii="Palatino Linotype" w:eastAsia="Times New Roman" w:hAnsi="Palatino Linotype" w:cs="Arial"/>
          <w:i/>
          <w:iCs/>
          <w:lang w:eastAsia="es-ES"/>
        </w:rPr>
        <w:t>“Las personas trabajadoras, tanto del sector público como del privado, que en virtud de un fuero especial gocen de estabilidad en su empleo o de procedimientos especiales para ser afectados, podrán impugnar en la vía sumarísima prevista en esta sección, con motivo del despido o de cualquier otra medida disciplinaria o discriminatoria, la violación de fueros especiales de protección, de procedimientos a que tienen derecho, formalidades o autorizaciones especialmente previstas. Se encuentran dentro de esa previsión: … 3)</w:t>
      </w:r>
      <w:r w:rsidR="00F97586" w:rsidRPr="00D66245">
        <w:rPr>
          <w:rFonts w:ascii="Palatino Linotype" w:eastAsia="Times New Roman" w:hAnsi="Palatino Linotype" w:cs="Arial"/>
          <w:b/>
          <w:bCs/>
          <w:i/>
          <w:iCs/>
          <w:lang w:eastAsia="es-ES"/>
        </w:rPr>
        <w:t> </w:t>
      </w:r>
      <w:r w:rsidR="00F97586" w:rsidRPr="00D66245">
        <w:rPr>
          <w:rFonts w:ascii="Palatino Linotype" w:eastAsia="Times New Roman" w:hAnsi="Palatino Linotype" w:cs="Arial"/>
          <w:i/>
          <w:lang w:eastAsia="es-ES"/>
        </w:rPr>
        <w:t> </w:t>
      </w:r>
      <w:r w:rsidR="00F97586" w:rsidRPr="00D66245">
        <w:rPr>
          <w:rFonts w:ascii="Palatino Linotype" w:eastAsia="Times New Roman" w:hAnsi="Palatino Linotype" w:cs="Arial"/>
          <w:i/>
          <w:iCs/>
          <w:lang w:eastAsia="es-ES"/>
        </w:rPr>
        <w:t>Las mujeres en estado de embarazo o período de lactancia, según se establece en el artículo 94 de este Código. (…)". </w:t>
      </w:r>
      <w:r w:rsidR="00F97586" w:rsidRPr="00D66245">
        <w:rPr>
          <w:rFonts w:ascii="Palatino Linotype" w:eastAsia="Times New Roman" w:hAnsi="Palatino Linotype" w:cs="Arial"/>
          <w:i/>
          <w:lang w:eastAsia="es-ES"/>
        </w:rPr>
        <w:t>(Así reformado por el artículo 2° de la ley n.° 9343 del 25 de enero de 2016, ‘Reforma Procesal Laboral’). Por su parte, el numeral 541 dispone lo siguiente: </w:t>
      </w:r>
      <w:r w:rsidR="00F97586" w:rsidRPr="00D66245">
        <w:rPr>
          <w:rFonts w:ascii="Palatino Linotype" w:eastAsia="Times New Roman" w:hAnsi="Palatino Linotype" w:cs="Arial"/>
          <w:i/>
          <w:iCs/>
          <w:lang w:eastAsia="es-ES"/>
        </w:rPr>
        <w:t>“Las personas indicadas en el artículo anterior tendrán derecho a un debido proceso, previo al despido, el cual se regirá por las siguientes disposiciones: [...] b)</w:t>
      </w:r>
      <w:r w:rsidR="00F97586" w:rsidRPr="00D66245">
        <w:rPr>
          <w:rFonts w:ascii="Palatino Linotype" w:eastAsia="Times New Roman" w:hAnsi="Palatino Linotype" w:cs="Arial"/>
          <w:b/>
          <w:bCs/>
          <w:i/>
          <w:iCs/>
          <w:lang w:eastAsia="es-ES"/>
        </w:rPr>
        <w:t> </w:t>
      </w:r>
      <w:r w:rsidR="00F97586" w:rsidRPr="00D66245">
        <w:rPr>
          <w:rFonts w:ascii="Palatino Linotype" w:eastAsia="Times New Roman" w:hAnsi="Palatino Linotype" w:cs="Arial"/>
          <w:i/>
          <w:lang w:eastAsia="es-ES"/>
        </w:rPr>
        <w:t> </w:t>
      </w:r>
      <w:r w:rsidR="00F97586" w:rsidRPr="00D66245">
        <w:rPr>
          <w:rFonts w:ascii="Palatino Linotype" w:eastAsia="Times New Roman" w:hAnsi="Palatino Linotype" w:cs="Arial"/>
          <w:i/>
          <w:iCs/>
          <w:lang w:eastAsia="es-ES"/>
        </w:rPr>
        <w:t>El debido proceso para el despido de las personas indicadas en los incisos 3), 4), 5) y 6) del artículo anterior, deberá gestionarse ante la Dirección Nacional de Inspección General de Trabajo. [...] e) Para que sea válido el despido, la parte empleadora deberá comprobar la falta ante el órgano del debido proceso correspondiente y obtener su autorización por resolución firme. [...]". </w:t>
      </w:r>
      <w:r w:rsidR="00F97586" w:rsidRPr="00D66245">
        <w:rPr>
          <w:rFonts w:ascii="Palatino Linotype" w:eastAsia="Times New Roman" w:hAnsi="Palatino Linotype" w:cs="Arial"/>
          <w:i/>
          <w:lang w:eastAsia="es-ES"/>
        </w:rPr>
        <w:t>(Así reformado por el artículo 2° de la ley n.° 9343 del 25 de enero de 2016, ‘Reforma Procesal Laboral’). Las normas transcritas vienen a reforzar la tutela ya prevista en el numeral 94 del Código de Trabajo, conforme al cual: </w:t>
      </w:r>
      <w:r w:rsidR="00F97586" w:rsidRPr="00D66245">
        <w:rPr>
          <w:rFonts w:ascii="Palatino Linotype" w:eastAsia="Times New Roman" w:hAnsi="Palatino Linotype" w:cs="Arial"/>
          <w:i/>
          <w:iCs/>
          <w:lang w:eastAsia="es-ES"/>
        </w:rPr>
        <w:t>“Queda prohibido a los patronos despedir a las trabajadoras que estuvieren en estado de embarazo o en período de lactancia, salvo por causa justificada originada en falta grave a los deberes derivados del contrato, conforme con las causales establecidas en el artículo 81. En este caso, el patrono deberá gestionar el despido ante la Dirección Nacional y la Inspección General de Trabajo, para lo cual deberá comprobar la falta. Excepcionalmente, la Dirección podrá ordenar la suspensión de la trabajadora, mientras se resuelve la gestión de despido. </w:t>
      </w:r>
      <w:r w:rsidR="00F97586" w:rsidRPr="00D66245">
        <w:rPr>
          <w:rFonts w:ascii="Palatino Linotype" w:eastAsia="Times New Roman" w:hAnsi="Palatino Linotype" w:cs="Arial"/>
          <w:b/>
          <w:bCs/>
          <w:i/>
          <w:iCs/>
          <w:u w:val="single"/>
          <w:lang w:eastAsia="es-ES"/>
        </w:rPr>
        <w:t>Para gozar de la protección que aquí se establece, la trabajadora deberá darle aviso de su estado al empleador, y aportar certificación médica o constancia de la Caja Costarricense de Seguro Social</w:t>
      </w:r>
      <w:r w:rsidR="00F97586" w:rsidRPr="00D66245">
        <w:rPr>
          <w:rFonts w:ascii="Palatino Linotype" w:eastAsia="Times New Roman" w:hAnsi="Palatino Linotype" w:cs="Arial"/>
          <w:i/>
          <w:iCs/>
          <w:lang w:eastAsia="es-ES"/>
        </w:rPr>
        <w:t>”</w:t>
      </w:r>
      <w:r w:rsidR="00F97586" w:rsidRPr="00D66245">
        <w:rPr>
          <w:rFonts w:ascii="Palatino Linotype" w:eastAsia="Times New Roman" w:hAnsi="Palatino Linotype" w:cs="Arial"/>
          <w:i/>
          <w:lang w:eastAsia="es-ES"/>
        </w:rPr>
        <w:t>(énfasis suplido </w:t>
      </w:r>
      <w:r w:rsidR="00F97586" w:rsidRPr="00D66245">
        <w:rPr>
          <w:rFonts w:ascii="Palatino Linotype" w:eastAsia="Times New Roman" w:hAnsi="Palatino Linotype" w:cs="Arial"/>
          <w:i/>
          <w:iCs/>
          <w:lang w:eastAsia="es-ES"/>
        </w:rPr>
        <w:t>. </w:t>
      </w:r>
      <w:r w:rsidR="00F97586" w:rsidRPr="00D66245">
        <w:rPr>
          <w:rFonts w:ascii="Palatino Linotype" w:eastAsia="Times New Roman" w:hAnsi="Palatino Linotype" w:cs="Arial"/>
          <w:i/>
          <w:lang w:eastAsia="es-ES"/>
        </w:rPr>
        <w:t>Así reformado por el artículo 32 de la Ley de Promoción de la Igualdad Social de la Mujer, n.º 7142 de 8 de marzo de 1990). Por su parte, el artículo 94 bis siguiente dispone que: </w:t>
      </w:r>
      <w:r w:rsidR="00F97586" w:rsidRPr="00D66245">
        <w:rPr>
          <w:rFonts w:ascii="Palatino Linotype" w:eastAsia="Times New Roman" w:hAnsi="Palatino Linotype" w:cs="Arial"/>
          <w:i/>
          <w:iCs/>
          <w:lang w:eastAsia="es-ES"/>
        </w:rPr>
        <w:t>“La trabajadora embarazada o en período de lactancia, que fuera despedida en contravención con lo dispuesto en el artículo anterior, podrá gestionar ante el juzgado de trabajo su reinstalación inmediata, con pleno goce de todos sus derechos, mediante el procedimiento establecido en el título décimo de este Código. La trabajadora podrá optar por la reinstalación, en cuyo caso el empleador o la empleadora deberán pagarle, además de la indemnización a que tenga derecho y en concepto de daños y perjuicios, las sumas correspondientes al subsidio de preparto y posparto, y los salarios que hubiera dejado de percibir desde el momento del despido, hasta completar ocho meses de embarazo. Si se tratara de una trabajadora en período de lactancia tendrá derecho, además de la cesantía y en concepto de daños y perjuicios, a diez días de salario”.</w:t>
      </w:r>
      <w:r w:rsidR="00F97586" w:rsidRPr="00D66245">
        <w:rPr>
          <w:rFonts w:ascii="Palatino Linotype" w:eastAsia="Times New Roman" w:hAnsi="Palatino Linotype" w:cs="Arial"/>
          <w:i/>
          <w:lang w:eastAsia="es-ES"/>
        </w:rPr>
        <w:t> (Así adicionado </w:t>
      </w:r>
      <w:r w:rsidR="00F97586" w:rsidRPr="00D66245">
        <w:rPr>
          <w:rFonts w:ascii="Palatino Linotype" w:eastAsia="Times New Roman" w:hAnsi="Palatino Linotype" w:cs="Arial"/>
          <w:b/>
          <w:bCs/>
          <w:i/>
          <w:lang w:eastAsia="es-ES"/>
        </w:rPr>
        <w:t> </w:t>
      </w:r>
      <w:r w:rsidR="00F97586" w:rsidRPr="00D66245">
        <w:rPr>
          <w:rFonts w:ascii="Palatino Linotype" w:eastAsia="Times New Roman" w:hAnsi="Palatino Linotype" w:cs="Arial"/>
          <w:i/>
          <w:lang w:eastAsia="es-ES"/>
        </w:rPr>
        <w:t>por el artículo 32° de la Ley de Promoción de la Igualdad Social de la Mujer n.º 7142 de 8 de marzo de 1990 y reformado por el artículo 3° aparte a) de la ley n.° 9343 del 25 de enero de 2016, </w:t>
      </w:r>
      <w:r w:rsidR="00F97586" w:rsidRPr="00D66245">
        <w:rPr>
          <w:rFonts w:ascii="Palatino Linotype" w:eastAsia="Times New Roman" w:hAnsi="Palatino Linotype" w:cs="Arial"/>
          <w:i/>
          <w:iCs/>
          <w:lang w:eastAsia="es-ES"/>
        </w:rPr>
        <w:t>"Reforma Procesal Laboral"</w:t>
      </w:r>
      <w:r w:rsidR="00F97586" w:rsidRPr="00D66245">
        <w:rPr>
          <w:rFonts w:ascii="Palatino Linotype" w:eastAsia="Times New Roman" w:hAnsi="Palatino Linotype" w:cs="Arial"/>
          <w:i/>
          <w:lang w:eastAsia="es-ES"/>
        </w:rPr>
        <w:t>. En el segundo párrafo de la norma es evidente que hace falta la palabra "no" antes de "optar", pues es cuando no se decide por la reinstalación, cuando surgen los derechos que ahí se consignan). También la Sala Constitucional ha indicado que la protección dispuesta en el Código de Trabajo, para la trabajadora embarazada o en período de lactancia gira en torno “[…] </w:t>
      </w:r>
      <w:r w:rsidR="00F97586" w:rsidRPr="00D66245">
        <w:rPr>
          <w:rFonts w:ascii="Palatino Linotype" w:eastAsia="Times New Roman" w:hAnsi="Palatino Linotype" w:cs="Arial"/>
          <w:i/>
          <w:iCs/>
          <w:lang w:eastAsia="es-ES"/>
        </w:rPr>
        <w:t>a los obvios fines de la Ley: A) Es prohibida la discriminación de la mujer por el hecho del embarazo o de la lactancia pero no se ha garantizado su inamovilidad: El despido es procedente si el  patrono comprueba una falta grave de la trabajadora en los términos del artículo 81 del código laboral, de igual forma que el ordenamiento prohíbe el despido de trabajadores porque ejerciten sus libertades sindicales o políticas, pero no impide que si el patrono comprueba una falta grave a los deberes derivados del contrato, puede ejercer su potestad de despido </w:t>
      </w:r>
      <w:r w:rsidR="00F97586" w:rsidRPr="00D66245">
        <w:rPr>
          <w:rFonts w:ascii="Palatino Linotype" w:eastAsia="Times New Roman" w:hAnsi="Palatino Linotype" w:cs="Arial"/>
          <w:i/>
          <w:lang w:eastAsia="es-ES"/>
        </w:rPr>
        <w:t>[…]</w:t>
      </w:r>
      <w:r w:rsidR="00F97586" w:rsidRPr="00D66245">
        <w:rPr>
          <w:rFonts w:ascii="Palatino Linotype" w:eastAsia="Times New Roman" w:hAnsi="Palatino Linotype" w:cs="Arial"/>
          <w:i/>
          <w:iCs/>
          <w:lang w:eastAsia="es-ES"/>
        </w:rPr>
        <w:t> B) Las disposiciones constitucionales y legales que amparan a la madre y al niño no pueden interpretarse de forma que tornen nugatoria la legislación protectora</w:t>
      </w:r>
      <w:r w:rsidR="00F97586" w:rsidRPr="00D66245">
        <w:rPr>
          <w:rFonts w:ascii="Palatino Linotype" w:eastAsia="Times New Roman" w:hAnsi="Palatino Linotype" w:cs="Arial"/>
          <w:i/>
          <w:lang w:eastAsia="es-ES"/>
        </w:rPr>
        <w:t>”. Así las cosas, queda claro que la normativa contenida en el Código de Trabajo, interpretada por la Sala Constitucional conforme a los principios constitucionales y el Derecho Internacional , responde a una voluntad del legislador de brindar una especial protección a la trabajadora en estado de embarazo o en período de lactancia, que tiene un indiscutible propósito: la erradicación de una práctica discriminatoria que históricamente la ha afectado en muchos ámbitos, pero, particularmente en el laboral, con vulneración, como se dijo, de sus derechos  como persona y que por el hecho de ser tal, le deben ser reconocidos sin distingo alguno. De ahí que, el despido de una trabajadora en estado de embarazo o en período de lactancia, sin seguir el procedimiento establecido en la legislación ordinaria, deba generar consecuentemente un despido nulo. El aforamiento o protección de las mujeres en esta situación opera sin distinción de la forma en que se ordene el despido. Es decir, el legislador no estableció en estas normas un trato diferente para la mujer que, estando en dicha condición, es despedida con responsabilidad patronal. La protección que se le brinda la cobija frente a un despido con y sin responsabilidad, pues nótese que el legislador estableció de forma enfática y preceptiva “</w:t>
      </w:r>
      <w:r w:rsidR="00F97586" w:rsidRPr="00D66245">
        <w:rPr>
          <w:rFonts w:ascii="Palatino Linotype" w:eastAsia="Times New Roman" w:hAnsi="Palatino Linotype" w:cs="Arial"/>
          <w:i/>
          <w:iCs/>
          <w:lang w:eastAsia="es-ES"/>
        </w:rPr>
        <w:t>queda prohibido a los patronos despedir a las trabajadoras que estuvieren en estado de embarazo o en período de lactancia</w:t>
      </w:r>
      <w:r w:rsidR="00F97586" w:rsidRPr="00D66245">
        <w:rPr>
          <w:rFonts w:ascii="Palatino Linotype" w:eastAsia="Times New Roman" w:hAnsi="Palatino Linotype" w:cs="Arial"/>
          <w:i/>
          <w:lang w:eastAsia="es-ES"/>
        </w:rPr>
        <w:t>”, contemplándose únicamente la salvedad de que exista una causa justificada, para lo cual deberá gestionarse el despido ante la Dirección Nacional de Inspección General de Trabajo. Ahora, en su escrito inicial , la accionante manifestó que fue despedida en estado de embarazo, y de sus manifestaciones se desprende que el cese no se sustentó en alguna falta a ella atribuida. Refirió que, tiempo antes de la finalización de la relación, le informó al empleador que se encontraba embarazada. Al contestar la demanda, la parte accionada adujo que cuando se dispuso el despido no se tenía conocimiento del embarazo de la accionante. Por otra parte, de la prueba recibida durante el proceso se desprenden indicios del conocimiento que la parte empleadora tenía del estado de embarazo de la trabajadora. En la declaración de parte ofrecida por la propia accionante (archivo multimedia incorporado al escritorio virtual del Juzgado el 2/07/2018 a las 9:17:29 horas), ella refirió que el mismo día que tuvo conocimiento de su embarazo (11 de junio de 2017), luego de enviarle un mensaje a su patrono, lo llamó y le indicó su situación, y que, al día siguiente, le entregó la prueba en la cual se constataba su estado. Adujo también, que le pidió al accionado que la asegurara, petición que fue ignorada, por lo que tuvo que hacerlo ella misma. Manifestó que el 3 de agosto de ese mismo año recibió una llamada del demandado, en la cual se le informó que no podía presentarse más a su puesto de trabajo. Expresó que solicitó la carta de despido, pues no se le especificó la razón de su cese, pero ésta le fue denegada. Resaltó que en esa fecha su estado de embarazo era notorio. Por último, confirmó que el puesto de trabajo en el que laboraba aún existe. Observa esta Sala que no existe contradicción ni inconsistencias entre lo declarado por la demandante y su confesional (esto en virtud de que la confesión, según el numeral 338 del Código Procesal Civil -aplicable al proceso dada su fecha de inicio- no puede valorarse en lo que le beneficia a la parte que la presta). En razón de lo anterior, procede valorar lo señalado por la accionante en su modalidad de declaración de parte, en unión con las demás probanzas aportadas –artículos 481 y 514 del Código de Trabajo-. En esta misma línea, el señor [Nombre004] (archivo multimedia incorporado al escritorio virtual del Juzgado el 2/07/2018 a las 9:42:52 horas) –pareja de la actora y padre del menor-, confirmó el dicho de la demandante en cuanto llamó al patrono para comunicar el embarazo, pues éste se encontraba con ella. También señaló que efectivamente la actora presentó al día siguiente el comprobante, el cual no fue firmado como recibido. Contó que el 3 de agosto de 2017, la accionante fue despedida sin razón alguna. Enfatizó que, en esa fecha ya el embarazo era notorio, y que incluso las compañeras de trabajo hablaban sobre su estado. Refirió que luego de esto, se dirigieron al Ministerio de Trabajo, en donde les explicaron cuáles eran sus derechos. Acotó que después le solicitaron al demandado se reunieran para conversar sobre el despido, y poder llegar así a un acuerdo, pero nunca se concretó nada. Se resalta que las menciones de este testigo merecen credibilidad pues, al ser el compañero de la actora, es quien ha presenciado de manera cercana las situaciones narradas en la demanda inicial. A su vez, se aclara que este testimonio debe ser valorado de manera armónica en atención al conjunto probatorio, siguiendo lo dispuesto en el artículo 481 del Código de Trabajo. Ahora bien, las circunstancias narradas constituyen indicios suficientes para concluir que el demandado tuvo conocimiento del estado de embarazo, antes y al momento del despido. Esta Sala ha indicado que </w:t>
      </w:r>
      <w:r w:rsidR="00F97586" w:rsidRPr="00D66245">
        <w:rPr>
          <w:rFonts w:ascii="Palatino Linotype" w:eastAsia="Times New Roman" w:hAnsi="Palatino Linotype" w:cs="Arial"/>
          <w:i/>
          <w:iCs/>
          <w:lang w:eastAsia="es-ES"/>
        </w:rPr>
        <w:t>“(...)</w:t>
      </w:r>
      <w:r w:rsidR="00F97586" w:rsidRPr="00D66245">
        <w:rPr>
          <w:rFonts w:ascii="Palatino Linotype" w:eastAsia="Times New Roman" w:hAnsi="Palatino Linotype" w:cs="Arial"/>
          <w:i/>
          <w:lang w:eastAsia="es-ES"/>
        </w:rPr>
        <w:t> </w:t>
      </w:r>
      <w:r w:rsidR="00F97586" w:rsidRPr="00D66245">
        <w:rPr>
          <w:rFonts w:ascii="Palatino Linotype" w:eastAsia="Times New Roman" w:hAnsi="Palatino Linotype" w:cs="Arial"/>
          <w:i/>
          <w:iCs/>
          <w:lang w:eastAsia="es-ES"/>
        </w:rPr>
        <w:t>la protección prospera cuando se presume, con base en indicios claros, precisos y concordantes, que el empleador tenía conocimiento de la gestación. En esencia, se trata de la tutela al fundamental derecho al trabajo, pero además, al también fundamental derecho a la vida y a la procreación. El despido de una mujer embarazada,…</w:t>
      </w:r>
      <w:r w:rsidR="00F97586" w:rsidRPr="00D66245">
        <w:rPr>
          <w:rFonts w:ascii="Palatino Linotype" w:eastAsia="Times New Roman" w:hAnsi="Palatino Linotype" w:cs="Arial"/>
          <w:i/>
          <w:lang w:eastAsia="es-ES"/>
        </w:rPr>
        <w:t> [por esa sola condición] </w:t>
      </w:r>
      <w:r w:rsidR="00F97586" w:rsidRPr="00D66245">
        <w:rPr>
          <w:rFonts w:ascii="Palatino Linotype" w:eastAsia="Times New Roman" w:hAnsi="Palatino Linotype" w:cs="Arial"/>
          <w:i/>
          <w:iCs/>
          <w:lang w:eastAsia="es-ES"/>
        </w:rPr>
        <w:t>es entonces… discriminatorio. En primer lugar, porque limita el ejercicio del derecho fundamental a la vida y a la procreación, ante el riesgo que enfrenta la trabajadora de verse destituida por el ejercicio de tales derechos fundamentales; y en segundo término, porque al ser la condición del embarazo, una situación propia y natural de las mujeres, sólo afecta a esta parte de la población laboral”.</w:t>
      </w:r>
      <w:r w:rsidR="00F97586" w:rsidRPr="00D66245">
        <w:rPr>
          <w:rFonts w:ascii="Palatino Linotype" w:eastAsia="Times New Roman" w:hAnsi="Palatino Linotype" w:cs="Arial"/>
          <w:i/>
          <w:lang w:eastAsia="es-ES"/>
        </w:rPr>
        <w:t> (Sentencia número 532, de las 10:35 horas del 15 de junio de 2012). Ante la situación del embarazo de la actora, lo que como se dijo, se tiene por conocida por el empleador, le correspondía a la parte demandada realizar el procedimiento respectivo ante la Dirección Nacional de la Inspección General de Trabajo para demostrar la razón por la cual, se iba a producir el cese y obtener la autorización correspondiente. Es evidente que esa gestión no se realizó, lo cual implica una clara violación del fuero que tutela a la actora. Como se apuntó, las circunstancias que derivan del caso integralmente considerado y valorado a la luz de las reglas de la lógica y de la experiencia, hacen concluir la existencia del despido en contravención a las disposiciones legales. Por otro lado, el demandado reprocha que la reinstalación carece de interés actual, pues el local donde laboraba la actora no existe. No obstante, de los autos no se logra inferir la inexistencia alegada, pues no se observan elementos probatorios de los cuales se desprenda el cierre del puesto, por lo que el agravio no puede ser acogido. Por último, el demandado refuta que la condenatoria en costas es excesiva, pues supera el 15% de la condenatoria. En cuanto a este tema, el canon 562 del Código de Trabajo </w:t>
      </w:r>
      <w:r w:rsidR="00F97586" w:rsidRPr="00D66245">
        <w:rPr>
          <w:rFonts w:ascii="Palatino Linotype" w:eastAsia="Times New Roman" w:hAnsi="Palatino Linotype" w:cs="Arial"/>
          <w:i/>
          <w:iCs/>
          <w:lang w:eastAsia="es-ES"/>
        </w:rPr>
        <w:t>, </w:t>
      </w:r>
      <w:r w:rsidR="00F97586" w:rsidRPr="00D66245">
        <w:rPr>
          <w:rFonts w:ascii="Palatino Linotype" w:eastAsia="Times New Roman" w:hAnsi="Palatino Linotype" w:cs="Arial"/>
          <w:i/>
          <w:lang w:eastAsia="es-ES"/>
        </w:rPr>
        <w:t>en lo que resulta de interés, estipula: “</w:t>
      </w:r>
      <w:r w:rsidR="00F97586" w:rsidRPr="00D66245">
        <w:rPr>
          <w:rFonts w:ascii="Palatino Linotype" w:eastAsia="Times New Roman" w:hAnsi="Palatino Linotype" w:cs="Arial"/>
          <w:i/>
          <w:iCs/>
          <w:lang w:eastAsia="es-ES"/>
        </w:rPr>
        <w:t>En toda sentencia, (…) se condenará al vencido, (…) al pago de las costas personales y procesales causadas./Si la sentencia resuelve el  asunto por el fondo (…) </w:t>
      </w:r>
      <w:r w:rsidR="00F97586" w:rsidRPr="00D66245">
        <w:rPr>
          <w:rFonts w:ascii="Palatino Linotype" w:eastAsia="Times New Roman" w:hAnsi="Palatino Linotype" w:cs="Arial"/>
          <w:b/>
          <w:bCs/>
          <w:i/>
          <w:iCs/>
          <w:lang w:eastAsia="es-ES"/>
        </w:rPr>
        <w:t>las personales no podrán ser menores del quince por ciento (15%) ni mayores del veinticinco por ciento (25%) del importe líquido de la condenatoria o de la absolución</w:t>
      </w:r>
      <w:r w:rsidR="00F97586" w:rsidRPr="00D66245">
        <w:rPr>
          <w:rFonts w:ascii="Palatino Linotype" w:eastAsia="Times New Roman" w:hAnsi="Palatino Linotype" w:cs="Arial"/>
          <w:i/>
          <w:iCs/>
          <w:lang w:eastAsia="es-ES"/>
        </w:rPr>
        <w:t>, en su caso./ (…) </w:t>
      </w:r>
      <w:r w:rsidR="00F97586" w:rsidRPr="00D66245">
        <w:rPr>
          <w:rFonts w:ascii="Palatino Linotype" w:eastAsia="Times New Roman" w:hAnsi="Palatino Linotype" w:cs="Arial"/>
          <w:b/>
          <w:bCs/>
          <w:i/>
          <w:iCs/>
          <w:lang w:eastAsia="es-ES"/>
        </w:rPr>
        <w:t>Para hacer la fijación del porcentaje o del monto prudencial se tomarán en cuenta la labor realizada, la cuantía de la cosa litigada y la posición económica del actor y demandado</w:t>
      </w:r>
      <w:r w:rsidR="00F97586" w:rsidRPr="00D66245">
        <w:rPr>
          <w:rFonts w:ascii="Palatino Linotype" w:eastAsia="Times New Roman" w:hAnsi="Palatino Linotype" w:cs="Arial"/>
          <w:i/>
          <w:iCs/>
          <w:lang w:eastAsia="es-ES"/>
        </w:rPr>
        <w:t> (…). </w:t>
      </w:r>
      <w:r w:rsidR="00F97586" w:rsidRPr="00D66245">
        <w:rPr>
          <w:rFonts w:ascii="Palatino Linotype" w:eastAsia="Times New Roman" w:hAnsi="Palatino Linotype" w:cs="Arial"/>
          <w:i/>
          <w:lang w:eastAsia="es-ES"/>
        </w:rPr>
        <w:t>(La negrita no consta en el original). En conclusión, no lleva razón el demandado, dado que en el presente asunto se debe mantener las en costas del 20% sobre  el importe de la condenatoria, pues se ajusta a los parámetros establecidos en el numeral 562 del Código de Trabajo reformado.</w:t>
      </w:r>
      <w:r w:rsidRPr="00D66245">
        <w:rPr>
          <w:rFonts w:ascii="Palatino Linotype" w:eastAsia="Times New Roman" w:hAnsi="Palatino Linotype" w:cs="Arial"/>
          <w:i/>
          <w:lang w:eastAsia="es-ES"/>
        </w:rPr>
        <w:t>”</w:t>
      </w:r>
    </w:p>
    <w:p w14:paraId="04FDCF0E" w14:textId="77777777" w:rsidR="00F97586" w:rsidRPr="00D66245" w:rsidRDefault="00F97586"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2018-001570</w:t>
      </w:r>
    </w:p>
    <w:p w14:paraId="17FCF560" w14:textId="77777777" w:rsidR="00F97586" w:rsidRPr="00D66245" w:rsidRDefault="00F97586" w:rsidP="00F53211">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nueve horas diez minutos del diecinueve de setiembre de dos mil dieciocho.</w:t>
      </w:r>
    </w:p>
    <w:p w14:paraId="5E5E1A92" w14:textId="77777777" w:rsidR="00F97586" w:rsidRPr="00D66245" w:rsidRDefault="00F97586" w:rsidP="00F53211">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III.- ANÁLISIS DEL CASO: </w:t>
      </w:r>
      <w:r w:rsidRPr="00D66245">
        <w:rPr>
          <w:rFonts w:ascii="Palatino Linotype" w:eastAsia="Times New Roman" w:hAnsi="Palatino Linotype" w:cs="Arial"/>
          <w:i/>
          <w:lang w:eastAsia="es-ES"/>
        </w:rPr>
        <w:t>En el asunto bajo estudio, el reproche principal de la parte accionada se dirige a atacar el razonamiento de los integrantes del Tribunal, quienes ratificaron la procedencia de la demanda. Según la recurrente, no se tomó en consideración que el cese se dio durante el periodo de prueba y que, en ese lapso, la Administración debía valorar la idoneidad de la trabajadora, con la cual no cumplió. Al contestar la demanda, la representante estatal manifestó que el despido de la actora obedeció a la falta de aprobación del periodo de prueba e indicó que desconocía las supuestas faltas en sus labores. Ese argumento es el que debe primar para el análisis del presente asunto, pues en esos términos quedó definido el contenido del debate. Además, en el recurso ante la Sala se vuelve a hacer énfasis en esa circunstancia. Se estima que no lleva razón la impugnante. La condición de trabajadora embarazada de la actora le da un derecho concomitante a la protección que brinda la ley en razón de esa condición. La parte accionada no ha alegado el desconocimiento del periodo de gestación de la trabajadora porque ha admitido que –incluso- desde que se le nombró ya tenía esa condición. Lo resuelto por el Tribunal debe confirmarse porque a pesar de que no se alegó una causal para despedirla, más que no haber superado el periodo de prueba, es lo cierto que debió seguirse el procedimiento establecido por la ley para estos casos. El numeral 94 del Código de Trabajo establece: </w:t>
      </w:r>
      <w:r w:rsidRPr="00D66245">
        <w:rPr>
          <w:rFonts w:ascii="Palatino Linotype" w:eastAsia="Times New Roman" w:hAnsi="Palatino Linotype" w:cs="Arial"/>
          <w:i/>
          <w:iCs/>
          <w:lang w:eastAsia="es-ES"/>
        </w:rPr>
        <w:t>“Queda prohibido a los patronos despedir a las trabajadoras que estuvieren en estado de embarazo o en período de lactancia, salvo por causa justificada originada en falta grave a los deberes derivados del contrato, conforme con las causales establecidas en el artículo 81. En este caso, el patrono deberá gestionar el despido ante la Dirección Nacional y la Inspección General de Trabajo, para lo cual deberá comprobar la falta. Excepcionalmente, la Dirección podrá ordenar la suspensión de la trabajadora, mientras se resuelve la gestión de despido. Para gozar de la protección que aquí se establece, la trabajadora deberá darle aviso de su estado al empleador, y aportar certificación médica o constancia de la Caja Costarricense de Seguro Social”.</w:t>
      </w:r>
      <w:r w:rsidRPr="00D66245">
        <w:rPr>
          <w:rFonts w:ascii="Palatino Linotype" w:eastAsia="Times New Roman" w:hAnsi="Palatino Linotype" w:cs="Arial"/>
          <w:i/>
          <w:lang w:eastAsia="es-ES"/>
        </w:rPr>
        <w:t> (Así reformado por el artículo 32° de la Ley de Promoción de la Igualdad Social de la Mujer, n.º 7142 de 8 de marzo de 1990). Lo realmente trascendente en este asunto es esa condición grávida de la trabajadora al momento de su despido, independientemente de que para entonces se encontrara en curso el periodo de prueba que permite al patrono prescindir de sus trabajadores sin responsabilidad, facultad que se ve limitada cuando se trata de una trabajadora protegida con el fuero especial que le otorga la condición del embarazo. Ya esta Sala ha resuelto que la protección a la trabajadora embarazada también procede aun cuando ella se encuentre cumpliendo el período de prueba. Ese criterio se ha sostenido, entre otras, en las sentencias 1997-161, 2000-948, 2001-136, 2002-229, 2002-379, 2004-336, 2005-434, 2006-562, 2006-685, 2007-701, 2008-41 y 2008-182. Desde la primera resolución indicada, se señaló que si el empleador alega falta de aptitud, debe acudir a la Dirección Nacional y la Inspección General de Trabajo para acreditar esa deficiencia y lograr la autorización requerida para despedir. Así las cosas, el libre despido en el periodo de prueba, aun en el sector público, sufre una excepción y no basta la simple voluntad del empleador para concluir la relación. El ordenamiento jurídico le brinda a la trabajadora en ese estado una tutela especial según la cual, en el supuesto de que se considere no apta para realizar las labores encomendadas, debe seguirse un procedimiento de naturaleza administrativa, ante la Dirección Nacional y la Inspección General de Trabajo y demostrarse, sin lugar a dudas, que el cese obedece a un hecho objetivo; a saber, su falta de aptitud para el empleo o que no cumple con las expectativas laborales del patrono; y no a un acto discriminatorio en razón de su estado de gravidez. Es decir, el derecho a cesar a una trabajadora en tal condición no puede ser arbitrario y por ello el empleador, de previo a hacer efectivo el cese, debe gestionar administrativamente y probar que la trabajadora no es apta para el puesto (en un sentido similar se puede consultar el voto número 871, de las 10:10 horas del 4 de setiembre de 2009 relacionado con una funcionaria del Tribunal Supremo de Elecciones). Lo anterior, en aplicación de los artículos 94 y 94 bis del Código de Trabajo. Los artículos 30 y 31 del Estatuto del Servicio Civil regulan lo concerniente al periodo de prueba de los funcionarios sometidos a dicho régimen, como ocurre en el caso de la accionante . El primero de ellos establece que </w:t>
      </w:r>
      <w:r w:rsidRPr="00D66245">
        <w:rPr>
          <w:rFonts w:ascii="Palatino Linotype" w:eastAsia="Times New Roman" w:hAnsi="Palatino Linotype" w:cs="Arial"/>
          <w:i/>
          <w:iCs/>
          <w:lang w:eastAsia="es-ES"/>
        </w:rPr>
        <w:t>“Para que un servidor público reciba la protección de esta ley, debe pasar satisfactoriamente un período de prueba hasta de tres meses de servicio contados a partir de la fecha de vigencia del acuerdo de su nombramiento”.</w:t>
      </w:r>
      <w:r w:rsidRPr="00D66245">
        <w:rPr>
          <w:rFonts w:ascii="Palatino Linotype" w:eastAsia="Times New Roman" w:hAnsi="Palatino Linotype" w:cs="Arial"/>
          <w:i/>
          <w:lang w:eastAsia="es-ES"/>
        </w:rPr>
        <w:t> Por su parte, el numeral 31 dispone: </w:t>
      </w:r>
      <w:r w:rsidRPr="00D66245">
        <w:rPr>
          <w:rFonts w:ascii="Palatino Linotype" w:eastAsia="Times New Roman" w:hAnsi="Palatino Linotype" w:cs="Arial"/>
          <w:i/>
          <w:iCs/>
          <w:lang w:eastAsia="es-ES"/>
        </w:rPr>
        <w:t>“El periodo de prueba se regirá por estas disposiciones: a) Por regla general sólo se aplicará en los casos de iniciación de contrato, pero a juicio del Jefe respectivo podrá exigirse en todos los casos de promoción o traslado en que convenga para garantizar mejor el servicio público. b) El Ministro o Jefe autorizado podrá despedir libremente al empleado durante el período de prueba, pero deberá informar al Director General acerca de los motivos que tuvo para hacerlo. c) El Director General podrá ordenar la remoción de cualquier servidor durante su período de prueba, siempre que encuentre que su nombramiento fue el resultado de un fraude, de una confusión de nombres o de otro error material evidente, en cuyo caso el interesado será oído de previo, para lo cual se le concederá un plazo de tres días”.</w:t>
      </w:r>
      <w:r w:rsidRPr="00D66245">
        <w:rPr>
          <w:rFonts w:ascii="Palatino Linotype" w:eastAsia="Times New Roman" w:hAnsi="Palatino Linotype" w:cs="Arial"/>
          <w:i/>
          <w:lang w:eastAsia="es-ES"/>
        </w:rPr>
        <w:t> De las norma tra ns critas no se desprende ninguna disposición que permita excluir a la trabajadora embarazada del procedimiento que exige la legislación ordinaria y que ha desarrollado la jurisprudencia de la Sala Segunda. Además, se trata de la aplicación de una norma especialmente prevista para la tutela de la mujer embarazada, aplicable tanto al sector público como al privado y que sustenta la salvaguarda de un derecho fundamental, por lo que nunca podrían primar las normas generales del estatuto vigente en la institución empleadora, respecto de esta disposición aplicable a todas las trabajadoras en ese estado, sin exclusión. Así las cosas, no le asiste razón a la recurrente en sus agravios.</w:t>
      </w:r>
      <w:r w:rsidR="00E21891" w:rsidRPr="00D66245">
        <w:rPr>
          <w:rFonts w:ascii="Palatino Linotype" w:eastAsia="Times New Roman" w:hAnsi="Palatino Linotype" w:cs="Arial"/>
          <w:i/>
          <w:lang w:eastAsia="es-ES"/>
        </w:rPr>
        <w:t>”</w:t>
      </w:r>
    </w:p>
    <w:p w14:paraId="18EC1DD7" w14:textId="77777777" w:rsidR="00B24726" w:rsidRPr="00D66245" w:rsidRDefault="00B24726"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2018-001178</w:t>
      </w:r>
    </w:p>
    <w:p w14:paraId="35417914" w14:textId="77777777" w:rsidR="00B24726" w:rsidRPr="00D66245" w:rsidRDefault="00B24726" w:rsidP="00F53211">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diez horas diez minutos del seis de julio de dos mil dieciocho.</w:t>
      </w:r>
    </w:p>
    <w:p w14:paraId="2BCEC20B" w14:textId="77777777" w:rsidR="00B24726" w:rsidRPr="00D66245" w:rsidRDefault="00860694" w:rsidP="00F53211">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w:t>
      </w:r>
      <w:r w:rsidR="00B24726" w:rsidRPr="00D66245">
        <w:rPr>
          <w:rFonts w:ascii="Palatino Linotype" w:eastAsia="Times New Roman" w:hAnsi="Palatino Linotype" w:cs="Arial"/>
          <w:b/>
          <w:bCs/>
          <w:i/>
          <w:lang w:eastAsia="es-ES"/>
        </w:rPr>
        <w:t>IV.- RAZONES DE FONDO: </w:t>
      </w:r>
      <w:r w:rsidR="00B24726" w:rsidRPr="00D66245">
        <w:rPr>
          <w:rFonts w:ascii="Palatino Linotype" w:eastAsia="Times New Roman" w:hAnsi="Palatino Linotype" w:cs="Arial"/>
          <w:i/>
          <w:lang w:eastAsia="es-ES"/>
        </w:rPr>
        <w:t>El proceso especial regulado a partir del artículo 540 del </w:t>
      </w:r>
      <w:r w:rsidR="00B24726" w:rsidRPr="00D66245">
        <w:rPr>
          <w:rFonts w:ascii="Palatino Linotype" w:eastAsia="Times New Roman" w:hAnsi="Palatino Linotype" w:cs="Arial"/>
          <w:i/>
          <w:iCs/>
          <w:lang w:eastAsia="es-ES"/>
        </w:rPr>
        <w:t>Código de Trabajo,</w:t>
      </w:r>
      <w:r w:rsidR="00B24726" w:rsidRPr="00D66245">
        <w:rPr>
          <w:rFonts w:ascii="Palatino Linotype" w:eastAsia="Times New Roman" w:hAnsi="Palatino Linotype" w:cs="Arial"/>
          <w:i/>
          <w:lang w:eastAsia="es-ES"/>
        </w:rPr>
        <w:t> denominado </w:t>
      </w:r>
      <w:r w:rsidR="00B24726" w:rsidRPr="00D66245">
        <w:rPr>
          <w:rFonts w:ascii="Palatino Linotype" w:eastAsia="Times New Roman" w:hAnsi="Palatino Linotype" w:cs="Arial"/>
          <w:i/>
          <w:iCs/>
          <w:lang w:eastAsia="es-ES"/>
        </w:rPr>
        <w:t>“Protección en fueros especiales y tutela del debido proceso”, </w:t>
      </w:r>
      <w:r w:rsidR="00B24726" w:rsidRPr="00D66245">
        <w:rPr>
          <w:rFonts w:ascii="Palatino Linotype" w:eastAsia="Times New Roman" w:hAnsi="Palatino Linotype" w:cs="Arial"/>
          <w:i/>
          <w:lang w:eastAsia="es-ES"/>
        </w:rPr>
        <w:t>constituye una vía sumarísima para constatar la violación de los fueros especiales de protección ahí regulados, la infracción de los procedimientos a los que las personas trabajadoras tengan derecho, o bien, la de formalidades o autorizaciones previstas con motivo del despido o cualquier medida disciplinaria. Este proceso especial también se previó para que las personas trabajadoras pudieran impugnar los casos de discriminación, por cualquier causa, que ocurrieran en el lugar de trabajo o con ocasión de este. La competencia del órgano jurisdiccional se reduce a determinar la violación del fuero, de los procedimientos, formalidades o autorizaciones y la existencia de un acto discriminatorio. Cualquier otra cuestión que pretenda debatirse en este proceso especial excede la competencia del órgano jurisdiccional y el objeto para el que fue creado. El artículo 540 establece: </w:t>
      </w:r>
      <w:r w:rsidR="00B24726" w:rsidRPr="00D66245">
        <w:rPr>
          <w:rFonts w:ascii="Palatino Linotype" w:eastAsia="Times New Roman" w:hAnsi="Palatino Linotype" w:cs="Arial"/>
          <w:i/>
          <w:iCs/>
          <w:lang w:eastAsia="es-ES"/>
        </w:rPr>
        <w:t>“Las personas trabajadoras, tanto del sector público como del privado, que en virtud de un fuero especial gocen de estabilidad en su empleo o de procedimientos especiales para ser afectados, podrán impugnar en la vía sumarísima prevista en esta sección, con motivo del despido o de cualquier otra medida disciplinaria o discriminatoria, la violación de fueros especiales de protección, de procedimientos a que tienen derecho, formalidades o autorizaciones especialmente previstas. Se encuentran dentro de esa previsión: … 3)</w:t>
      </w:r>
      <w:r w:rsidR="00B24726" w:rsidRPr="00D66245">
        <w:rPr>
          <w:rFonts w:ascii="Palatino Linotype" w:eastAsia="Times New Roman" w:hAnsi="Palatino Linotype" w:cs="Arial"/>
          <w:b/>
          <w:bCs/>
          <w:i/>
          <w:iCs/>
          <w:lang w:eastAsia="es-ES"/>
        </w:rPr>
        <w:t> </w:t>
      </w:r>
      <w:r w:rsidR="00B24726" w:rsidRPr="00D66245">
        <w:rPr>
          <w:rFonts w:ascii="Palatino Linotype" w:eastAsia="Times New Roman" w:hAnsi="Palatino Linotype" w:cs="Arial"/>
          <w:i/>
          <w:iCs/>
          <w:lang w:eastAsia="es-ES"/>
        </w:rPr>
        <w:t>Las mujeres en estado de embarazo o período de lactancia, según se establece en el artículo 94 de este Código. (…)". </w:t>
      </w:r>
      <w:r w:rsidR="00B24726" w:rsidRPr="00D66245">
        <w:rPr>
          <w:rFonts w:ascii="Palatino Linotype" w:eastAsia="Times New Roman" w:hAnsi="Palatino Linotype" w:cs="Arial"/>
          <w:i/>
          <w:lang w:eastAsia="es-ES"/>
        </w:rPr>
        <w:t>(Así reformado por el artículo 2° de la ley n.° 9343 del 25 de enero de 2016, ‘Reforma Procesal Laboral’). Por su parte, el numeral 541 dispone lo siguiente: </w:t>
      </w:r>
      <w:r w:rsidR="00B24726" w:rsidRPr="00D66245">
        <w:rPr>
          <w:rFonts w:ascii="Palatino Linotype" w:eastAsia="Times New Roman" w:hAnsi="Palatino Linotype" w:cs="Arial"/>
          <w:i/>
          <w:iCs/>
          <w:lang w:eastAsia="es-ES"/>
        </w:rPr>
        <w:t>“Las personas indicadas en el artículo anterior tendrán derecho a un debido proceso, previo al despido, el cual se regirá por las siguientes disposiciones: [...] b)</w:t>
      </w:r>
      <w:r w:rsidR="00B24726" w:rsidRPr="00D66245">
        <w:rPr>
          <w:rFonts w:ascii="Palatino Linotype" w:eastAsia="Times New Roman" w:hAnsi="Palatino Linotype" w:cs="Arial"/>
          <w:b/>
          <w:bCs/>
          <w:i/>
          <w:iCs/>
          <w:lang w:eastAsia="es-ES"/>
        </w:rPr>
        <w:t> </w:t>
      </w:r>
      <w:r w:rsidR="00B24726" w:rsidRPr="00D66245">
        <w:rPr>
          <w:rFonts w:ascii="Palatino Linotype" w:eastAsia="Times New Roman" w:hAnsi="Palatino Linotype" w:cs="Arial"/>
          <w:i/>
          <w:iCs/>
          <w:lang w:eastAsia="es-ES"/>
        </w:rPr>
        <w:t>El debido proceso para el despido de las personas indicadas en los incisos 3), 4), 5) y 6) del artículo anterior, deberá gestionarse ante la Dirección Nacional de Inspección General de Trabajo. [...] e) Para que sea válido el despido, la parte empleadora deberá comprobar la falta ante el órgano del debido proceso correspondiente y obtener su autorización por resolución firme. [...]". </w:t>
      </w:r>
      <w:r w:rsidR="00B24726" w:rsidRPr="00D66245">
        <w:rPr>
          <w:rFonts w:ascii="Palatino Linotype" w:eastAsia="Times New Roman" w:hAnsi="Palatino Linotype" w:cs="Arial"/>
          <w:i/>
          <w:lang w:eastAsia="es-ES"/>
        </w:rPr>
        <w:t>(Así reformado por el artículo 2° de la ley n.° 9343 del 25 de enero de 2016, ‘Reforma Procesal Laboral’). Las normas transcritas vienen a reforzar la tutela ya prevista en el numeral 94 del Código de Trabajo, conforme al cual: </w:t>
      </w:r>
      <w:r w:rsidR="00B24726" w:rsidRPr="00D66245">
        <w:rPr>
          <w:rFonts w:ascii="Palatino Linotype" w:eastAsia="Times New Roman" w:hAnsi="Palatino Linotype" w:cs="Arial"/>
          <w:i/>
          <w:iCs/>
          <w:lang w:eastAsia="es-ES"/>
        </w:rPr>
        <w:t>“Queda prohibido a los patronos despedir a las trabajadoras que estuvieren en estado de embarazo o en período de lactancia, salvo por causa justificada originada en falta grave a los deberes derivados del contrato, conforme con las causales establecidas en el artículo 81. En este caso, el patrono deberá gestionar el despido ante la Dirección Nacional y la Inspección General de Trabajo, para lo cual deberá comprobar la falta. Excepcionalmente, la Dirección podrá ordenar la suspensión de la trabajadora, mientras se resuelve la gestión de despido. </w:t>
      </w:r>
      <w:r w:rsidR="00B24726" w:rsidRPr="00D66245">
        <w:rPr>
          <w:rFonts w:ascii="Palatino Linotype" w:eastAsia="Times New Roman" w:hAnsi="Palatino Linotype" w:cs="Arial"/>
          <w:b/>
          <w:bCs/>
          <w:i/>
          <w:iCs/>
          <w:u w:val="single"/>
          <w:lang w:eastAsia="es-ES"/>
        </w:rPr>
        <w:t>Para gozar de la protección que aquí se establece, la trabajadora deberá darle aviso de su estado al empleador, y aportar certificación médica o constancia de la Caja Costarricense de Seguro Social</w:t>
      </w:r>
      <w:r w:rsidR="00B24726" w:rsidRPr="00D66245">
        <w:rPr>
          <w:rFonts w:ascii="Palatino Linotype" w:eastAsia="Times New Roman" w:hAnsi="Palatino Linotype" w:cs="Arial"/>
          <w:i/>
          <w:iCs/>
          <w:lang w:eastAsia="es-ES"/>
        </w:rPr>
        <w:t>”</w:t>
      </w:r>
      <w:r w:rsidR="00B24726" w:rsidRPr="00D66245">
        <w:rPr>
          <w:rFonts w:ascii="Palatino Linotype" w:eastAsia="Times New Roman" w:hAnsi="Palatino Linotype" w:cs="Arial"/>
          <w:i/>
          <w:lang w:eastAsia="es-ES"/>
        </w:rPr>
        <w:t>(énfasis suplido</w:t>
      </w:r>
      <w:r w:rsidR="00B24726" w:rsidRPr="00D66245">
        <w:rPr>
          <w:rFonts w:ascii="Palatino Linotype" w:eastAsia="Times New Roman" w:hAnsi="Palatino Linotype" w:cs="Arial"/>
          <w:i/>
          <w:iCs/>
          <w:lang w:eastAsia="es-ES"/>
        </w:rPr>
        <w:t>. </w:t>
      </w:r>
      <w:r w:rsidR="00B24726" w:rsidRPr="00D66245">
        <w:rPr>
          <w:rFonts w:ascii="Palatino Linotype" w:eastAsia="Times New Roman" w:hAnsi="Palatino Linotype" w:cs="Arial"/>
          <w:i/>
          <w:lang w:eastAsia="es-ES"/>
        </w:rPr>
        <w:t>Así reformado por el artículo 32 de la Ley de Promoción de la Igualdad Social de la Mujer, n.º 7142 de 8 de marzo de 1990). Por su parte, el artículo 94 bis siguiente dispone que: </w:t>
      </w:r>
      <w:r w:rsidR="00B24726" w:rsidRPr="00D66245">
        <w:rPr>
          <w:rFonts w:ascii="Palatino Linotype" w:eastAsia="Times New Roman" w:hAnsi="Palatino Linotype" w:cs="Arial"/>
          <w:i/>
          <w:iCs/>
          <w:lang w:eastAsia="es-ES"/>
        </w:rPr>
        <w:t>“La trabajadora embarazada o en período de lactancia, que fuera despedida en contravención con lo dispuesto en el artículo anterior, podrá gestionar ante el juzgado de trabajo su reinstalación inmediata, con pleno goce de todos sus derechos, mediante el procedimiento establecido en el título décimo de este Código. La trabajadora podrá optar por la reinstalación, en cuyo caso el empleador o la empleadora deberán pagarle, además de la indemnización a que tenga derecho y en concepto de daños y perjuicios, las sumas correspondientes al subsidio de preparto y posparto, y los salarios que hubiera dejado de percibir desde el momento del despido, hasta completar ocho meses de embarazo. Si se tratara de una trabajadora en período de lactancia tendrá derecho, además de la cesantía y en concepto de daños y perjuicios, a diez días de salario”.</w:t>
      </w:r>
      <w:r w:rsidR="00B24726" w:rsidRPr="00D66245">
        <w:rPr>
          <w:rFonts w:ascii="Palatino Linotype" w:eastAsia="Times New Roman" w:hAnsi="Palatino Linotype" w:cs="Arial"/>
          <w:i/>
          <w:lang w:eastAsia="es-ES"/>
        </w:rPr>
        <w:t> (Así adicionado</w:t>
      </w:r>
      <w:r w:rsidR="00B24726" w:rsidRPr="00D66245">
        <w:rPr>
          <w:rFonts w:ascii="Palatino Linotype" w:eastAsia="Times New Roman" w:hAnsi="Palatino Linotype" w:cs="Arial"/>
          <w:b/>
          <w:bCs/>
          <w:i/>
          <w:lang w:eastAsia="es-ES"/>
        </w:rPr>
        <w:t> </w:t>
      </w:r>
      <w:r w:rsidR="00B24726" w:rsidRPr="00D66245">
        <w:rPr>
          <w:rFonts w:ascii="Palatino Linotype" w:eastAsia="Times New Roman" w:hAnsi="Palatino Linotype" w:cs="Arial"/>
          <w:i/>
          <w:lang w:eastAsia="es-ES"/>
        </w:rPr>
        <w:t>por el artículo 32° de la Ley de Promoción de la Igualdad Social de la Mujer n.º 7142 de 8 de marzo de 1990). (Así reformado por el artículo 3° aparte a) de la ley n.° 9343 del 25 de enero de 2016, </w:t>
      </w:r>
      <w:r w:rsidR="00B24726" w:rsidRPr="00D66245">
        <w:rPr>
          <w:rFonts w:ascii="Palatino Linotype" w:eastAsia="Times New Roman" w:hAnsi="Palatino Linotype" w:cs="Arial"/>
          <w:i/>
          <w:iCs/>
          <w:lang w:eastAsia="es-ES"/>
        </w:rPr>
        <w:t>"Reforma Procesal Laboral"</w:t>
      </w:r>
      <w:r w:rsidR="00B24726" w:rsidRPr="00D66245">
        <w:rPr>
          <w:rFonts w:ascii="Palatino Linotype" w:eastAsia="Times New Roman" w:hAnsi="Palatino Linotype" w:cs="Arial"/>
          <w:i/>
          <w:lang w:eastAsia="es-ES"/>
        </w:rPr>
        <w:t>. En el segundo párrafo de la norma es evidente que hace falta la palabra "no" antes de "optar", pues es cuando no se decide por la reinstalación, cuando surgen los derechos que ahí se consignan). En la demanda, la accionante manifestó que fue despedida en razón de su embarazo y de sus manifestaciones se desprende que el cese no se sustent ó en alguna falta a ella atribuida . Refirió que, en e l momento de finalización de la relación , le informó al empleador que se encontraba embarazada. Al contestar la demanda, los accionados refirieron que cuando se dispuso el despido, no se tenía conocimiento del embarazo de la accionante. Además, adujeron que la destitución se había acordado por las bajas ganancias del negocio. Especificaron que la trabajadora no había cumplido los tres meses que establecen implícitamente los numerales 28 y 29 del Código de Trabajo. D e la prueba recibida durante el proceso no se desprenden indicios del posible conocimiento que la parte empleadora habría tenido del estado de embarazo de la trabajadora. En la prueba confesional, los accionados admitieron que la demandante sí tuvo algunos problemas de salud pero que ella nunca les expresó que fueran síntomas relacionados con un embarazo. En lo que respecta a la prueba testimonial, aunque en sus respectivas de clara ciones, los testigos Ligia Jiménez Solano y Juan Carlos Solís Fernández, refirieron que les constaba las molestias presentadas por la actora antes del despido, las cuales ambos identificaron como embarazo, lo cierto es que ninguno de ellos da cuenta de tener conocimiento de manera directa que la actora hubiera comunicado su condición a la parte patronal. A ambos solo les consta lo que ella les relató. Es decir, s i bien hicieron ver que la accionante se sintió mal en algunas ocasiones antes del despido, no afirmaron que ella hubiera comunicado de esos síntomas o de su estado a los empleadores, más allá de lo que ella les narró. De sus declaraciones tampoco se desprende que, por algún otro medio, la parte empleadora se hubiera enterado - o al menos sospechado - del embarazo de la colaboradora, máxime cuando en el local generalmente solo se encontraba ella sola. Llama la atención que la declarante Jiménez Solano refirió que la actora se cercioró de su estado antes del despido, lo que se contradice con la prueba de embarazo que, como se verá, es de fecha posterior a ese evento; lo que le resta credibilidad a su dicho. También resulta relevante el hecho de que el testigo Solís Fernández -en sus comunicaciones telefónicas con la demandada- lo que le reclamaba era la falta de pago del preaviso; y -al rendir su declaración- centró su disgusto en que la actora hubiera sido despedida y nunca se le hubiera asegurado ni pagado horas extra. En ese sentido, l a actora presentó prueba documental sobre las conversaciones vía </w:t>
      </w:r>
      <w:r w:rsidR="00B24726" w:rsidRPr="00D66245">
        <w:rPr>
          <w:rFonts w:ascii="Palatino Linotype" w:eastAsia="Times New Roman" w:hAnsi="Palatino Linotype" w:cs="Arial"/>
          <w:i/>
          <w:iCs/>
          <w:lang w:eastAsia="es-ES"/>
        </w:rPr>
        <w:t>“whatsapp”</w:t>
      </w:r>
      <w:r w:rsidR="00B24726" w:rsidRPr="00D66245">
        <w:rPr>
          <w:rFonts w:ascii="Palatino Linotype" w:eastAsia="Times New Roman" w:hAnsi="Palatino Linotype" w:cs="Arial"/>
          <w:i/>
          <w:lang w:eastAsia="es-ES"/>
        </w:rPr>
        <w:t> que mantuvo con los empleadores y llama la atención que no se aprovechara la oportunidad de informar sobre su estado de embarazo por ese medio, y ocurrido el despido, en el reclamo del esposo de la actora nunca se hizo referencia a su condición. De igual manera, las propias declaraciones vertidas por la actora en su confesión, dejan entrever que aún para ella, el tema del embarazo era una situación incierta, cuando asegura haberle dicho a la demandada: </w:t>
      </w:r>
      <w:r w:rsidR="00B24726" w:rsidRPr="00D66245">
        <w:rPr>
          <w:rFonts w:ascii="Palatino Linotype" w:eastAsia="Times New Roman" w:hAnsi="Palatino Linotype" w:cs="Arial"/>
          <w:i/>
          <w:iCs/>
          <w:lang w:eastAsia="es-ES"/>
        </w:rPr>
        <w:t>"qué pasa si yo le digo que estoy embarazada"</w:t>
      </w:r>
      <w:r w:rsidR="00B24726" w:rsidRPr="00D66245">
        <w:rPr>
          <w:rFonts w:ascii="Palatino Linotype" w:eastAsia="Times New Roman" w:hAnsi="Palatino Linotype" w:cs="Arial"/>
          <w:i/>
          <w:lang w:eastAsia="es-ES"/>
        </w:rPr>
        <w:t>; situación que no la constata sino hasta el 22 de marzo de 2017, cuando el despido se había dado desde el 4 de ese mes. Frente a ello, se encuentra el hecho cierto y objetivo sobre la dificultad económica del negocio que finalmente motivó el hecho verificado de su cierre a partir del mes de abril del 2017, lo que descarta cualquier ánimo discriminatorio en la decisión de la parte accionada al prescindir de los servicios de la trabajadora. Como se infiere de los autos, se trata de un negocio de tipo familiar para cuyo funcionamiento la pareja arrendaba un pequeño local dedicado a la venta de emparedados y otro tipo de "comidas rápidas". A nada conduce referirse a aspectos relacionados con el periodo de prueba en que se encontraba la actora ocon la omisión de presentar el certificado médico de la Caja Costarricense de Seguro Social al momento del cese, pues ya se ha dicho de manera reiterada que ninguna de esas circunstancias coarta la aplicación del fuero de protección especial de la trabajadora embarazada. En todo caso, ya se dijo que la actora fue despedida el 4 de marzo de 2017 y la prueba de embarazo data del 22 de ese mismo mes, de ahí que no pudo haber comunicado el embarazo porque aún no lo sabía. Las circunstancias que derivan del caso integralmente considerado y valorado a la luz de las reglas de la lógica y de la experiencia hacen concluir a la mayoría de esta Sala que el despido no se ejecutó en contravención a las disposiciones legales. De conformidad con lo expuesto, el recurso debe ser denegado.</w:t>
      </w:r>
      <w:r w:rsidRPr="00D66245">
        <w:rPr>
          <w:rFonts w:ascii="Palatino Linotype" w:eastAsia="Times New Roman" w:hAnsi="Palatino Linotype" w:cs="Arial"/>
          <w:i/>
          <w:lang w:eastAsia="es-ES"/>
        </w:rPr>
        <w:t>”</w:t>
      </w:r>
    </w:p>
    <w:p w14:paraId="5C3AB6AD" w14:textId="77777777" w:rsidR="00B24726" w:rsidRPr="00D66245" w:rsidRDefault="00444F5D" w:rsidP="00F53211">
      <w:pPr>
        <w:spacing w:before="120" w:after="200"/>
        <w:jc w:val="center"/>
        <w:rPr>
          <w:rFonts w:ascii="Palatino Linotype" w:hAnsi="Palatino Linotype"/>
          <w:b/>
        </w:rPr>
      </w:pPr>
      <w:r w:rsidRPr="00D66245">
        <w:rPr>
          <w:rFonts w:ascii="Palatino Linotype" w:hAnsi="Palatino Linotype"/>
          <w:b/>
        </w:rPr>
        <w:t>FUERO SINDICAL</w:t>
      </w:r>
    </w:p>
    <w:p w14:paraId="537EE97B" w14:textId="77777777" w:rsidR="00444F5D" w:rsidRPr="00D66245" w:rsidRDefault="00444F5D" w:rsidP="00F53211">
      <w:pPr>
        <w:pStyle w:val="NormalWeb"/>
        <w:shd w:val="clear" w:color="auto" w:fill="FFFFFF"/>
        <w:spacing w:before="120" w:beforeAutospacing="0" w:after="200" w:afterAutospacing="0" w:line="300" w:lineRule="atLeast"/>
        <w:jc w:val="both"/>
        <w:rPr>
          <w:rFonts w:ascii="Palatino Linotype" w:hAnsi="Palatino Linotype" w:cs="Arial"/>
          <w:sz w:val="22"/>
          <w:szCs w:val="22"/>
        </w:rPr>
      </w:pPr>
      <w:r w:rsidRPr="00D66245">
        <w:rPr>
          <w:rFonts w:ascii="Palatino Linotype" w:hAnsi="Palatino Linotype" w:cs="Arial"/>
          <w:b/>
          <w:bCs/>
          <w:sz w:val="22"/>
          <w:szCs w:val="22"/>
        </w:rPr>
        <w:t>Res: 2018001946</w:t>
      </w:r>
    </w:p>
    <w:p w14:paraId="46CFFD55" w14:textId="77777777" w:rsidR="00444F5D" w:rsidRPr="00D66245" w:rsidRDefault="00444F5D" w:rsidP="00F53211">
      <w:pPr>
        <w:pStyle w:val="NormalWeb"/>
        <w:shd w:val="clear" w:color="auto" w:fill="FFFFFF"/>
        <w:spacing w:before="120" w:beforeAutospacing="0" w:after="200" w:afterAutospacing="0" w:line="300" w:lineRule="atLeast"/>
        <w:ind w:left="851" w:right="851"/>
        <w:jc w:val="both"/>
        <w:rPr>
          <w:rFonts w:ascii="Palatino Linotype" w:hAnsi="Palatino Linotype" w:cs="Arial"/>
          <w:sz w:val="22"/>
          <w:szCs w:val="22"/>
        </w:rPr>
      </w:pPr>
      <w:r w:rsidRPr="00D66245">
        <w:rPr>
          <w:rFonts w:ascii="Palatino Linotype" w:hAnsi="Palatino Linotype" w:cs="Arial"/>
          <w:b/>
          <w:bCs/>
          <w:sz w:val="22"/>
          <w:szCs w:val="22"/>
        </w:rPr>
        <w:t>SALA SEGUNDA DE LA CORTE SUPREMA DE JUSTICIA</w:t>
      </w:r>
      <w:r w:rsidRPr="00D66245">
        <w:rPr>
          <w:rFonts w:ascii="Palatino Linotype" w:hAnsi="Palatino Linotype" w:cs="Arial"/>
          <w:sz w:val="22"/>
          <w:szCs w:val="22"/>
        </w:rPr>
        <w:t>. San José, a las diez horas y cuarenta minutos del siete de diciembre de dos mil dieciocho.</w:t>
      </w:r>
    </w:p>
    <w:p w14:paraId="34368411" w14:textId="77777777" w:rsidR="00444F5D" w:rsidRPr="00D66245" w:rsidRDefault="00860694" w:rsidP="00F53211">
      <w:pPr>
        <w:pStyle w:val="NormalWeb"/>
        <w:shd w:val="clear" w:color="auto" w:fill="FFFFFF"/>
        <w:spacing w:before="120" w:beforeAutospacing="0" w:after="200" w:afterAutospacing="0" w:line="300" w:lineRule="atLeast"/>
        <w:ind w:left="851" w:right="851"/>
        <w:jc w:val="both"/>
        <w:rPr>
          <w:rFonts w:ascii="Palatino Linotype" w:hAnsi="Palatino Linotype" w:cs="Arial"/>
          <w:i/>
          <w:sz w:val="22"/>
          <w:szCs w:val="22"/>
        </w:rPr>
      </w:pPr>
      <w:r w:rsidRPr="00D66245">
        <w:rPr>
          <w:rFonts w:ascii="Palatino Linotype" w:hAnsi="Palatino Linotype" w:cs="Arial"/>
          <w:b/>
          <w:bCs/>
          <w:i/>
          <w:sz w:val="22"/>
          <w:szCs w:val="22"/>
        </w:rPr>
        <w:t>“</w:t>
      </w:r>
      <w:r w:rsidR="00444F5D" w:rsidRPr="00D66245">
        <w:rPr>
          <w:rFonts w:ascii="Palatino Linotype" w:hAnsi="Palatino Linotype" w:cs="Arial"/>
          <w:b/>
          <w:bCs/>
          <w:i/>
          <w:sz w:val="22"/>
          <w:szCs w:val="22"/>
        </w:rPr>
        <w:t>III.- SOBRE EL CASO CONCRETO: </w:t>
      </w:r>
      <w:r w:rsidR="00444F5D" w:rsidRPr="00D66245">
        <w:rPr>
          <w:rFonts w:ascii="Palatino Linotype" w:hAnsi="Palatino Linotype" w:cs="Arial"/>
          <w:i/>
          <w:sz w:val="22"/>
          <w:szCs w:val="22"/>
        </w:rPr>
        <w:t>Los actores, quienes dicen ser hermanos ([Nombre 002], [Nombre 003] y [Nombre 004], todos [Nombre 009]) y padre ([Nombre 001]) de[Nombre 009], dijeron que se les despidió porque este último se afilió al sindicado Asociación Nacional de Empleados Públicos y Privados (ANEP). Por su parte la accionada manifestó que el despido de los actores se debió a una causa objetiva, esta fue la reducción o baja en la producción de banano en la zona donde se ubican sus fincas, debido a los fenómenos climatológicos ocurridos en el año 2017, y por ello, recurrió a la causa establecida en el inciso d) del numeral 85 del Código de Trabajo, norma que establece la posibilidad de terminar con el contrato de trabajo, sin responsabilidad para el trabajador y sin que se extingan los derechos de este o de sus causahabientes para reclamar y obtener el pago de sus prestaciones, </w:t>
      </w:r>
      <w:r w:rsidR="00444F5D" w:rsidRPr="00D66245">
        <w:rPr>
          <w:rFonts w:ascii="Palatino Linotype" w:hAnsi="Palatino Linotype" w:cs="Arial"/>
          <w:i/>
          <w:iCs/>
          <w:sz w:val="22"/>
          <w:szCs w:val="22"/>
        </w:rPr>
        <w:t>“La propia voluntad del patrono”. </w:t>
      </w:r>
      <w:r w:rsidR="00444F5D" w:rsidRPr="00D66245">
        <w:rPr>
          <w:rFonts w:ascii="Palatino Linotype" w:hAnsi="Palatino Linotype" w:cs="Arial"/>
          <w:i/>
          <w:sz w:val="22"/>
          <w:szCs w:val="22"/>
        </w:rPr>
        <w:t>Esta disposición normativa regula la libertad de despido imperante en las relaciones laborales en el sector privado, donde el trabajador no goza de la estabilidad relativa de los trabajadores del sector público, a menos que la persona trabajadora se encuentre protegido por algún fuero de protección. Conforme a la norma citada, no es de recibo el agravio de los recurrentes en el sentido de que la accionada debió haber indicado el motivo por el cual fueron despedidos, pues claramente en las cartas de cese se indica que lo es conforme al inciso d) del artículo 85 del Código de Trabajo, es decir, su propia voluntad, y al ejercer dicha prerrogativa su responsabilidad se circunscribe al pago de los derechos que les corresponde a los actores, esto es preaviso, auxilio de cesantía, aguinaldo y vacaciones proporcionales, como en efecto les pagó la demandada. Los demandantes alegaron que fueron despedidos por la afiliación sindical de un tercero. Aunque fuese pariente de ellos, el despido de [Nombre 009] no convierte los suyos en discriminatorios por violación de la libertad sindical, pues no constan en autosindicios o pruebas que demuestren que los actores estuvieran afiliados a sindicato alguno, como si lo estaba Jasvin, ni que pretendieran afiliarse al sindicato al que se asoció su pariente o a otra organización de este tipo. Tampoco existen indicios o pruebas de que la empresa les prohibiera o limitara el ejercicio de la libertad sindical, afiliarse a un sindicato, que fueran integrantes de una organización sindical ya constituida o en formación conforme al artículo 367 del Código de Trabajo, para gozar de la protección que la normativa prevee, es decir, los demandantes no se encuentran cubiertos por ese fuero especial de protección. En escencia, no se está en presencia de un despido discriminatorio en razón del ejercicio de la libertad sindical.</w:t>
      </w:r>
      <w:r w:rsidRPr="00D66245">
        <w:rPr>
          <w:rFonts w:ascii="Palatino Linotype" w:hAnsi="Palatino Linotype" w:cs="Arial"/>
          <w:i/>
          <w:sz w:val="22"/>
          <w:szCs w:val="22"/>
        </w:rPr>
        <w:t>”</w:t>
      </w:r>
    </w:p>
    <w:p w14:paraId="6F25AA00" w14:textId="77777777" w:rsidR="00444F5D" w:rsidRPr="00D66245" w:rsidRDefault="00444F5D"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2018-001913</w:t>
      </w:r>
    </w:p>
    <w:p w14:paraId="12F7A5F5" w14:textId="77777777" w:rsidR="00444F5D" w:rsidRPr="00D66245" w:rsidRDefault="00444F5D" w:rsidP="00F53211">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nueve horas cincuenta minutos del veintiocho de noviembre de dos mil dieciocho.</w:t>
      </w:r>
    </w:p>
    <w:p w14:paraId="41A66778" w14:textId="1C5E6701" w:rsidR="00444F5D" w:rsidRPr="00D66245" w:rsidRDefault="00860694" w:rsidP="00F53211">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w:t>
      </w:r>
      <w:r w:rsidR="00444F5D" w:rsidRPr="00D66245">
        <w:rPr>
          <w:rFonts w:ascii="Palatino Linotype" w:eastAsia="Times New Roman" w:hAnsi="Palatino Linotype" w:cs="Arial"/>
          <w:b/>
          <w:bCs/>
          <w:i/>
          <w:lang w:eastAsia="es-ES"/>
        </w:rPr>
        <w:t>III.- SOBRE EL FONDO DEL ASUNTO. </w:t>
      </w:r>
      <w:r w:rsidR="00444F5D" w:rsidRPr="00D66245">
        <w:rPr>
          <w:rFonts w:ascii="Palatino Linotype" w:eastAsia="Times New Roman" w:hAnsi="Palatino Linotype" w:cs="Arial"/>
          <w:i/>
          <w:lang w:eastAsia="es-ES"/>
        </w:rPr>
        <w:t>La parte actora se manifiesta inconforme con lo resuelto en la sentencia impugnada. En primer término, debe señalarse que las objeciones del recurrente en relación con la notificación del Juzgado de la resolución de las 9:51 horas del 20 de abril de 2018, en cuanto indicó: “...</w:t>
      </w:r>
      <w:r w:rsidR="00444F5D" w:rsidRPr="00D66245">
        <w:rPr>
          <w:rFonts w:ascii="Palatino Linotype" w:eastAsia="Times New Roman" w:hAnsi="Palatino Linotype" w:cs="Arial"/>
          <w:i/>
          <w:iCs/>
          <w:lang w:eastAsia="es-ES"/>
        </w:rPr>
        <w:t>se convoca a las partes a una </w:t>
      </w:r>
      <w:r w:rsidR="00444F5D" w:rsidRPr="00D66245">
        <w:rPr>
          <w:rFonts w:ascii="Palatino Linotype" w:eastAsia="Times New Roman" w:hAnsi="Palatino Linotype" w:cs="Arial"/>
          <w:b/>
          <w:bCs/>
          <w:i/>
          <w:iCs/>
          <w:lang w:eastAsia="es-ES"/>
        </w:rPr>
        <w:t>AUDIENCIA ORAL</w:t>
      </w:r>
      <w:r w:rsidR="00444F5D" w:rsidRPr="00D66245">
        <w:rPr>
          <w:rFonts w:ascii="Palatino Linotype" w:eastAsia="Times New Roman" w:hAnsi="Palatino Linotype" w:cs="Arial"/>
          <w:i/>
          <w:iCs/>
          <w:lang w:eastAsia="es-ES"/>
        </w:rPr>
        <w:t> que se realizará en este despacho a las </w:t>
      </w:r>
      <w:r w:rsidR="00444F5D" w:rsidRPr="00D66245">
        <w:rPr>
          <w:rFonts w:ascii="Palatino Linotype" w:eastAsia="Times New Roman" w:hAnsi="Palatino Linotype" w:cs="Arial"/>
          <w:b/>
          <w:bCs/>
          <w:i/>
          <w:iCs/>
          <w:u w:val="single"/>
          <w:lang w:eastAsia="es-ES"/>
        </w:rPr>
        <w:t>OCHO HORAS DEL DIECISÉIS DE MAYO DE DOS MIL DIECIOCHO (08:00 HRS DEL 16/04/2018)</w:t>
      </w:r>
      <w:r w:rsidR="00444F5D" w:rsidRPr="00D66245">
        <w:rPr>
          <w:rFonts w:ascii="Palatino Linotype" w:eastAsia="Times New Roman" w:hAnsi="Palatino Linotype" w:cs="Arial"/>
          <w:i/>
          <w:lang w:eastAsia="es-ES"/>
        </w:rPr>
        <w:t>”, no resultan procedentes, pues si bien existe un error material en la fecha numérica (16/04/2018), no resulta lógico que siendo la resolución del 20 de abril de 2018, se convoque a una audiencia para el 16 de ese mismo mes. En todo caso, si la parte actora tuvo duda al respecto, debió haber gestionado ante el Juzgado con el fin de aclarar el punto, lo cual no hizo. Nótese que si bien el artículo 587 inciso 1) admite el recurso ante esta Sala por vicios por los que proceda la nulidad de actuaciones, para que ello sea atendible, debe haberse alegado en alguna fase anterior del proceso, lo que, como se indicó, no se cumplió. Ahora bien, al plantearse esta litis , el actor alegó discriminación en virtud de haber sido despedido el 19 de enero de 2018, producto de su afiliación a la ANEP, justamente el 3 de enero de ese mismo año, lo cual le fue notificado a la accionada el día siguiente. En contraposición, la demandada alegó que el accionante no superó el período de prueba, pues tuvo un desempeño deficiente en las labores que se le encomendaron, circunstancia por la que éste no cumplió las expectativas y necesidades que tenía la compañía. Planteados los argumentos en estos términos, debe quedar claro que la protección de este proceso sumario se solicitó por violación al fuero sindical, alegando que el acto de despido fue discriminatorio (véase el encabezado y el fundamento de derecho de la demanda). Dentro del título </w:t>
      </w:r>
      <w:r w:rsidR="00444F5D" w:rsidRPr="00D66245">
        <w:rPr>
          <w:rFonts w:ascii="Palatino Linotype" w:eastAsia="Times New Roman" w:hAnsi="Palatino Linotype" w:cs="Arial"/>
          <w:i/>
          <w:iCs/>
          <w:lang w:eastAsia="es-ES"/>
        </w:rPr>
        <w:t>“Protección en fueros especiales y tutela del debido proceso”</w:t>
      </w:r>
      <w:r w:rsidR="00444F5D" w:rsidRPr="00D66245">
        <w:rPr>
          <w:rFonts w:ascii="Palatino Linotype" w:eastAsia="Times New Roman" w:hAnsi="Palatino Linotype" w:cs="Arial"/>
          <w:i/>
          <w:lang w:eastAsia="es-ES"/>
        </w:rPr>
        <w:t>, el artículo 540 del Código de Trabajo en su último párrafo, señala: </w:t>
      </w:r>
      <w:r w:rsidR="00444F5D" w:rsidRPr="00D66245">
        <w:rPr>
          <w:rFonts w:ascii="Palatino Linotype" w:eastAsia="Times New Roman" w:hAnsi="Palatino Linotype" w:cs="Arial"/>
          <w:i/>
          <w:iCs/>
          <w:lang w:eastAsia="es-ES"/>
        </w:rPr>
        <w:t>“También, podrán impugnarse en la vía sumarísima prevista en esta sección, </w:t>
      </w:r>
      <w:r w:rsidR="00444F5D" w:rsidRPr="00D66245">
        <w:rPr>
          <w:rFonts w:ascii="Palatino Linotype" w:eastAsia="Times New Roman" w:hAnsi="Palatino Linotype" w:cs="Arial"/>
          <w:b/>
          <w:bCs/>
          <w:i/>
          <w:iCs/>
          <w:lang w:eastAsia="es-ES"/>
        </w:rPr>
        <w:t>los casos de discriminación por cualquier causa</w:t>
      </w:r>
      <w:r w:rsidR="00444F5D" w:rsidRPr="00D66245">
        <w:rPr>
          <w:rFonts w:ascii="Palatino Linotype" w:eastAsia="Times New Roman" w:hAnsi="Palatino Linotype" w:cs="Arial"/>
          <w:i/>
          <w:iCs/>
          <w:lang w:eastAsia="es-ES"/>
        </w:rPr>
        <w:t>, en contra de trabajadores o trabajadoras, que tengan lugar en el trabajo o con ocasión de él</w:t>
      </w:r>
      <w:r w:rsidR="00444F5D" w:rsidRPr="00D66245">
        <w:rPr>
          <w:rFonts w:ascii="Palatino Linotype" w:eastAsia="Times New Roman" w:hAnsi="Palatino Linotype" w:cs="Arial"/>
          <w:i/>
          <w:lang w:eastAsia="es-ES"/>
        </w:rPr>
        <w:t>” (Énfasis suplido). De manera que, en este proceso se pretende hacer efectiva la prohibición de discriminar plasmada en el Título Octavo de la normativa laboral. En específico el artículo 404 indica: “</w:t>
      </w:r>
      <w:r w:rsidR="00444F5D" w:rsidRPr="00D66245">
        <w:rPr>
          <w:rFonts w:ascii="Palatino Linotype" w:eastAsia="Times New Roman" w:hAnsi="Palatino Linotype" w:cs="Arial"/>
          <w:i/>
          <w:iCs/>
          <w:lang w:eastAsia="es-ES"/>
        </w:rPr>
        <w:t>Se prohíbe toda discriminación en el trabajo por razones de edad, etnia, sexo, religión, raza, orientación sexual, estado civil, opinión política, ascendencia nacional, origen social, filiación, discapacidad, afiliación sindical, situación económica o cualquier otra forma análoga de discriminación</w:t>
      </w:r>
      <w:r w:rsidR="00444F5D" w:rsidRPr="00D66245">
        <w:rPr>
          <w:rFonts w:ascii="Palatino Linotype" w:eastAsia="Times New Roman" w:hAnsi="Palatino Linotype" w:cs="Arial"/>
          <w:i/>
          <w:lang w:eastAsia="es-ES"/>
        </w:rPr>
        <w:t>”. La persona trabajadora que sufra cualquier tipo de discriminación, contemplada en dicho título, está facultada para alegarla ante los juzgados de trabajo, señalando el sustento fáctico en el que funda su alegato y los términos de comparación que substancie su afirmación (artículo 409). A este respecto también debe resaltarse el voto de la Sala Constitucional n.° 5000 de las 10:09 horas del 8 de octubre de 1993, donde se indicó:</w:t>
      </w:r>
      <w:r w:rsidR="00444F5D" w:rsidRPr="00D66245">
        <w:rPr>
          <w:rFonts w:ascii="Palatino Linotype" w:eastAsia="Times New Roman" w:hAnsi="Palatino Linotype" w:cs="Arial"/>
          <w:i/>
          <w:iCs/>
          <w:lang w:eastAsia="es-ES"/>
        </w:rPr>
        <w:t> “Atendiendo a la letra y al espíritu de todas las disposiciones transcritas resulta evidente que la protección especial dada a los representantes de los trabajadores, a quienes se les concede protección eficaz contra todo acto que pueda perjudicarlos, incluido el despido, constituye lo que en materia se conoce como un fuero especial en beneficio particular, de dichos representantes y como protección de los derechos de los trabajadores mismos, quienes verían menoscabados sus derechos fundamentales si sus líderes no fueran inamovibles mientras ostenten el mandato válidamente concedido y pudieran ser despedidos unilateralmente por decisión patronal, sin que mediara causal legal objetiva que justificara el rompimiento del contrato laboral. Desde esa perspectiva y en vista del interés social comprometido, el pago de las denominadas prestaciones sociales es insuficiente para amparar el despido el cual, cuando proceda debe fundamentarse en una causal comprobada que demuestre mediante el debido proceso, que el representante como tal, ha violado sus obligaciones particulares y generales (…). (…) </w:t>
      </w:r>
      <w:r w:rsidR="00444F5D" w:rsidRPr="00D66245">
        <w:rPr>
          <w:rFonts w:ascii="Palatino Linotype" w:eastAsia="Times New Roman" w:hAnsi="Palatino Linotype" w:cs="Arial"/>
          <w:i/>
          <w:iCs/>
          <w:u w:val="single"/>
          <w:lang w:eastAsia="es-ES"/>
        </w:rPr>
        <w:t>aunque hasta el momento se ha venido considerando la situación de los representantes de los trabajadores, sindicalizados o no, cabe decir que con igual sustento normativo y con igual criterio debe resolverse el despido de los simples trabajadores cuando la causal, expresa o tácita, sea su pertenencia a una asociación o sindicato, porque ello también viola sus derechos fundamentales…</w:t>
      </w:r>
      <w:r w:rsidR="00444F5D" w:rsidRPr="00D66245">
        <w:rPr>
          <w:rFonts w:ascii="Palatino Linotype" w:eastAsia="Times New Roman" w:hAnsi="Palatino Linotype" w:cs="Arial"/>
          <w:i/>
          <w:iCs/>
          <w:lang w:eastAsia="es-ES"/>
        </w:rPr>
        <w:t>”</w:t>
      </w:r>
      <w:r w:rsidR="00444F5D" w:rsidRPr="00D66245">
        <w:rPr>
          <w:rFonts w:ascii="Palatino Linotype" w:eastAsia="Times New Roman" w:hAnsi="Palatino Linotype" w:cs="Arial"/>
          <w:i/>
          <w:lang w:eastAsia="es-ES"/>
        </w:rPr>
        <w:t> (Énfasis suplido). Este concepto ampliado de la libertad sindical se enmarca dentro de la protección frente a lo que se ha dado en llamar “</w:t>
      </w:r>
      <w:r w:rsidR="00444F5D" w:rsidRPr="00D66245">
        <w:rPr>
          <w:rFonts w:ascii="Palatino Linotype" w:eastAsia="Times New Roman" w:hAnsi="Palatino Linotype" w:cs="Arial"/>
          <w:i/>
          <w:iCs/>
          <w:lang w:eastAsia="es-ES"/>
        </w:rPr>
        <w:t>prácticas laborales desleales</w:t>
      </w:r>
      <w:r w:rsidR="00444F5D" w:rsidRPr="00D66245">
        <w:rPr>
          <w:rFonts w:ascii="Palatino Linotype" w:eastAsia="Times New Roman" w:hAnsi="Palatino Linotype" w:cs="Arial"/>
          <w:i/>
          <w:lang w:eastAsia="es-ES"/>
        </w:rPr>
        <w:t>”, que ya no son las que se ejercen contra las personas trabajadoras cubiertas por un fuero de protección especial, sino todas aquellas acciones que, contraviniendo el principio de buena fe contenido en el artículo 19 del Código de Trabajo, pretendan impedir que las personas trabajadoras ejerciten sus derechos, entre estos, fundamentalmente, los derechos colectivos derivados de la libertad sindical (ver las resoluciones de esta Sala n.º 285 de las 9:05 horas, del 3 de abril de 2009 y 913 de las 10:40 horas, del 3 de octubre de 2012). Es un hecho no controvertido que, cuando se dio el cese de la relación laboral, el 19 de enero de 2018, al actor se le entregó una carta de despido, donde se indicó que este obedecía a: “</w:t>
      </w:r>
      <w:r w:rsidR="00444F5D" w:rsidRPr="00D66245">
        <w:rPr>
          <w:rFonts w:ascii="Palatino Linotype" w:eastAsia="Times New Roman" w:hAnsi="Palatino Linotype" w:cs="Arial"/>
          <w:i/>
          <w:iCs/>
          <w:lang w:eastAsia="es-ES"/>
        </w:rPr>
        <w:t>no haber superado el período de prueba para el cargo que se le encomendó en la empresa</w:t>
      </w:r>
      <w:r w:rsidR="00444F5D" w:rsidRPr="00D66245">
        <w:rPr>
          <w:rFonts w:ascii="Palatino Linotype" w:eastAsia="Times New Roman" w:hAnsi="Palatino Linotype" w:cs="Arial"/>
          <w:i/>
          <w:lang w:eastAsia="es-ES"/>
        </w:rPr>
        <w:t>” (imagen 86 del documento incorporado al expediente electrónico en fecha 16/02/2018 a las 14:51:34 horas). No obstante, la parte demandante alegó que este se dio por discriminación, dada su afiliación a la organización sindical mencionada. En el voto de esta Sala número 899, de las 9:20 horas del 30 de junio de 2017, se dijo: “</w:t>
      </w:r>
      <w:r w:rsidR="00444F5D" w:rsidRPr="00D66245">
        <w:rPr>
          <w:rFonts w:ascii="Palatino Linotype" w:eastAsia="Times New Roman" w:hAnsi="Palatino Linotype" w:cs="Arial"/>
          <w:i/>
          <w:iCs/>
          <w:lang w:eastAsia="es-ES"/>
        </w:rPr>
        <w:t>Por otro lado, en relación con la discriminación alegada por el trabajador, debe señalarse que, contrario a lo expuesto por el recurrente, esta Sala ha sostenido la tesis de que </w:t>
      </w:r>
      <w:r w:rsidR="00444F5D" w:rsidRPr="00D66245">
        <w:rPr>
          <w:rFonts w:ascii="Palatino Linotype" w:eastAsia="Times New Roman" w:hAnsi="Palatino Linotype" w:cs="Arial"/>
          <w:b/>
          <w:bCs/>
          <w:i/>
          <w:iCs/>
          <w:lang w:eastAsia="es-ES"/>
        </w:rPr>
        <w:t>cuando la persona trabajadora alegue un motivo discriminatorio en la causa de despido y, además, presente indicios que permitan presumir que ese ha sido el motivo, corresponderá al empleador desvirtuar este hecho</w:t>
      </w:r>
      <w:r w:rsidR="00444F5D" w:rsidRPr="00D66245">
        <w:rPr>
          <w:rFonts w:ascii="Palatino Linotype" w:eastAsia="Times New Roman" w:hAnsi="Palatino Linotype" w:cs="Arial"/>
          <w:i/>
          <w:iCs/>
          <w:lang w:eastAsia="es-ES"/>
        </w:rPr>
        <w:t>. Al respecto, en la sentencia n.° 1229, de las 11:20 horas del 2 de diciembre de 2009, se resolvió: ‘[…] En otras ocasiones, en las que representantes sindicales reclaman la nulidad de un despido por violación a la libertad sindical, la Sala ha establecido que razonablemente </w:t>
      </w:r>
      <w:r w:rsidR="00444F5D" w:rsidRPr="00D66245">
        <w:rPr>
          <w:rFonts w:ascii="Palatino Linotype" w:eastAsia="Times New Roman" w:hAnsi="Palatino Linotype" w:cs="Arial"/>
          <w:b/>
          <w:bCs/>
          <w:i/>
          <w:iCs/>
          <w:lang w:eastAsia="es-ES"/>
        </w:rPr>
        <w:t>debe partirse de la presunción de verdad de la afirmación de persecución sindical</w:t>
      </w:r>
      <w:r w:rsidR="00444F5D" w:rsidRPr="00D66245">
        <w:rPr>
          <w:rFonts w:ascii="Palatino Linotype" w:eastAsia="Times New Roman" w:hAnsi="Palatino Linotype" w:cs="Arial"/>
          <w:i/>
          <w:iCs/>
          <w:lang w:eastAsia="es-ES"/>
        </w:rPr>
        <w:t>, contenida en la demanda, en aras, precisamente, de brindar una tutela adecuada al indicado derecho fundamental. Interpretar lo contrario, implicaría dejar al trabajador/a en una situación de verdadera desventaja en el campo probatorio, haciendo nugatorio el derecho, pues es el patrono quien tiene a su disposición los medios suficientes para poder probar su tesis en juicio.</w:t>
      </w:r>
      <w:r w:rsidR="00444F5D" w:rsidRPr="00D66245">
        <w:rPr>
          <w:rFonts w:ascii="Palatino Linotype" w:eastAsia="Times New Roman" w:hAnsi="Palatino Linotype" w:cs="Arial"/>
          <w:b/>
          <w:bCs/>
          <w:i/>
          <w:iCs/>
          <w:lang w:eastAsia="es-ES"/>
        </w:rPr>
        <w:t>Esa conclusión, además, pone en práctica la Recomendación 143 de la Organización Internacional del Trabajo, que en el inciso e) del numeral 6</w:t>
      </w:r>
      <w:r w:rsidR="00444F5D" w:rsidRPr="00D66245">
        <w:rPr>
          <w:rFonts w:ascii="Palatino Linotype" w:eastAsia="Times New Roman" w:hAnsi="Palatino Linotype" w:cs="Arial"/>
          <w:i/>
          <w:iCs/>
          <w:lang w:eastAsia="es-ES"/>
        </w:rPr>
        <w:t> literalmente contempla como necesaria para lograr una protección eficaz: ‘e) imponer al empleador, cuando se alegue que el despido de un representante de los trabajadores o cualquier cambio desfavorable en sus condiciones de empleo tiene un carácter discriminatorio, la obligación de probar que dicho acto estaba justificado’. Claro está, que la aludida presunción no es absoluta, sino, relativa, de ahí que admita prueba en contrario. En ese supuesto, </w:t>
      </w:r>
      <w:r w:rsidR="00444F5D" w:rsidRPr="00D66245">
        <w:rPr>
          <w:rFonts w:ascii="Palatino Linotype" w:eastAsia="Times New Roman" w:hAnsi="Palatino Linotype" w:cs="Arial"/>
          <w:b/>
          <w:bCs/>
          <w:i/>
          <w:iCs/>
          <w:lang w:eastAsia="es-ES"/>
        </w:rPr>
        <w:t>la parte patronal tiene la carga procesal de demostrar que el cese de la relación no es discriminatorio</w:t>
      </w:r>
      <w:r w:rsidR="00444F5D" w:rsidRPr="00D66245">
        <w:rPr>
          <w:rFonts w:ascii="Palatino Linotype" w:eastAsia="Times New Roman" w:hAnsi="Palatino Linotype" w:cs="Arial"/>
          <w:i/>
          <w:iCs/>
          <w:lang w:eastAsia="es-ES"/>
        </w:rPr>
        <w:t>. Aunque ya esta Sala ha admitido que </w:t>
      </w:r>
      <w:r w:rsidR="00444F5D" w:rsidRPr="00D66245">
        <w:rPr>
          <w:rFonts w:ascii="Palatino Linotype" w:eastAsia="Times New Roman" w:hAnsi="Palatino Linotype" w:cs="Arial"/>
          <w:b/>
          <w:bCs/>
          <w:i/>
          <w:iCs/>
          <w:lang w:eastAsia="es-ES"/>
        </w:rPr>
        <w:t>la protección de los Derechos Sindicales no solamente ampara a los representantes sindicales sino también a aquellos trabajadores y trabajadoras a quienes expresa o tácitamente se les limitan las libertades sindicales</w:t>
      </w:r>
      <w:r w:rsidR="00444F5D" w:rsidRPr="00D66245">
        <w:rPr>
          <w:rFonts w:ascii="Palatino Linotype" w:eastAsia="Times New Roman" w:hAnsi="Palatino Linotype" w:cs="Arial"/>
          <w:i/>
          <w:iCs/>
          <w:lang w:eastAsia="es-ES"/>
        </w:rPr>
        <w:t>, persiste en estos casos la obligación del trabajador/a sindicalizado/a de demostrar, al menos mediante prueba indiciaria, que la afectación de sus derechos proviene de su pertenencia o de alguna actuación relacionada con el ejercicio de tales derechos. En este caso, el actor debió aportar al menos algún indicio de su postulación a delegado sindical, para revertir en la demandada la obligación de acreditar que el despido tuvo una razón objetiva y no discriminatoria” (en igual sentido, consúltese el voto n.° 822, de las 10:00 horas del 7 de octubre de 2011). </w:t>
      </w:r>
      <w:r w:rsidR="00444F5D" w:rsidRPr="00D66245">
        <w:rPr>
          <w:rFonts w:ascii="Palatino Linotype" w:eastAsia="Times New Roman" w:hAnsi="Palatino Linotype" w:cs="Arial"/>
          <w:b/>
          <w:bCs/>
          <w:i/>
          <w:iCs/>
          <w:lang w:eastAsia="es-ES"/>
        </w:rPr>
        <w:t>La tesis sostenida por esta Sala ha sido la misma que mantienen los órganos de control de la Organización Internacional del Trabajo, específicamente el Comité de Libertad Sindical del Consejo de Administración</w:t>
      </w:r>
      <w:r w:rsidR="00444F5D" w:rsidRPr="00D66245">
        <w:rPr>
          <w:rFonts w:ascii="Palatino Linotype" w:eastAsia="Times New Roman" w:hAnsi="Palatino Linotype" w:cs="Arial"/>
          <w:i/>
          <w:iCs/>
          <w:lang w:eastAsia="es-ES"/>
        </w:rPr>
        <w:t> que ha indicado: ‘Además de los mecanismos de protección preventiva contra actos de discriminación antisindical (como por ejemplo, la obtención de una autorización previa de la inspección del trabajo antes de proceder al despido de un dirigente sindical), otra forma de garantizar una protección eficaz podría consistir en obligar a los empleadores a aportar la prueba de que su decisión de despedir a un trabajador no está vinculada a las actividades sindicales del mismo’ (OIT. </w:t>
      </w:r>
      <w:r w:rsidR="00444F5D" w:rsidRPr="00D66245">
        <w:rPr>
          <w:rFonts w:ascii="Palatino Linotype" w:eastAsia="Times New Roman" w:hAnsi="Palatino Linotype" w:cs="Arial"/>
          <w:i/>
          <w:iCs/>
          <w:u w:val="single"/>
          <w:lang w:eastAsia="es-ES"/>
        </w:rPr>
        <w:t>Libertad sindical: Recopilación de decisiones y principios del Comité de Libertad Sindical del Consejo de Administración de la OIT</w:t>
      </w:r>
      <w:r w:rsidR="00444F5D" w:rsidRPr="00D66245">
        <w:rPr>
          <w:rFonts w:ascii="Palatino Linotype" w:eastAsia="Times New Roman" w:hAnsi="Palatino Linotype" w:cs="Arial"/>
          <w:i/>
          <w:iCs/>
          <w:lang w:eastAsia="es-ES"/>
        </w:rPr>
        <w:t>. Ginebra, Oficina Internacional del Trabajo. Quinta edición (revisada). 2006. Página 177. Suiza). De modo que cuando existan indicios de la discriminación, la carga de la prueba de la existencia de razones objetivas que justifiquen el despido y que descarten la presencia de un acto discriminatorio por persecución sindical, una vez que ha quedado acreditada la condición de afiliado sindical, recae sobre el empleador.” </w:t>
      </w:r>
      <w:r w:rsidR="00444F5D" w:rsidRPr="00D66245">
        <w:rPr>
          <w:rFonts w:ascii="Palatino Linotype" w:eastAsia="Times New Roman" w:hAnsi="Palatino Linotype" w:cs="Arial"/>
          <w:i/>
          <w:lang w:eastAsia="es-ES"/>
        </w:rPr>
        <w:t>(El resaltado es agregado). Expresamente nuestra legislación laboral establece que corresponde a la parte patronal probar: </w:t>
      </w:r>
      <w:r w:rsidR="00444F5D" w:rsidRPr="00D66245">
        <w:rPr>
          <w:rFonts w:ascii="Palatino Linotype" w:eastAsia="Times New Roman" w:hAnsi="Palatino Linotype" w:cs="Arial"/>
          <w:i/>
          <w:iCs/>
          <w:lang w:eastAsia="es-ES"/>
        </w:rPr>
        <w:t>“La justificación de la objetividad, racionalidad y proporcionalidad de las medidas o las conductas señaladas como discriminatorias en todas las demandas relacionadas con discriminaciones” </w:t>
      </w:r>
      <w:r w:rsidR="00444F5D" w:rsidRPr="00D66245">
        <w:rPr>
          <w:rFonts w:ascii="Palatino Linotype" w:eastAsia="Times New Roman" w:hAnsi="Palatino Linotype" w:cs="Arial"/>
          <w:i/>
          <w:lang w:eastAsia="es-ES"/>
        </w:rPr>
        <w:t>(artículo 478, inciso 10, según ley n.° 9343 del 25 de enero de 2016, “Reforma Procesal Laboral”). De la prueba documental traída al expediente, se constata: </w:t>
      </w:r>
      <w:r w:rsidR="00444F5D" w:rsidRPr="00D66245">
        <w:rPr>
          <w:rFonts w:ascii="Palatino Linotype" w:eastAsia="Times New Roman" w:hAnsi="Palatino Linotype" w:cs="Arial"/>
          <w:b/>
          <w:bCs/>
          <w:i/>
          <w:lang w:eastAsia="es-ES"/>
        </w:rPr>
        <w:t>a)</w:t>
      </w:r>
      <w:r w:rsidR="00444F5D" w:rsidRPr="00D66245">
        <w:rPr>
          <w:rFonts w:ascii="Palatino Linotype" w:eastAsia="Times New Roman" w:hAnsi="Palatino Linotype" w:cs="Arial"/>
          <w:i/>
          <w:lang w:eastAsia="es-ES"/>
        </w:rPr>
        <w:t> Que el 4 de enero de 2018, ante el Departamento de Planillas y Cuentas por Pagar de la empresa demandada, se comunicó la afiliación del actor a la ANEP (imagen 87 del documento incorporado en fecha 16/02/2018 a las 14:51:34 horas) </w:t>
      </w:r>
      <w:r w:rsidR="00444F5D" w:rsidRPr="00D66245">
        <w:rPr>
          <w:rFonts w:ascii="Palatino Linotype" w:eastAsia="Times New Roman" w:hAnsi="Palatino Linotype" w:cs="Arial"/>
          <w:b/>
          <w:bCs/>
          <w:i/>
          <w:lang w:eastAsia="es-ES"/>
        </w:rPr>
        <w:t>b) </w:t>
      </w:r>
      <w:r w:rsidR="00444F5D" w:rsidRPr="00D66245">
        <w:rPr>
          <w:rFonts w:ascii="Palatino Linotype" w:eastAsia="Times New Roman" w:hAnsi="Palatino Linotype" w:cs="Arial"/>
          <w:i/>
          <w:lang w:eastAsia="es-ES"/>
        </w:rPr>
        <w:t>El 10 de enero de 2018, el supervisor del actor (el señor [Nombre 002]), le entregó a éste una nota en la que se indicó: “</w:t>
      </w:r>
      <w:r w:rsidR="00444F5D" w:rsidRPr="00D66245">
        <w:rPr>
          <w:rFonts w:ascii="Palatino Linotype" w:eastAsia="Times New Roman" w:hAnsi="Palatino Linotype" w:cs="Arial"/>
          <w:i/>
          <w:iCs/>
          <w:lang w:eastAsia="es-ES"/>
        </w:rPr>
        <w:t>La presente es una llamada de atención por desacato a la labor de deshoja, ya que durante las evaluaciones realizadas por parte de su jefatura inmediata, se observó que no se viene realizando el despunte, cirugía, ni el conteo de las hojas, lo cual consta en la evaluación realizada a la labor que usted ejecuta el día 05 de enero del 2018 en el cable 21. Por lo anterior, en resguardo de los intereses de nuestra empresa, se procede a realizarle una llamada de atención de conformidad con lo establecido en el artículo 71 incisos a y b, bajo apercibimiento que, de volver a incurrir nuevamente en esta misma falta, se procederá con la aplicación de sanciones más drásticas, incluidas el despido. Asimismo, se le recuerda que como colaborador, usted constituye un elemento de suma importancia para nosotros, por lo que le invitamos a recapacitar al respecto y corrija esta conducta para beneficio suyo y de la empresa” </w:t>
      </w:r>
      <w:r w:rsidR="00444F5D" w:rsidRPr="00D66245">
        <w:rPr>
          <w:rFonts w:ascii="Palatino Linotype" w:eastAsia="Times New Roman" w:hAnsi="Palatino Linotype" w:cs="Arial"/>
          <w:i/>
          <w:lang w:eastAsia="es-ES"/>
        </w:rPr>
        <w:t>(imagen 91 del documento incorporado al expediente electrónico en fecha 16/02/2018 a las 14:51:34 horas). El 15 de enero siguiente le dirigió otra, en la que se le comunicó: “</w:t>
      </w:r>
      <w:r w:rsidR="00444F5D" w:rsidRPr="00D66245">
        <w:rPr>
          <w:rFonts w:ascii="Palatino Linotype" w:eastAsia="Times New Roman" w:hAnsi="Palatino Linotype" w:cs="Arial"/>
          <w:i/>
          <w:iCs/>
          <w:lang w:eastAsia="es-ES"/>
        </w:rPr>
        <w:t>La presente es una llamada de atención por desacato a la labor de deshoja y abandono de trabajo, esto el pasado jueves 11 de enero del 2018 su persona incurrió en estas dos faltas, ya que al ser la 1:00 pm usted se retiró de su centro de trabajo sin autorización previa de su jefatura inmediata, sin haber terminado el área asignada y sin haber finalizado su jornada laboral. Por lo anterior, en resguardo de los intereses de nuestra empresa, se procede a realizarle una llamada de atención de conformidad con lo establecido en el artículo 71 inciso a y 72 inciso a, bajo apercibimiento que, de volver a incurrir nuevamente en esta misma falta, se procederá con la aplicación de sanciones más drásticas, incluidas el despido. Asimismo, se le recuerda que como colaborador, usted constituye un elemento de suma importancia para nosotros, por lo que le invitamos a recapacitar al respecto y corrija esta conducta para beneficio suyo y de la empresa” </w:t>
      </w:r>
      <w:r w:rsidR="00444F5D" w:rsidRPr="00D66245">
        <w:rPr>
          <w:rFonts w:ascii="Palatino Linotype" w:eastAsia="Times New Roman" w:hAnsi="Palatino Linotype" w:cs="Arial"/>
          <w:i/>
          <w:lang w:eastAsia="es-ES"/>
        </w:rPr>
        <w:t>(imagen 92 ídem). Finalmente, el 18 de enero siguiente se le volvió a hacer una nueva llamada de atención, en la que se indicó: “</w:t>
      </w:r>
      <w:r w:rsidR="00444F5D" w:rsidRPr="00D66245">
        <w:rPr>
          <w:rFonts w:ascii="Palatino Linotype" w:eastAsia="Times New Roman" w:hAnsi="Palatino Linotype" w:cs="Arial"/>
          <w:i/>
          <w:iCs/>
          <w:lang w:eastAsia="es-ES"/>
        </w:rPr>
        <w:t>La presente es una llamada de atención por desacato a la labor de deshoja, ya que durante las evaluaciones realizadas por parte de su jefatura inmediata, se observó que no se viene realizando el despunte, cirugía, ni el conteo de las hojas, lo cual consta en la evaluación realizada a la labor que usted ejecuta los días 11 de enero de 2018 en el cable 04 y 15 de enero del 2018 en el cable 21. Por lo anterior, en resguardo de los intereses de nuestra empresa, se procede a realizarle una llamada de atención de conformidad con lo establecido en el artículo 71 incisos a y b, bajo apercibimiento que, de volver a incurrir nuevamente en esta misma falta, se procederá con la aplicación de sanciones más drásticas, incluidas el despido. Asimismo, se le recuerda que como colaborador, usted constituye un elemento de suma importancia para nosotros, por lo que le invitamos a recapacitar al respecto y corrija esta conducta para beneficio suyo y de la empresa</w:t>
      </w:r>
      <w:r w:rsidR="00444F5D" w:rsidRPr="00D66245">
        <w:rPr>
          <w:rFonts w:ascii="Palatino Linotype" w:eastAsia="Times New Roman" w:hAnsi="Palatino Linotype" w:cs="Arial"/>
          <w:i/>
          <w:lang w:eastAsia="es-ES"/>
        </w:rPr>
        <w:t>” (imagen 93 ídem). En atención a la prueba testimonial ofrecida por la demandada, la testigo [Nombre 003] (Supervisora de Relaciones del Trabajo de RRHH), en lo que interesa, expresó: “</w:t>
      </w:r>
      <w:r w:rsidR="00444F5D" w:rsidRPr="00D66245">
        <w:rPr>
          <w:rFonts w:ascii="Palatino Linotype" w:eastAsia="Times New Roman" w:hAnsi="Palatino Linotype" w:cs="Arial"/>
          <w:i/>
          <w:iCs/>
          <w:lang w:eastAsia="es-ES"/>
        </w:rPr>
        <w:t>La finalización de la relación laboral entre las partes se dio porque no superó las expectativas de la compañía durante el período de prueba, pues </w:t>
      </w:r>
      <w:r w:rsidR="00444F5D" w:rsidRPr="00D66245">
        <w:rPr>
          <w:rFonts w:ascii="Palatino Linotype" w:eastAsia="Times New Roman" w:hAnsi="Palatino Linotype" w:cs="Arial"/>
          <w:b/>
          <w:bCs/>
          <w:i/>
          <w:iCs/>
          <w:lang w:eastAsia="es-ES"/>
        </w:rPr>
        <w:t>según las evaluaciones</w:t>
      </w:r>
      <w:r w:rsidR="00444F5D" w:rsidRPr="00D66245">
        <w:rPr>
          <w:rFonts w:ascii="Palatino Linotype" w:eastAsia="Times New Roman" w:hAnsi="Palatino Linotype" w:cs="Arial"/>
          <w:i/>
          <w:lang w:eastAsia="es-ES"/>
        </w:rPr>
        <w:t> </w:t>
      </w:r>
      <w:r w:rsidR="00444F5D" w:rsidRPr="00D66245">
        <w:rPr>
          <w:rFonts w:ascii="Palatino Linotype" w:eastAsia="Times New Roman" w:hAnsi="Palatino Linotype" w:cs="Arial"/>
          <w:i/>
          <w:iCs/>
          <w:lang w:eastAsia="es-ES"/>
        </w:rPr>
        <w:t>que se hacían semanalmente, el no hacía bien las labores. Esas evaluaciones las realizaban los supervisores, consisten en evaluar las labores que se realizan. </w:t>
      </w:r>
      <w:r w:rsidR="00444F5D" w:rsidRPr="00D66245">
        <w:rPr>
          <w:rFonts w:ascii="Palatino Linotype" w:eastAsia="Times New Roman" w:hAnsi="Palatino Linotype" w:cs="Arial"/>
          <w:b/>
          <w:bCs/>
          <w:i/>
          <w:iCs/>
          <w:lang w:eastAsia="es-ES"/>
        </w:rPr>
        <w:t>No las ha visto directamente </w:t>
      </w:r>
      <w:r w:rsidR="00444F5D" w:rsidRPr="00D66245">
        <w:rPr>
          <w:rFonts w:ascii="Palatino Linotype" w:eastAsia="Times New Roman" w:hAnsi="Palatino Linotype" w:cs="Arial"/>
          <w:i/>
          <w:iCs/>
          <w:lang w:eastAsia="es-ES"/>
        </w:rPr>
        <w:t>pero si sabe que es revisar los puntos claves de la labor, </w:t>
      </w:r>
      <w:r w:rsidR="00444F5D" w:rsidRPr="00D66245">
        <w:rPr>
          <w:rFonts w:ascii="Palatino Linotype" w:eastAsia="Times New Roman" w:hAnsi="Palatino Linotype" w:cs="Arial"/>
          <w:b/>
          <w:bCs/>
          <w:i/>
          <w:iCs/>
          <w:lang w:eastAsia="es-ES"/>
        </w:rPr>
        <w:t>si se guarda registro de esto por escrito</w:t>
      </w:r>
      <w:r w:rsidR="00444F5D" w:rsidRPr="00D66245">
        <w:rPr>
          <w:rFonts w:ascii="Palatino Linotype" w:eastAsia="Times New Roman" w:hAnsi="Palatino Linotype" w:cs="Arial"/>
          <w:i/>
          <w:iCs/>
          <w:lang w:eastAsia="es-ES"/>
        </w:rPr>
        <w:t> (…) es común que a los trabajadores se les hagan evaluaciones. El señor [Nombre 001] si se encontraba afiliado al sindicato, cuando está afiliado lo comunican en oficinas centrales y hay una persona encargada en atención, las reciben y se las informan a la finca, esa información pasa por RRHH, </w:t>
      </w:r>
      <w:r w:rsidR="00444F5D" w:rsidRPr="00D66245">
        <w:rPr>
          <w:rFonts w:ascii="Palatino Linotype" w:eastAsia="Times New Roman" w:hAnsi="Palatino Linotype" w:cs="Arial"/>
          <w:b/>
          <w:bCs/>
          <w:i/>
          <w:iCs/>
          <w:lang w:eastAsia="es-ES"/>
        </w:rPr>
        <w:t>fue como en enero de 2018 que ellos recibieron información</w:t>
      </w:r>
      <w:r w:rsidR="00444F5D" w:rsidRPr="00D66245">
        <w:rPr>
          <w:rFonts w:ascii="Palatino Linotype" w:eastAsia="Times New Roman" w:hAnsi="Palatino Linotype" w:cs="Arial"/>
          <w:i/>
          <w:iCs/>
          <w:lang w:eastAsia="es-ES"/>
        </w:rPr>
        <w:t> (…) Carlos comenzó a trabaja</w:t>
      </w:r>
      <w:r w:rsidR="00444F5D" w:rsidRPr="00D66245">
        <w:rPr>
          <w:rFonts w:ascii="Palatino Linotype" w:eastAsia="Times New Roman" w:hAnsi="Palatino Linotype" w:cs="Arial"/>
          <w:i/>
          <w:lang w:eastAsia="es-ES"/>
        </w:rPr>
        <w:t> </w:t>
      </w:r>
      <w:r w:rsidR="00444F5D" w:rsidRPr="00D66245">
        <w:rPr>
          <w:rFonts w:ascii="Palatino Linotype" w:eastAsia="Times New Roman" w:hAnsi="Palatino Linotype" w:cs="Arial"/>
          <w:i/>
          <w:iCs/>
          <w:lang w:eastAsia="es-ES"/>
        </w:rPr>
        <w:t>rpara la empresa en noviembre y finalizó en enero (…) Cuando la relación finalizó, ellos ya tenían conocimiento de que era afiliado al sindicato (…) él recibió amonestaciones y llamadas de atención por su bajo rendimiento” </w:t>
      </w:r>
      <w:r w:rsidR="00444F5D" w:rsidRPr="00D66245">
        <w:rPr>
          <w:rFonts w:ascii="Palatino Linotype" w:eastAsia="Times New Roman" w:hAnsi="Palatino Linotype" w:cs="Arial"/>
          <w:i/>
          <w:lang w:eastAsia="es-ES"/>
        </w:rPr>
        <w:t>(Archivo multimedia incorporado al expediente electrónico en fecha 16/05/2018 a las 9:10:46). Asimismo, </w:t>
      </w:r>
      <w:r w:rsidR="00444F5D" w:rsidRPr="00D66245">
        <w:rPr>
          <w:rFonts w:ascii="Palatino Linotype" w:eastAsia="Times New Roman" w:hAnsi="Palatino Linotype" w:cs="Arial"/>
          <w:i/>
          <w:u w:val="single"/>
          <w:lang w:eastAsia="es-ES"/>
        </w:rPr>
        <w:t>Santos Fernando Martínez Obando</w:t>
      </w:r>
      <w:r w:rsidR="00444F5D" w:rsidRPr="00D66245">
        <w:rPr>
          <w:rFonts w:ascii="Palatino Linotype" w:eastAsia="Times New Roman" w:hAnsi="Palatino Linotype" w:cs="Arial"/>
          <w:i/>
          <w:lang w:eastAsia="es-ES"/>
        </w:rPr>
        <w:t>, quien es supervisor del cultivo en finca Gavilán, señaló: </w:t>
      </w:r>
      <w:r w:rsidR="00444F5D" w:rsidRPr="00D66245">
        <w:rPr>
          <w:rFonts w:ascii="Palatino Linotype" w:eastAsia="Times New Roman" w:hAnsi="Palatino Linotype" w:cs="Arial"/>
          <w:i/>
          <w:iCs/>
          <w:lang w:eastAsia="es-ES"/>
        </w:rPr>
        <w:t>“...</w:t>
      </w:r>
      <w:r w:rsidR="00444F5D" w:rsidRPr="00D66245">
        <w:rPr>
          <w:rFonts w:ascii="Palatino Linotype" w:eastAsia="Times New Roman" w:hAnsi="Palatino Linotype" w:cs="Arial"/>
          <w:i/>
          <w:lang w:eastAsia="es-ES"/>
        </w:rPr>
        <w:t> </w:t>
      </w:r>
      <w:r w:rsidR="00444F5D" w:rsidRPr="00D66245">
        <w:rPr>
          <w:rFonts w:ascii="Palatino Linotype" w:eastAsia="Times New Roman" w:hAnsi="Palatino Linotype" w:cs="Arial"/>
          <w:i/>
          <w:iCs/>
          <w:lang w:eastAsia="es-ES"/>
        </w:rPr>
        <w:t>la relación laboral se terminó porque no superó el período de prueba, no cumplió con las expectativas, es decir, mala ejecución de las evaluaciones y labores asignadas. En la labor de deshoja no cumplía con la cirugía de la hoja, no le sacaba la infección o el daño que la planta tenía para empacar la fruta de manera correcta. A él se le evaluaba una vez a la semana, </w:t>
      </w:r>
      <w:r w:rsidR="00444F5D" w:rsidRPr="00D66245">
        <w:rPr>
          <w:rFonts w:ascii="Palatino Linotype" w:eastAsia="Times New Roman" w:hAnsi="Palatino Linotype" w:cs="Arial"/>
          <w:b/>
          <w:bCs/>
          <w:i/>
          <w:iCs/>
          <w:lang w:eastAsia="es-ES"/>
        </w:rPr>
        <w:t>se le evaluaba con el formato que tiene la empresa donde se va desglosando lo que él tiene que ir trabajando. La compañía le da un formulario y ellos tienen que ir chequeando,</w:t>
      </w:r>
      <w:r w:rsidR="00444F5D" w:rsidRPr="00D66245">
        <w:rPr>
          <w:rFonts w:ascii="Palatino Linotype" w:eastAsia="Times New Roman" w:hAnsi="Palatino Linotype" w:cs="Arial"/>
          <w:i/>
          <w:iCs/>
          <w:lang w:eastAsia="es-ES"/>
        </w:rPr>
        <w:t> </w:t>
      </w:r>
      <w:r w:rsidR="00444F5D" w:rsidRPr="00D66245">
        <w:rPr>
          <w:rFonts w:ascii="Palatino Linotype" w:eastAsia="Times New Roman" w:hAnsi="Palatino Linotype" w:cs="Arial"/>
          <w:b/>
          <w:bCs/>
          <w:i/>
          <w:iCs/>
          <w:lang w:eastAsia="es-ES"/>
        </w:rPr>
        <w:t>ese formulario está en físico</w:t>
      </w:r>
      <w:r w:rsidR="00444F5D" w:rsidRPr="00D66245">
        <w:rPr>
          <w:rFonts w:ascii="Palatino Linotype" w:eastAsia="Times New Roman" w:hAnsi="Palatino Linotype" w:cs="Arial"/>
          <w:i/>
          <w:iCs/>
          <w:lang w:eastAsia="es-ES"/>
        </w:rPr>
        <w:t>, él apunta cada circunstancia en el documento, se le hace la evaluación y si va fallando el trabajador lo acompaña (al supervisor) y se le da retroalimentación, </w:t>
      </w:r>
      <w:r w:rsidR="00444F5D" w:rsidRPr="00D66245">
        <w:rPr>
          <w:rFonts w:ascii="Palatino Linotype" w:eastAsia="Times New Roman" w:hAnsi="Palatino Linotype" w:cs="Arial"/>
          <w:b/>
          <w:bCs/>
          <w:i/>
          <w:iCs/>
          <w:lang w:eastAsia="es-ES"/>
        </w:rPr>
        <w:t>al final se le da una nota</w:t>
      </w:r>
      <w:r w:rsidR="00444F5D" w:rsidRPr="00D66245">
        <w:rPr>
          <w:rFonts w:ascii="Palatino Linotype" w:eastAsia="Times New Roman" w:hAnsi="Palatino Linotype" w:cs="Arial"/>
          <w:i/>
          <w:iCs/>
          <w:lang w:eastAsia="es-ES"/>
        </w:rPr>
        <w:t>. </w:t>
      </w:r>
      <w:r w:rsidR="00444F5D" w:rsidRPr="00D66245">
        <w:rPr>
          <w:rFonts w:ascii="Palatino Linotype" w:eastAsia="Times New Roman" w:hAnsi="Palatino Linotype" w:cs="Arial"/>
          <w:b/>
          <w:bCs/>
          <w:i/>
          <w:iCs/>
          <w:lang w:eastAsia="es-ES"/>
        </w:rPr>
        <w:t>En caso de que el trabajador salga bien o mal siempre se le da la nota, de 95 para abajo es malo, esa evaluación se la pasa al jefe inmediato</w:t>
      </w:r>
      <w:r w:rsidR="00444F5D" w:rsidRPr="00D66245">
        <w:rPr>
          <w:rFonts w:ascii="Palatino Linotype" w:eastAsia="Times New Roman" w:hAnsi="Palatino Linotype" w:cs="Arial"/>
          <w:i/>
          <w:iCs/>
          <w:lang w:eastAsia="es-ES"/>
        </w:rPr>
        <w:t> (…) Sí se le hicieron retroalimentaciones al actor, sin embargo, no mejoró. Sí le hizo una amonestación o le llamó la atención por la mala ejecución de las labores, fueron varias. Las evaluaciones que se le realizaban al actor, se les hacía a todos (…) Aproximadamente él laboró para la empresa 3 meses o 2 meses y medio (…) El actor no presentó ninguna queja por mal trato o discriminación (…) Durante el tiempo que Don Carlos trabajó, se encontraba afiliado a un sindicato. Tengo a mi cargo aproximadamente como 15 u 8 trabajadores afiliados, no recuerdo el sindicato al que estaba afiliado. La decisión de despedir a los trabajadores la tomo yo junto con mi jefe, a todos los que tienen menos de tres meses se les valora para ver si pueden continuar. Por jefe entiéndase administrador de la finca”. </w:t>
      </w:r>
      <w:r w:rsidR="00444F5D" w:rsidRPr="00D66245">
        <w:rPr>
          <w:rFonts w:ascii="Palatino Linotype" w:eastAsia="Times New Roman" w:hAnsi="Palatino Linotype" w:cs="Arial"/>
          <w:i/>
          <w:lang w:eastAsia="es-ES"/>
        </w:rPr>
        <w:t>En lo que respecta al análisis de lo sucedido, la Sala concluye que la prueba aportada en autos revela significativos indicios de que el despido del actor se debió a su afiliación al sindicato ANEP. Resulta coincidente que la empresa accionada se enterara de la incorporación del actor a la organización sindical el 4 de enero de 2018 y precisamente desde esa fecha comenzaron los problemas en torno al accionante, los cuales no se habían presentado en los dos meses de relación laboral. Incluso, las llamadas de atención de los días 10, 15 y 18 , se dieron porsituaciones acaecidas el 5, 11 y 15 (todos de enero de 2018), es decir, estas llamadas de atención comenzaron un día después de que la empleadora conociera de su condición de afiliado sindical. Sumado a lo expuesto, se echa de menos que la accionada no aportara las evaluaciones realizadas al trabajador, para con ello, acreditar el rendimiento deficiente e inadecuado que se le ha endilgado, pues tenía la carga procesal en torno a la tesis alegada. Además, como lo indicó la testigo [Nombre 003] </w:t>
      </w:r>
      <w:r w:rsidR="00444F5D" w:rsidRPr="00D66245">
        <w:rPr>
          <w:rFonts w:ascii="Palatino Linotype" w:eastAsia="Times New Roman" w:hAnsi="Palatino Linotype" w:cs="Arial"/>
          <w:b/>
          <w:bCs/>
          <w:i/>
          <w:lang w:eastAsia="es-ES"/>
        </w:rPr>
        <w:t>“</w:t>
      </w:r>
      <w:r w:rsidR="00444F5D" w:rsidRPr="00D66245">
        <w:rPr>
          <w:rFonts w:ascii="Palatino Linotype" w:eastAsia="Times New Roman" w:hAnsi="Palatino Linotype" w:cs="Arial"/>
          <w:b/>
          <w:bCs/>
          <w:i/>
          <w:iCs/>
          <w:lang w:eastAsia="es-ES"/>
        </w:rPr>
        <w:t>sí se guarda registro de esto por escrito”</w:t>
      </w:r>
      <w:r w:rsidR="00444F5D" w:rsidRPr="00D66245">
        <w:rPr>
          <w:rFonts w:ascii="Palatino Linotype" w:eastAsia="Times New Roman" w:hAnsi="Palatino Linotype" w:cs="Arial"/>
          <w:i/>
          <w:lang w:eastAsia="es-ES"/>
        </w:rPr>
        <w:t>; y, como lo expresó el señor Martínez Obando, existe un formulario con un formato preestablecido por la empresa donde se desglosan los puntos a tomar en cuenta y una vez hecha la evaluación, se le da una calificación al trabajador según su rendimiento (donde una cifra inferior a 95 se considera como una mala nota). Sin embargo, como ya se dijo, la accionada no aportó prueba al respecto, por lo que no consta en autos la calificación obtenida por el demandante, los puntos que le fueron evaluados ni su relación con lo expuesto en las llamadas de atención. Esta documentación era fundamental para el proceso, pues de los testigos ofrecidos por la demandada, la señora [Nombre 003] indicó no haber visto directamente dichas evaluaciones. Tampoco declaró sobre lo realmente ocurrido en la prestación de trabajo; con lo que quedaría un único testigo (Martínez Obando) para respaldar la versión de la empleadora, lo que no permite demostrar de manera indubitable la objetividad del despido, porque, valorada esa probanza, al tratarse de la demostración de un acto que fue documentado (la evaluación), según lo manifiesta el propio deponente, el dicho, por si solo, no puede considerarse suficiente. Por último, la prueba ofrecida con el recurso no puede ser admitida, pues dadas las razones señaladas con anterioridad, no tiene ninguna relevancia en la solución de este asunto (artículo 594 del Código de Trabajo). Conforme a lo expuesto, se llega a la conclusión de que la causa real del rompimiento de aquella relación fue la vinculación del trabajador al sindicato.</w:t>
      </w:r>
      <w:r w:rsidRPr="00D66245">
        <w:rPr>
          <w:rFonts w:ascii="Palatino Linotype" w:eastAsia="Times New Roman" w:hAnsi="Palatino Linotype" w:cs="Arial"/>
          <w:i/>
          <w:lang w:eastAsia="es-ES"/>
        </w:rPr>
        <w:t>”</w:t>
      </w:r>
    </w:p>
    <w:p w14:paraId="46C35DF4" w14:textId="77777777" w:rsidR="00444F5D" w:rsidRPr="00D66245" w:rsidRDefault="00444F5D"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2018-001685</w:t>
      </w:r>
    </w:p>
    <w:p w14:paraId="4FF83D72" w14:textId="77777777" w:rsidR="00444F5D" w:rsidRPr="00D66245" w:rsidRDefault="00444F5D" w:rsidP="00F53211">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doce horas del doce de octubre de dos mil dieciocho.</w:t>
      </w:r>
    </w:p>
    <w:p w14:paraId="015A1629" w14:textId="77777777" w:rsidR="00444F5D" w:rsidRPr="00D66245" w:rsidRDefault="00860694" w:rsidP="00F53211">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w:t>
      </w:r>
      <w:r w:rsidR="00444F5D" w:rsidRPr="00D66245">
        <w:rPr>
          <w:rFonts w:ascii="Palatino Linotype" w:eastAsia="Times New Roman" w:hAnsi="Palatino Linotype" w:cs="Arial"/>
          <w:b/>
          <w:bCs/>
          <w:i/>
          <w:lang w:eastAsia="es-ES"/>
        </w:rPr>
        <w:t>III.- SOBRE LA LIBERTAD SINDICAL. </w:t>
      </w:r>
      <w:r w:rsidR="00444F5D" w:rsidRPr="00D66245">
        <w:rPr>
          <w:rFonts w:ascii="Palatino Linotype" w:eastAsia="Times New Roman" w:hAnsi="Palatino Linotype" w:cs="Arial"/>
          <w:i/>
          <w:lang w:eastAsia="es-ES"/>
        </w:rPr>
        <w:t>El proceso fue interpuesto porque el accionante alega discriminación por su afiliación sindical, ya que fue despedido poco tiempo después de haberse afiliado a SITAGAH. La sentencia de primera instancia le dio la razón, motivo por el cual, la empresa demandada interpuso el recurso que da pie a este fallo. La protección de las personas afiliadas a organizaciones sindicales, contra prácticas desleales en razón de su afiliación, se encuentra ampliamente regulada, tanto a nivel nacional como internacional, pues forma parte de la protección al derecho humano de libertad sindical. De conformidad con el artículo 60 de la Constitución Política, las personas trabajadoras y las empleadoras tienen derecho a sindicalizarse libremente, con el fin exclusivo de obtener y de conservar beneficios económicos, sociales o profesionales. La Organización Internacional del Trabajo ha adoptado convenios que obligan a los Estados a reconocer ese derecho y a poner en práctica mecanismos efectivos para su tutela. Al amparo del artículo 7 de la Constitución Política, dichos convenios tienen autoridad superior a la ley ordinaria e incluso, de acuerdo con la jurisprudencia constitucional en la materia, podrían estar por encima de la Constitución cuando contengan mayor protección de los derechos fundamentales que ésta. Así, el artículo 11 del Convenio 87, relativo a la libertad sindical y a la protección del derecho de sindicación, ratificado por Costa Rica por Ley número 2561, del 11 de mayo de 1960, obliga a los Estados miembros a adoptar todas las medidas necesarias y apropiadas para garantizar, a aquellas personas, el libre ejercicio del derecho de sindicación. Seguidamente, el Convenio 98, relativo a la aplicación de los principios del derecho de sindicación y de negociación colectiva, en su artículo 1 dispone que las personas trabajadoras deberán gozar de adecuada protección contra todo acto de discriminación, tendiente a menoscabar la libertad sindical en relación con su empleo. El punto b), del inciso 2) de ese numeral, califica como un acto típicamente discriminatorio, el despido de una persona trabajadora, causarle perjuicio de cualquier otra forma a causa de su afiliación sindical o por su participación en actividades sindicales. Tal y como lo señaló la Sala Constitucional en su voto número 5000-93 de las 10:09 horas del 8 de octubre de 1993, se trata de un fuero especial en beneficio tanto de representantes sindicales como de personas trabajadoras a quienes se inquiete de cualquier manera por su pertenencia a una organización sindical. Respecto a ellas, textualmente señaló: “</w:t>
      </w:r>
      <w:r w:rsidR="00444F5D" w:rsidRPr="00D66245">
        <w:rPr>
          <w:rFonts w:ascii="Palatino Linotype" w:eastAsia="Times New Roman" w:hAnsi="Palatino Linotype" w:cs="Arial"/>
          <w:i/>
          <w:iCs/>
          <w:lang w:eastAsia="es-ES"/>
        </w:rPr>
        <w:t>Aunque hasta el momento se ha venido considerando la situación de los representantes de los trabajadores, sindicalizados o no, cabe decir que con igual sustento normativo y con igual criterio debe resolverse el despido de los simples trabajadores cuando la causal, expresa o tácita, sea su pertenencia a una asociación o sindicato, porque ello también viola sus derechos fundamentales, vale decir que la vinculación a dichas organizaciones, como simples afiliados, pone en juego valores superiores de convivencia y armonía social y laboral…</w:t>
      </w:r>
      <w:r w:rsidR="00444F5D" w:rsidRPr="00D66245">
        <w:rPr>
          <w:rFonts w:ascii="Palatino Linotype" w:eastAsia="Times New Roman" w:hAnsi="Palatino Linotype" w:cs="Arial"/>
          <w:i/>
          <w:lang w:eastAsia="es-ES"/>
        </w:rPr>
        <w:t>”. A partir de ese voto, la jurisprudencia constitucional, así como la de esta Sala, ha sido uniforme en garantizar la tutela del derecho de sindicación respecto de cualquier acto que tienda a menoscabar los derechos sindicales de la persona trabajadora, con independencia de que ésta tenga o no la condición de representante. En este sentido, el artículo 404 del Código de Trabajo establece: </w:t>
      </w:r>
      <w:r w:rsidR="00444F5D" w:rsidRPr="00D66245">
        <w:rPr>
          <w:rFonts w:ascii="Palatino Linotype" w:eastAsia="Times New Roman" w:hAnsi="Palatino Linotype" w:cs="Arial"/>
          <w:i/>
          <w:iCs/>
          <w:lang w:eastAsia="es-ES"/>
        </w:rPr>
        <w:t>“Artículo 404.- Se prohíbe toda discriminación en el trabajo por razones de edad, etnia, sexo, religión, raza, orientación sexual, estado civil, opinión política, ascendencia nacional, origen social, filiación, discapacidad, </w:t>
      </w:r>
      <w:r w:rsidR="00444F5D" w:rsidRPr="00D66245">
        <w:rPr>
          <w:rFonts w:ascii="Palatino Linotype" w:eastAsia="Times New Roman" w:hAnsi="Palatino Linotype" w:cs="Arial"/>
          <w:b/>
          <w:bCs/>
          <w:i/>
          <w:iCs/>
          <w:lang w:eastAsia="es-ES"/>
        </w:rPr>
        <w:t>afiliación sindical</w:t>
      </w:r>
      <w:r w:rsidR="00444F5D" w:rsidRPr="00D66245">
        <w:rPr>
          <w:rFonts w:ascii="Palatino Linotype" w:eastAsia="Times New Roman" w:hAnsi="Palatino Linotype" w:cs="Arial"/>
          <w:i/>
          <w:iCs/>
          <w:lang w:eastAsia="es-ES"/>
        </w:rPr>
        <w:t>, situación económica o cualquier otra forma análoga de discriminación.” </w:t>
      </w:r>
      <w:r w:rsidR="00444F5D" w:rsidRPr="00D66245">
        <w:rPr>
          <w:rFonts w:ascii="Palatino Linotype" w:eastAsia="Times New Roman" w:hAnsi="Palatino Linotype" w:cs="Arial"/>
          <w:i/>
          <w:lang w:eastAsia="es-ES"/>
        </w:rPr>
        <w:t>(el resaltado no es del original). En este mismo sentido, el numeral 406 contempla la prohibición de despedir a las personas en virtud de alguna de las razones recién enumeradas. Así las cosas, procede valorar la conducta de la demandada con ocasión del despido de quien figura como parte demandante a fin de determinar si, en efecto, se utilizó el despido amparado en una supuesta causal objetiva o como arma de lucha antisindical violentando un derecho humano fundamental.</w:t>
      </w:r>
    </w:p>
    <w:p w14:paraId="7810CAE7" w14:textId="77777777" w:rsidR="00444F5D" w:rsidRPr="00D66245" w:rsidRDefault="00444F5D" w:rsidP="00F53211">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IV.- SOBRE LA REINSTALACIÓN. </w:t>
      </w:r>
      <w:r w:rsidRPr="00D66245">
        <w:rPr>
          <w:rFonts w:ascii="Palatino Linotype" w:eastAsia="Times New Roman" w:hAnsi="Palatino Linotype" w:cs="Arial"/>
          <w:i/>
          <w:lang w:eastAsia="es-ES"/>
        </w:rPr>
        <w:t>El primero de los reproches, es en relación con una supuesta incongruencia del fallo impugnado, porque según el abogado recurrente, no se pidió declarar la ilegalidad del despido y, por ende, no pueden otorgarse las pretensiones subsidiarias, sean la reinstalación,</w:t>
      </w:r>
      <w:r w:rsidR="00FD795D"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el pago de salarios caídos, intereses, que la empresa se abstenga de realizar prácticas discriminatorias en contra de otros afiliados al sindicato y el pago de ambas costas. Sin embargo, esta formalidad acerca de la declaratoria de ilegalidad del despido como condición </w:t>
      </w:r>
      <w:r w:rsidRPr="00D66245">
        <w:rPr>
          <w:rFonts w:ascii="Palatino Linotype" w:eastAsia="Times New Roman" w:hAnsi="Palatino Linotype" w:cs="Arial"/>
          <w:i/>
          <w:iCs/>
          <w:lang w:eastAsia="es-ES"/>
        </w:rPr>
        <w:t>sine qua non </w:t>
      </w:r>
      <w:r w:rsidRPr="00D66245">
        <w:rPr>
          <w:rFonts w:ascii="Palatino Linotype" w:eastAsia="Times New Roman" w:hAnsi="Palatino Linotype" w:cs="Arial"/>
          <w:i/>
          <w:lang w:eastAsia="es-ES"/>
        </w:rPr>
        <w:t>para condenar a los demás extremos solicitados, no tiene fundamento legal. Esto en tanto, si el despido se declara nulo, significa que fue realizado de manera discriminatoria y en quebranto de las prohibiciones establecidas por los numerales 404 y 406 mencionados en el considerando anterior. Además de esto, el numeral 410 párrafo 1 dispone: </w:t>
      </w:r>
      <w:r w:rsidRPr="00D66245">
        <w:rPr>
          <w:rFonts w:ascii="Palatino Linotype" w:eastAsia="Times New Roman" w:hAnsi="Palatino Linotype" w:cs="Arial"/>
          <w:i/>
          <w:iCs/>
          <w:lang w:eastAsia="es-ES"/>
        </w:rPr>
        <w:t>“Artículo 410.- Los empleadores o las empleadoras a quienes se les compruebe haber cesado a personas trabajadoras, por cualquiera de los motivos de discriminación antes indicados, deberán reinstalarlas en su trabajo, con el pleno goce de sus derechos y las consecuencias previstas para la sentencia de reinstalación.”</w:t>
      </w:r>
      <w:r w:rsidRPr="00D66245">
        <w:rPr>
          <w:rFonts w:ascii="Palatino Linotype" w:eastAsia="Times New Roman" w:hAnsi="Palatino Linotype" w:cs="Arial"/>
          <w:i/>
          <w:lang w:eastAsia="es-ES"/>
        </w:rPr>
        <w:t>. De esta manera, la reinstalación es una consecuencia legal de haberse determinado la existencia de algún tipo de discriminación, por lo que el reproche esbozado no es de recibo de acuerdo con lo que viene resuelto por el Juzgado.</w:t>
      </w:r>
    </w:p>
    <w:p w14:paraId="3744FFF9" w14:textId="77777777" w:rsidR="00444F5D" w:rsidRPr="00D66245" w:rsidRDefault="00444F5D" w:rsidP="00F53211">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V.- SOBRE EL DESPIDO. </w:t>
      </w:r>
      <w:r w:rsidRPr="00D66245">
        <w:rPr>
          <w:rFonts w:ascii="Palatino Linotype" w:eastAsia="Times New Roman" w:hAnsi="Palatino Linotype" w:cs="Arial"/>
          <w:i/>
          <w:lang w:eastAsia="es-ES"/>
        </w:rPr>
        <w:t>Elprincipalreproche del recurso es elrelativo a la indebida valoración de la prueba. La parte demandada ha sostenido que el despido se originó en causas objetivas y no en la afiliación sindical del accionante. Entre los documentos con los que se cuenta en el expediente, se encuentra la carta dedespido de fecha 1</w:t>
      </w:r>
      <w:r w:rsidRPr="00D66245">
        <w:rPr>
          <w:rFonts w:ascii="Palatino Linotype" w:eastAsia="Times New Roman" w:hAnsi="Palatino Linotype" w:cs="Times New Roman"/>
          <w:i/>
          <w:lang w:eastAsia="es-ES"/>
        </w:rPr>
        <w:t>°</w:t>
      </w:r>
      <w:r w:rsidRPr="00D66245">
        <w:rPr>
          <w:rFonts w:ascii="Palatino Linotype" w:eastAsia="Times New Roman" w:hAnsi="Palatino Linotype" w:cs="Arial"/>
          <w:i/>
          <w:lang w:eastAsia="es-ES"/>
        </w:rPr>
        <w:t> de febrero de este año, en la cual le indican al actor que la empresa prescinde de sus servicios a partir de ese mismo día, de conformidad con los numerales 28 y 29 del Código de Trabajo. Adjunta a la demanda, también se encuentra el acta de SITAGAH de fecha 6 de febrero del 2018, en la cual, el segundo punto se refiere a la situación el actor. De acuerdo con esta copia del acta, la empresa indicó que se dio la terminación de la relación laboral antes de que se cumplieran los primeros tres mesesde la contratación,sin embargo, se consignó la inconformidad del sindicato, por considerar que un mes antes de ser despedido se había afiliado. Se expresó que, por ello, contaba con protección sindical y se trajo a colación que el trabajador había sido discriminado según lo dispuesto en el numeral 404 del Código, por lo que solicitaron que lo reintegraran y le cancelaran los salarios caídos; además, dejaron constancia de la importancia de la labor desempeñada por el trabajador y de que ya se tenía a su reemplazo al ser despedido. Se cuenta con la nota emitida por el Sindicato en la que informa a la empresa de la afiliación del trabajador y solicita que se deduzca de planilla la cuota sindical. Tal documento fue recibido por la empresa el día 11 de enero. Por su parte, la empresa aportó junto con la contestación, la liquidación por terminación del contrato de trabajo, en la que se consigna que le adeudaban un total de </w:t>
      </w:r>
      <w:r w:rsidRPr="00D66245">
        <w:rPr>
          <w:rFonts w:ascii="Palatino Linotype" w:eastAsia="Times New Roman" w:hAnsi="Palatino Linotype" w:cs="Times New Roman"/>
          <w:i/>
          <w:lang w:eastAsia="es-ES"/>
        </w:rPr>
        <w:t>₡</w:t>
      </w:r>
      <w:r w:rsidRPr="00D66245">
        <w:rPr>
          <w:rFonts w:ascii="Palatino Linotype" w:eastAsia="Times New Roman" w:hAnsi="Palatino Linotype" w:cs="Arial"/>
          <w:i/>
          <w:lang w:eastAsia="es-ES"/>
        </w:rPr>
        <w:t> 84.202,32 por vacaciones y aguinaldo proporcionales. Además, se adjunta el contrato de trabajofirmado el 8 de noviembre del 2017, en el cual se establece que el plazo es por tiempo indefinido. Se encuentra también un cuadro de personal liquidado la semana 05-2018, de fecha 13 de abril de ese mismo año, otro cuadro de fecha 29 de enero en la que viene una lista de personal con fecha de ingreso, antigüedad, historial laboral, proceso disciplinario y ausentismo no justificado, donde no viene el nombre del actor. Más adelante, adjuntos al documento recibido por el despacho el 7 de mayo del 2018, se encuentra otra lista de fecha 23 de abril del 2018 que se refiere a los liquidados en la empacadora Zurquí 3 en la semana 05-2018, otro cuadro que menciona fecha de revisión 18 de enero, en el que se indica que seprocederá a terminar la relación laboral con el actor. También, de fecha 23 de abril, hay un gráfico de cajas procesadas en Zurquí 3 en los años 2017 y 2018, en el que abajo le agregaron a mano el nombre y la firma del señor [Nombre 003], seguido de otro en iguales condiciones que se titula Precipitación Anual 2017-2018 Finca Zurquí 03. Ahora bien, en la sentencia impugnada, se indicó que estos gráficos no eran una fuente confiable, pues no indicaban de dónde provenía la informacióny además, habían sido presentados en un momento diferente de la contestación, sin que hubiera justificación alguna para ello, todo lo cual lo avala esta Cámara. En efecto, la demanda fue notificada a la empresa el 6 de abril y no fue sino hasta el 7 de mayo que aportó tales documentos. El artículo 497 establece que con la contestación, deben aportarse todos los documentos probatorios, tal y como se exige con la demanda en el numeral 495. Por este motivo, en la resolución de las 10:33 horas del 15 de mayo del 2018, el Juzgado rechazó tales documentos por extemporáneos, sin que conste disconformidad oportuna de la empresa demandada. Por ello, no pueden ser tomados en cuenta para la resolución de este asunto, como así lo pretende la empresa demandada en su recurso, donde se limita a decir que sí provienen de fuente confiable y que fueron aportados con la contestación, lo cual no es cierto, pues ésta fue presentada el 16 de abril. Ahora bien, de los demás documentos señalados, no se pueden extraer pruebas de las causas objetivas que la empresa alega como justificantes del despido. Lo que sí evidencian tales documentos, es que, efectivamente, el accionante se afilió a SITAGAH y el 11 de enero esto fue informado a la empresa, con el fin de que le rebajara la cuota sindical. Además, evidencian que el Sindicato le informó a la empresa del descontento que generó el despido del accionante y de las prácticas desleales que sufrió antes de su despido. Ahora bien, esto fue reforzado por la prueba testimonial, la cual confirmó que el actor fue perturbado en su derecho a la libertad sindical, pues desde que se afilió, comenzó a ser maltratado por los representantes patronales, práctica que parece ser común en la empresa, según lo indicado por los testigos [Nombre 006], [Nombre 007] y [Nombre 008]. Particularmente, el segundo de ellos, fue testigo presencial de los malos tratos hacia el actor a partir de su afiliación al sindicato y de que lo intimidaban, con el fin de que se desafiliara para evitar el despido. Todos coincidieron en que el jefe inmediato, el señor [Nombre 004], le decía que se desafiliara, pues su afiliación le perjudicaba a él y a su familia. Además, también indicaron que el accionante tuvo problemas en una mano y el señor [Nombre 004] no quiso enviarlo a que lo atendieran en el Instituto Nacional de Seguros (INS) para que valoraran la existencia de un riesgo del trabajo y le dieran la atención médica necesaria, motivo por el cual, los representantes sindicales tuvieron que ir a hablar con él en defensa del demandante. En adición a esto, también afirmaron que cuando despidieron al actor, llegó un muchacho llamado José a ocupar su lugar, quien a su vez había sido contratado poco tiempo antes de que despidieran al señor [Nombre 001]. Todas estas manifestaciones lo que evidencian es que se dieron presiones indebidas en contra del actor, prácticas desleales que tenían como fin último su desafiliación al sindicato. Es por ello que, tal y como lo concluyó el </w:t>
      </w:r>
      <w:r w:rsidRPr="00D66245">
        <w:rPr>
          <w:rFonts w:ascii="Palatino Linotype" w:eastAsia="Times New Roman" w:hAnsi="Palatino Linotype" w:cs="Arial"/>
          <w:i/>
          <w:iCs/>
          <w:lang w:eastAsia="es-ES"/>
        </w:rPr>
        <w:t>a-quo, </w:t>
      </w:r>
      <w:r w:rsidRPr="00D66245">
        <w:rPr>
          <w:rFonts w:ascii="Palatino Linotype" w:eastAsia="Times New Roman" w:hAnsi="Palatino Linotype" w:cs="Arial"/>
          <w:i/>
          <w:lang w:eastAsia="es-ES"/>
        </w:rPr>
        <w:t>esta Sala también considera que el despido del accionante fue discriminatorio, pues las prácticas desleales ejecutadas en su contra no tuvieron efecto puesto que el trabajador no se desafilió a la organización sindical. El testigo [Nombre 007], quien laboraba precisamente a la par del actor, indicó que también el señor [Nombre 013], quien maneja las bodegas (que el señor [Nombre 004] en su declaración también identificó como parte de la cadena de mando), le decía al actor que haberse afiliado era el error más grande de su vida. Este mismo testigo también afirmó que el jefe inmediato le decía que ya no tenía tiempo para atenderlo por haberse afiliado al sindicato. Los otros dos testigos, [Nombre 006] y [Nombre 008], en su calidad de representantes sindicales, hablaron con el jefe directo del actor debido a los malos tratos que éste recibía y al hostigamiento en su contra por haberse sindicalizado, y en una segunda ocasión, también incluyeron la solicitud de que se le permitiera ser atendido médicamente en virtud del problema que tenía en una mano por usar una herramienta que no estaba en las mejores condiciones para descolillar. Así, del análisis de estos testimonios, no queda ningún tipo de duda de que el actor sufrió persecución en razón de su afiliación al sindicato mencionado. Al escuchar a estos testigos, no se evidencian las contradicciones que apunta quien recurre, ni tampoco se considera que los testimonios hayan sido evasivos ni complacientes, por el contrario, se escucha claridad en lo que afirmaron y espontaneidad en sus declaraciones. Ahora bien, también se contó con el testimonio de los señores [Nombre 003] y [Nombre 004]. Sin embargo, el señor [Nombre 004] era el jefe inmediato del actor y quien más fue señalado por los testigos [Nombre 006], [Nombre 007] y [Nombre 008] como ejecutante de las prácticas desleales y discriminatorias denunciadas. En ese sentido, no extraña que el señor [Nombre 004] negara haberse reunido con los representantes sindicales o haber atentado contra la libertad sindical del accionante, pues de acuerdo con los testigos mencionados, fue el responsable directo y admitir eso en la audiencia, podría acarrearle consecuencias negativas dentro de su lugar de trabajo. Ahora bien, el testigo [Nombre 003] explicó ampliamente lo relativo a los efectos del clima en la plantación y en la producción, aspecto que fue comentado por todos los testigos desde su experiencia. Sin embargo, en el caso de este declarante, lo hizo con base en criterios técnicos, pues es ingeniero agrónomo y se desempeña como tal en la finca. En tal condición, explicó los efectos del clima en la producción de la fruta y las consecuencias que ello tiene en el personal. No obstante, fue claro cuando afirmó que desconocía el motivo por el cual se había despedido al accionante, lo cual es determinante en este proceso, pues es precisamente el punto en discusión. De esta manera, del análisis de todos estos elementos de prueba se concluye que, aun cuando en la finca se hubiera presentado una baja en la producción que obligara a reducir la cantidad de personal, lo cierto es que se escogió al actor tomando en consideración su afiliación sindical, pues desde que se unió a SITAGAH, fue acosado por su jefe inmediato y otros representantes patronales, con la intención de que se renunciara a dicha organización gremial. Independientemente de que hubiera bajas en la producción, se cuenta con prueba de que el actor fue víctima de prácticas desleales por parte de la empresa demandada, pues los testigos son claros y coincidentes en que no se le quiso dar un parte para ser atendido por el INS ante un riesgo del trabajo sufrido y se le estaba diciendo constantemente que afiliarse era un error para sí y para su familia. En adición a esto, es necesario destacar que el hecho de que se hubiera contratado a este otro trabajador de nombre José, días antes de que se despidiera al actor y que se le pusiera a hacer el trabajo de colillero que éste ejecutaba, es un hecho queevidencia que las labores del actor eran indispensables para el proceso de empaque y que no era un puesto de trabajo del que fuera necesario disponer aún si hubiera existido la alegada baja de producción. Por todo lo expuesto, no lleva razón el recurrente en sus alegatos.</w:t>
      </w:r>
      <w:r w:rsidR="00860694" w:rsidRPr="00D66245">
        <w:rPr>
          <w:rFonts w:ascii="Palatino Linotype" w:eastAsia="Times New Roman" w:hAnsi="Palatino Linotype" w:cs="Arial"/>
          <w:i/>
          <w:lang w:eastAsia="es-ES"/>
        </w:rPr>
        <w:t>”</w:t>
      </w:r>
    </w:p>
    <w:p w14:paraId="036A4064" w14:textId="540DDFE6" w:rsidR="00444F5D" w:rsidRPr="00D66245" w:rsidRDefault="00444F5D"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2018-000925</w:t>
      </w:r>
    </w:p>
    <w:p w14:paraId="1E34F101" w14:textId="77777777" w:rsidR="00444F5D" w:rsidRPr="00D66245" w:rsidRDefault="00444F5D" w:rsidP="00F53211">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once horas veinte minutos del cinco de junio de dos mil dieciocho.</w:t>
      </w:r>
    </w:p>
    <w:p w14:paraId="700E8170" w14:textId="77777777" w:rsidR="00444F5D" w:rsidRPr="00D66245" w:rsidRDefault="00860694" w:rsidP="00F53211">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w:t>
      </w:r>
      <w:r w:rsidR="00444F5D" w:rsidRPr="00D66245">
        <w:rPr>
          <w:rFonts w:ascii="Palatino Linotype" w:eastAsia="Times New Roman" w:hAnsi="Palatino Linotype" w:cs="Arial"/>
          <w:b/>
          <w:bCs/>
          <w:i/>
          <w:lang w:eastAsia="es-ES"/>
        </w:rPr>
        <w:t>III.- SOBRE EL CASO EN CONCRETO: </w:t>
      </w:r>
      <w:r w:rsidR="00444F5D" w:rsidRPr="00D66245">
        <w:rPr>
          <w:rFonts w:ascii="Palatino Linotype" w:eastAsia="Times New Roman" w:hAnsi="Palatino Linotype" w:cs="Arial"/>
          <w:i/>
          <w:lang w:eastAsia="es-ES"/>
        </w:rPr>
        <w:t>El canon 404 del </w:t>
      </w:r>
      <w:r w:rsidR="00444F5D" w:rsidRPr="00D66245">
        <w:rPr>
          <w:rFonts w:ascii="Palatino Linotype" w:eastAsia="Times New Roman" w:hAnsi="Palatino Linotype" w:cs="Arial"/>
          <w:i/>
          <w:iCs/>
          <w:lang w:eastAsia="es-ES"/>
        </w:rPr>
        <w:t>Código de Trabajo </w:t>
      </w:r>
      <w:r w:rsidR="00444F5D" w:rsidRPr="00D66245">
        <w:rPr>
          <w:rFonts w:ascii="Palatino Linotype" w:eastAsia="Times New Roman" w:hAnsi="Palatino Linotype" w:cs="Arial"/>
          <w:i/>
          <w:lang w:eastAsia="es-ES"/>
        </w:rPr>
        <w:t>prohíbe toda discriminación en el trabajo por “ </w:t>
      </w:r>
      <w:r w:rsidR="00444F5D" w:rsidRPr="00D66245">
        <w:rPr>
          <w:rFonts w:ascii="Palatino Linotype" w:eastAsia="Times New Roman" w:hAnsi="Palatino Linotype" w:cs="Arial"/>
          <w:i/>
          <w:iCs/>
          <w:lang w:eastAsia="es-ES"/>
        </w:rPr>
        <w:t>(…) razones de edad, etnia, sexo, religión, raza, orientación sexual, estado civil, opinión política, ascendencia nacional, origen social, filiación, discapacidad, afiliación sindical, situación económica o cualquier otra forma análoga de discriminación</w:t>
      </w:r>
      <w:r w:rsidR="00444F5D" w:rsidRPr="00D66245">
        <w:rPr>
          <w:rFonts w:ascii="Palatino Linotype" w:eastAsia="Times New Roman" w:hAnsi="Palatino Linotype" w:cs="Arial"/>
          <w:i/>
          <w:lang w:eastAsia="es-ES"/>
        </w:rPr>
        <w:t>”</w:t>
      </w:r>
      <w:r w:rsidR="00444F5D" w:rsidRPr="00D66245">
        <w:rPr>
          <w:rFonts w:ascii="Palatino Linotype" w:eastAsia="Times New Roman" w:hAnsi="Palatino Linotype" w:cs="Arial"/>
          <w:i/>
          <w:iCs/>
          <w:lang w:eastAsia="es-ES"/>
        </w:rPr>
        <w:t>. </w:t>
      </w:r>
      <w:r w:rsidR="00444F5D" w:rsidRPr="00D66245">
        <w:rPr>
          <w:rFonts w:ascii="Palatino Linotype" w:eastAsia="Times New Roman" w:hAnsi="Palatino Linotype" w:cs="Arial"/>
          <w:i/>
          <w:lang w:eastAsia="es-ES"/>
        </w:rPr>
        <w:t>En el artículo 406 se prohíben los despidos por cualquier causa discriminatoria. La sanción prevista por el quebranto de tal prohibición es la nulidad del despido y la consecuente reinstalación de la persona trabajadora en su puesto de trabajo, con el pleno goce de sus derechos y las consecuencias previstas para la sentencia de reinstalación (artículos 410 y 566 </w:t>
      </w:r>
      <w:r w:rsidR="00444F5D" w:rsidRPr="00D66245">
        <w:rPr>
          <w:rFonts w:ascii="Palatino Linotype" w:eastAsia="Times New Roman" w:hAnsi="Palatino Linotype" w:cs="Arial"/>
          <w:i/>
          <w:iCs/>
          <w:lang w:eastAsia="es-ES"/>
        </w:rPr>
        <w:t>ídem</w:t>
      </w:r>
      <w:r w:rsidR="00444F5D" w:rsidRPr="00D66245">
        <w:rPr>
          <w:rFonts w:ascii="Palatino Linotype" w:eastAsia="Times New Roman" w:hAnsi="Palatino Linotype" w:cs="Arial"/>
          <w:i/>
          <w:lang w:eastAsia="es-ES"/>
        </w:rPr>
        <w:t>). El numeral 409 de ese mismo Código estipula que “</w:t>
      </w:r>
      <w:r w:rsidR="00444F5D" w:rsidRPr="00D66245">
        <w:rPr>
          <w:rFonts w:ascii="Palatino Linotype" w:eastAsia="Times New Roman" w:hAnsi="Palatino Linotype" w:cs="Arial"/>
          <w:i/>
          <w:iCs/>
          <w:lang w:eastAsia="es-ES"/>
        </w:rPr>
        <w:t>(…) quien alegue la discriminación deberá señalar específicamente el sustento fáctico en el que funda su alegato y los términos de comparación que substancie su afirmación”. </w:t>
      </w:r>
      <w:r w:rsidR="00444F5D" w:rsidRPr="00D66245">
        <w:rPr>
          <w:rFonts w:ascii="Palatino Linotype" w:eastAsia="Times New Roman" w:hAnsi="Palatino Linotype" w:cs="Arial"/>
          <w:i/>
          <w:lang w:eastAsia="es-ES"/>
        </w:rPr>
        <w:t>En la demanda, el accionante alegó haber sido despedido diez días después de que completó y entregó a la demandada la boleta de afiliación a l [Nombre 018] (ver boleta de afiliación en imagen 19, solicitud de deducción de planilla en imagen 10, y carta de despido en imagen 9, de documento incorporado al expediente virtual de la Sala el 04/10/2017 a las 14:18:57 horas), a pesar de que su contrato era por tiempo indefinido (ver contrato de trabajo en imagen 24 de documento incorporado al expediente virtual de la Sala el 04/10/2017 a las 14:18:57 horas) . También alegó no haber tenido ningún probl</w:t>
      </w:r>
      <w:r w:rsidR="00FD795D" w:rsidRPr="00D66245">
        <w:rPr>
          <w:rFonts w:ascii="Palatino Linotype" w:eastAsia="Times New Roman" w:hAnsi="Palatino Linotype" w:cs="Arial"/>
          <w:i/>
          <w:lang w:eastAsia="es-ES"/>
        </w:rPr>
        <w:t>ema con compañeros o jefes; da</w:t>
      </w:r>
      <w:r w:rsidR="00444F5D" w:rsidRPr="00D66245">
        <w:rPr>
          <w:rFonts w:ascii="Palatino Linotype" w:eastAsia="Times New Roman" w:hAnsi="Palatino Linotype" w:cs="Arial"/>
          <w:i/>
          <w:lang w:eastAsia="es-ES"/>
        </w:rPr>
        <w:t>r buen rend</w:t>
      </w:r>
      <w:r w:rsidR="00FD795D" w:rsidRPr="00D66245">
        <w:rPr>
          <w:rFonts w:ascii="Palatino Linotype" w:eastAsia="Times New Roman" w:hAnsi="Palatino Linotype" w:cs="Arial"/>
          <w:i/>
          <w:lang w:eastAsia="es-ES"/>
        </w:rPr>
        <w:t>imiento en sus labores, y no c</w:t>
      </w:r>
      <w:r w:rsidR="00444F5D" w:rsidRPr="00D66245">
        <w:rPr>
          <w:rFonts w:ascii="Palatino Linotype" w:eastAsia="Times New Roman" w:hAnsi="Palatino Linotype" w:cs="Arial"/>
          <w:i/>
          <w:lang w:eastAsia="es-ES"/>
        </w:rPr>
        <w:t>ontar con ausencias o llegadas tardías. Resaltó que en ese momento la empresa tampoco estaba en reducción de planta. Para la Sala, la cercanía entre la comunicación del despido y la afiliación del trabajador al</w:t>
      </w:r>
      <w:r w:rsidR="00FD795D" w:rsidRPr="00D66245">
        <w:rPr>
          <w:rFonts w:ascii="Palatino Linotype" w:eastAsia="Times New Roman" w:hAnsi="Palatino Linotype" w:cs="Arial"/>
          <w:i/>
          <w:lang w:eastAsia="es-ES"/>
        </w:rPr>
        <w:t xml:space="preserve"> </w:t>
      </w:r>
      <w:r w:rsidR="00444F5D" w:rsidRPr="00D66245">
        <w:rPr>
          <w:rFonts w:ascii="Palatino Linotype" w:eastAsia="Times New Roman" w:hAnsi="Palatino Linotype" w:cs="Arial"/>
          <w:i/>
          <w:lang w:eastAsia="es-ES"/>
        </w:rPr>
        <w:t>sindicato, cuando este ya había superado un período de prueba; y el no haberle externado un motivo de justificación para esa decisión en la carta en la que se prescindió de sus servicios, constituye un indicio grave para presumir la existencia de una actuación patronal discriminatoria. Ante esa presunción, le correspondía a la demandada acreditar el hecho objetivo que desplazara y excluyera el ánimo discriminatorio. Lo anterior, a tenor de lo dispuesto por el inciso 10), del artículo 478 </w:t>
      </w:r>
      <w:r w:rsidR="00444F5D" w:rsidRPr="00D66245">
        <w:rPr>
          <w:rFonts w:ascii="Palatino Linotype" w:eastAsia="Times New Roman" w:hAnsi="Palatino Linotype" w:cs="Arial"/>
          <w:i/>
          <w:iCs/>
          <w:lang w:eastAsia="es-ES"/>
        </w:rPr>
        <w:t>ídem, </w:t>
      </w:r>
      <w:r w:rsidR="00444F5D" w:rsidRPr="00D66245">
        <w:rPr>
          <w:rFonts w:ascii="Palatino Linotype" w:eastAsia="Times New Roman" w:hAnsi="Palatino Linotype" w:cs="Arial"/>
          <w:i/>
          <w:lang w:eastAsia="es-ES"/>
        </w:rPr>
        <w:t>conforme al cual, a la empleadora le corresponderá acreditar </w:t>
      </w:r>
      <w:r w:rsidR="00444F5D" w:rsidRPr="00D66245">
        <w:rPr>
          <w:rFonts w:ascii="Palatino Linotype" w:eastAsia="Times New Roman" w:hAnsi="Palatino Linotype" w:cs="Arial"/>
          <w:i/>
          <w:iCs/>
          <w:lang w:eastAsia="es-ES"/>
        </w:rPr>
        <w:t>“La justificación de la objetividad, racionalidad y proporcionalidad de las medidas o las conductas señaladas como discriminatorias en todas las demandas relacionadas con discriminaciones”</w:t>
      </w:r>
      <w:r w:rsidR="00444F5D" w:rsidRPr="00D66245">
        <w:rPr>
          <w:rFonts w:ascii="Palatino Linotype" w:eastAsia="Times New Roman" w:hAnsi="Palatino Linotype" w:cs="Arial"/>
          <w:i/>
          <w:lang w:eastAsia="es-ES"/>
        </w:rPr>
        <w:t>. Al contestar la demanda, la representación de la sociedad empleadora adujo que el despido abarcó a varios trabajadores más porque así lo demandaba el proceso de producción. Además, que al trabajador no le asistía ningún fuero de protección, pues éste est á previsto solamente para las personas trabajadoras reguladas en el numeral 367 del </w:t>
      </w:r>
      <w:r w:rsidR="00444F5D" w:rsidRPr="00D66245">
        <w:rPr>
          <w:rFonts w:ascii="Palatino Linotype" w:eastAsia="Times New Roman" w:hAnsi="Palatino Linotype" w:cs="Arial"/>
          <w:i/>
          <w:iCs/>
          <w:lang w:eastAsia="es-ES"/>
        </w:rPr>
        <w:t>Código de Trabajo</w:t>
      </w:r>
      <w:r w:rsidR="00444F5D" w:rsidRPr="00D66245">
        <w:rPr>
          <w:rFonts w:ascii="Palatino Linotype" w:eastAsia="Times New Roman" w:hAnsi="Palatino Linotype" w:cs="Arial"/>
          <w:i/>
          <w:lang w:eastAsia="es-ES"/>
        </w:rPr>
        <w:t>. La última defensa carece de sustento jurídico porque el artículo 363</w:t>
      </w:r>
      <w:r w:rsidR="00444F5D" w:rsidRPr="00D66245">
        <w:rPr>
          <w:rFonts w:ascii="Palatino Linotype" w:eastAsia="Times New Roman" w:hAnsi="Palatino Linotype" w:cs="Arial"/>
          <w:i/>
          <w:iCs/>
          <w:lang w:eastAsia="es-ES"/>
        </w:rPr>
        <w:t>ídem</w:t>
      </w:r>
      <w:r w:rsidR="00444F5D" w:rsidRPr="00D66245">
        <w:rPr>
          <w:rFonts w:ascii="Palatino Linotype" w:eastAsia="Times New Roman" w:hAnsi="Palatino Linotype" w:cs="Arial"/>
          <w:i/>
          <w:lang w:eastAsia="es-ES"/>
        </w:rPr>
        <w:t>, en forma clara establece una protección general para el ejercicio de los derechos colectivos de las personas trabajadoras, en estos términos: “</w:t>
      </w:r>
      <w:r w:rsidR="00444F5D" w:rsidRPr="00D66245">
        <w:rPr>
          <w:rFonts w:ascii="Palatino Linotype" w:eastAsia="Times New Roman" w:hAnsi="Palatino Linotype" w:cs="Arial"/>
          <w:i/>
          <w:iCs/>
          <w:lang w:eastAsia="es-ES"/>
        </w:rPr>
        <w:t>Prohíbense las acciones u omisiones que tiendan a evitar, limitar, constreñir o impedir el libre ejercicio de los derechos colectivos de los trabajadores, sus sindicatos o las coaliciones de trabajadores./</w:t>
      </w:r>
      <w:r w:rsidR="00444F5D" w:rsidRPr="00D66245">
        <w:rPr>
          <w:rFonts w:ascii="Palatino Linotype" w:eastAsia="Times New Roman" w:hAnsi="Palatino Linotype" w:cs="Arial"/>
          <w:b/>
          <w:bCs/>
          <w:i/>
          <w:iCs/>
          <w:lang w:eastAsia="es-ES"/>
        </w:rPr>
        <w:t>Cualquier acto que de ellas se origine</w:t>
      </w:r>
      <w:r w:rsidR="00444F5D" w:rsidRPr="00D66245">
        <w:rPr>
          <w:rFonts w:ascii="Palatino Linotype" w:eastAsia="Times New Roman" w:hAnsi="Palatino Linotype" w:cs="Arial"/>
          <w:i/>
          <w:iCs/>
          <w:lang w:eastAsia="es-ES"/>
        </w:rPr>
        <w:t> </w:t>
      </w:r>
      <w:r w:rsidR="00444F5D" w:rsidRPr="00D66245">
        <w:rPr>
          <w:rFonts w:ascii="Palatino Linotype" w:eastAsia="Times New Roman" w:hAnsi="Palatino Linotype" w:cs="Arial"/>
          <w:b/>
          <w:bCs/>
          <w:i/>
          <w:iCs/>
          <w:lang w:eastAsia="es-ES"/>
        </w:rPr>
        <w:t>es absolutamente nulo e ineficaz </w:t>
      </w:r>
      <w:r w:rsidR="00444F5D" w:rsidRPr="00D66245">
        <w:rPr>
          <w:rFonts w:ascii="Palatino Linotype" w:eastAsia="Times New Roman" w:hAnsi="Palatino Linotype" w:cs="Arial"/>
          <w:i/>
          <w:iCs/>
          <w:lang w:eastAsia="es-ES"/>
        </w:rPr>
        <w:t>y se sancionará, en la forma y en las condiciones señaladas en el Código de Trabajo, sus leyes supletorias o conexas para la infracción de disposiciones prohibitivas”. </w:t>
      </w:r>
      <w:r w:rsidR="00444F5D" w:rsidRPr="00D66245">
        <w:rPr>
          <w:rFonts w:ascii="Palatino Linotype" w:eastAsia="Times New Roman" w:hAnsi="Palatino Linotype" w:cs="Arial"/>
          <w:i/>
          <w:lang w:eastAsia="es-ES"/>
        </w:rPr>
        <w:t>(El destacado es nuestro). Esta tutela no es novedosa. Ya desde 1993, la Sala Constitucional había señalado claramente que el amparo en contra de actos de discriminación sindical cubre a cualquier persona trabajadora, cuando la medida adoptada por quien emplea resulte discriminatoria y transgresora del ejercicio de l derecho fundamental de sindicalización; y no solamente a los representantes de los trabajadores .Así, en el voto 5000, de las 10:09 horas del 8 de octubre del año citado, se indicó: “</w:t>
      </w:r>
      <w:r w:rsidR="00444F5D" w:rsidRPr="00D66245">
        <w:rPr>
          <w:rFonts w:ascii="Palatino Linotype" w:eastAsia="Times New Roman" w:hAnsi="Palatino Linotype" w:cs="Arial"/>
          <w:i/>
          <w:iCs/>
          <w:lang w:eastAsia="es-ES"/>
        </w:rPr>
        <w:t>De acuerdo con todo lo expuesto, es evidente que el despido recaído en los representantes de los trabajadores, sindicales o no, es legalmente improcedente (aunque los patronos paguen las prestaciones sociales), pues viola el fuero especial de representación garantizado por la Constitución Política, los convenios internacionales y las leyes, en perjuicio personal de los representantes y de los trabajadores cuya representación ostentan y a quienes por el hecho mismo del despido también se les viola su derecho fundamental de asociación al verse privados de sus líderes y por ende de la adecuada y legítima defensa de sus intereses personales y gremiales. /Aunque hasta el momento se ha venido considerando la situación de los representantes de los trabajadores, sindicalizados o no, cabe decir que </w:t>
      </w:r>
      <w:r w:rsidR="00444F5D" w:rsidRPr="00D66245">
        <w:rPr>
          <w:rFonts w:ascii="Palatino Linotype" w:eastAsia="Times New Roman" w:hAnsi="Palatino Linotype" w:cs="Arial"/>
          <w:b/>
          <w:bCs/>
          <w:i/>
          <w:iCs/>
          <w:lang w:eastAsia="es-ES"/>
        </w:rPr>
        <w:t>con igual sustento normativo y con igual criterio debe resolverse el despido de los simples trabajadores cuando la causal, expresa o tácita, sea su pertenencia a una asociación o sindicato, porque ello también viola sus derechos fundamentales, vale decir que la vinculación a dichas organizaciones, como simples afiliados, pone en juego valores superiores de convivencia y armonía social y laboral frente a los cuales el resarcimiento económico, representado por el pago de las prestaciones sociales, carece de validez legal, ello porque la voluntad patronal queda constitucional y legalmente inhibida o limitada desde la perspectiva general de los derechos humanos de los trabajadores y desde la perspectiva específica del derecho laboral</w:t>
      </w:r>
      <w:r w:rsidR="00444F5D" w:rsidRPr="00D66245">
        <w:rPr>
          <w:rFonts w:ascii="Palatino Linotype" w:eastAsia="Times New Roman" w:hAnsi="Palatino Linotype" w:cs="Arial"/>
          <w:i/>
          <w:iCs/>
          <w:lang w:eastAsia="es-ES"/>
        </w:rPr>
        <w:t>, que tutela el interés público general”. </w:t>
      </w:r>
      <w:r w:rsidR="00444F5D" w:rsidRPr="00D66245">
        <w:rPr>
          <w:rFonts w:ascii="Palatino Linotype" w:eastAsia="Times New Roman" w:hAnsi="Palatino Linotype" w:cs="Arial"/>
          <w:i/>
          <w:lang w:eastAsia="es-ES"/>
        </w:rPr>
        <w:t>(La negrita se agregó). En el recurso se acusa la falta de análisis y valoración de las pruebas, en donde se indiquen las razones de desestimación de determinadas probanzas aportadas. Se alega que con las testimoniales evacuadas se demuestra la causal objetiva de despido. Del análisis de las declaraciones de los testigos presentados se extrae lo siguiente. El señor [Nombre 012] -promotor sindical - manifestó que el actor se afilió al sindicato en el mes de setiembre, y que pocos días después fue despedido, lo cual le pareció extraño ya que había trabajadores que seguían muchos meses más después del periodo de prueba. Expresó que además del accionante, en esa misma fecha despidieron también a cuatro o cinco trabajadores afiliados, y que esa cantidad aumentó en los meses siguientes. Acotó que después del cese de labores del demandante, la empresa continuó contratando a empleados para la planta empacadora. Por su lado, [Nombre 014] –compañero de trabajo del actor y actual trabajador de la demandada - señaló que en el año 2012 estuvo afiliado al mismo sindicato, pero que por constantes persecuciones sindicalistas por parte de la demandada tuvo que desafiliarse. Indicó que luego de la respectiva evaluación, él ayudó al accionante a afiliarse; y que diez días después de que la empresa tuvo conocimiento de ello suspendieron al demandante, junto con cuatro o cinco compañeros más, igualmente afiliados. Comentó que le pareció extraño pues el actor se había desempeñado perfectamente durante el primer periodo; que luego del despido masivo, de 4 a 5 días después, la empresa continuó contratando personal</w:t>
      </w:r>
      <w:r w:rsidR="00FD795D" w:rsidRPr="00D66245">
        <w:rPr>
          <w:rFonts w:ascii="Palatino Linotype" w:eastAsia="Times New Roman" w:hAnsi="Palatino Linotype" w:cs="Arial"/>
          <w:i/>
          <w:lang w:eastAsia="es-ES"/>
        </w:rPr>
        <w:t>. Inclus</w:t>
      </w:r>
      <w:r w:rsidR="00444F5D" w:rsidRPr="00D66245">
        <w:rPr>
          <w:rFonts w:ascii="Palatino Linotype" w:eastAsia="Times New Roman" w:hAnsi="Palatino Linotype" w:cs="Arial"/>
          <w:i/>
          <w:lang w:eastAsia="es-ES"/>
        </w:rPr>
        <w:t xml:space="preserve">o resaltó que llegaron tres personas a ocupar el mismo puesto del demandante, cuyos nombramientos siguen vigentes en la empresa. Por otro lado, el señor [Nombre 007] –agrónomo de la demandada- expresó que el contrato del actor cesó porque se terminó la fruta, por lo que fue necesario reducir el personal. Explicó que no solamente se cesaron las labores del actor, sino también de veinticuatro compañeros más y que la empresa no volvió a contratar más personal, pues se maneja un sistema estandarizado. En cuanto a la alegada discriminación, expresó que existe igualdad de trato para personas sindicalizadas y no sindicalizadas. Por último, el señor [Nombre 008] –técnico de relaciones laborales de la accionada-, aseguró que luego del respectivo estudio y análisis, se despidi ó a veinticuatro trabajadores por baja en la fruta, entre ellos al actor; y que después de eso hubo un alza de productividad, por lo que tuvieron que contratar persona l nuevo. Ante tal diversidad de criterios, la Sala se decanta por conferirle valor a lo manifestado por los señores </w:t>
      </w:r>
      <w:r w:rsidR="00FD795D" w:rsidRPr="00D66245">
        <w:rPr>
          <w:rFonts w:ascii="Palatino Linotype" w:eastAsia="Times New Roman" w:hAnsi="Palatino Linotype" w:cs="Arial"/>
          <w:i/>
          <w:lang w:eastAsia="es-ES"/>
        </w:rPr>
        <w:t>[Nombre 012] y Ruiz Siles</w:t>
      </w:r>
      <w:r w:rsidR="00444F5D" w:rsidRPr="00D66245">
        <w:rPr>
          <w:rFonts w:ascii="Palatino Linotype" w:eastAsia="Times New Roman" w:hAnsi="Palatino Linotype" w:cs="Arial"/>
          <w:i/>
          <w:lang w:eastAsia="es-ES"/>
        </w:rPr>
        <w:t>, pues sus declaraciones resultan coherentes y se ajustan más a la situación integralmente valorada. Lo anterior porque existen contradicciones entre los testigos ofrecidos por la parte demandada. E l señor [Nombre 007] -agrónomo de la demandada- refirió que no hub o contrataciones posteriores al despido, mientras que el señor [Nombre 008] -técnico de relaciones laborales- aseguró que sí se contrató más personal, luego del despido del actor. Cabe agregar, que también se extraña que la alegada variación en las labores a atender en la empresa demandada, en razón de problemas en otra planta, no se sustentara en otro tipo de prueba. Por otro lado, tampoco lleva razón el recurrente en cuanto a la preterición de las cartas de despido de otros 23 trabajadores cesa dos en sus labores. La jueza, en el hecho probado número dos expresó: </w:t>
      </w:r>
      <w:r w:rsidR="00444F5D" w:rsidRPr="00D66245">
        <w:rPr>
          <w:rFonts w:ascii="Palatino Linotype" w:eastAsia="Times New Roman" w:hAnsi="Palatino Linotype" w:cs="Arial"/>
          <w:i/>
          <w:iCs/>
          <w:lang w:eastAsia="es-ES"/>
        </w:rPr>
        <w:t>“Que cuando despidieron a [Nombre 001]</w:t>
      </w:r>
      <w:r w:rsidR="00444F5D" w:rsidRPr="00D66245">
        <w:rPr>
          <w:rFonts w:ascii="Palatino Linotype" w:eastAsia="Times New Roman" w:hAnsi="Palatino Linotype" w:cs="Arial"/>
          <w:b/>
          <w:bCs/>
          <w:i/>
          <w:iCs/>
          <w:lang w:eastAsia="es-ES"/>
        </w:rPr>
        <w:t> </w:t>
      </w:r>
      <w:r w:rsidR="00444F5D" w:rsidRPr="00D66245">
        <w:rPr>
          <w:rFonts w:ascii="Palatino Linotype" w:eastAsia="Times New Roman" w:hAnsi="Palatino Linotype" w:cs="Arial"/>
          <w:i/>
          <w:iCs/>
          <w:lang w:eastAsia="es-ES"/>
        </w:rPr>
        <w:t>el 22 de setiembre del 2017 despidieron también a 23 personas más en la misma fecha (ver cartas de despido aportadas por la demandada y testimonial de [Nombre 012])”. </w:t>
      </w:r>
      <w:r w:rsidR="00444F5D" w:rsidRPr="00D66245">
        <w:rPr>
          <w:rFonts w:ascii="Palatino Linotype" w:eastAsia="Times New Roman" w:hAnsi="Palatino Linotype" w:cs="Arial"/>
          <w:i/>
          <w:lang w:eastAsia="es-ES"/>
        </w:rPr>
        <w:t>(Sic). Por otro lado, en el considerando V, refirió que </w:t>
      </w:r>
      <w:r w:rsidR="00444F5D" w:rsidRPr="00D66245">
        <w:rPr>
          <w:rFonts w:ascii="Palatino Linotype" w:eastAsia="Times New Roman" w:hAnsi="Palatino Linotype" w:cs="Arial"/>
          <w:i/>
          <w:iCs/>
          <w:lang w:eastAsia="es-ES"/>
        </w:rPr>
        <w:t>"con la prueba documental aportada (cartas de despido) al expediente se desprende que efectivamente se despidió a 23 personas más aparte del actor (...)"</w:t>
      </w:r>
      <w:r w:rsidR="00444F5D" w:rsidRPr="00D66245">
        <w:rPr>
          <w:rFonts w:ascii="Palatino Linotype" w:eastAsia="Times New Roman" w:hAnsi="Palatino Linotype" w:cs="Arial"/>
          <w:i/>
          <w:lang w:eastAsia="es-ES"/>
        </w:rPr>
        <w:t>. La jueza a quo, luego de la mención y análisis de las probanzas, concluyó que </w:t>
      </w:r>
      <w:r w:rsidR="00444F5D" w:rsidRPr="00D66245">
        <w:rPr>
          <w:rFonts w:ascii="Palatino Linotype" w:eastAsia="Times New Roman" w:hAnsi="Palatino Linotype" w:cs="Arial"/>
          <w:i/>
          <w:iCs/>
          <w:lang w:eastAsia="es-ES"/>
        </w:rPr>
        <w:t>"Al analizar todas estas circustancias en forma conjunta con la prueba documental y testimonial llevan a ésta juzgadora acreditar que el despido del actor obedece a un despido por discriminación en virtud de la filiación sindical" </w:t>
      </w:r>
      <w:r w:rsidR="00444F5D" w:rsidRPr="00D66245">
        <w:rPr>
          <w:rFonts w:ascii="Palatino Linotype" w:eastAsia="Times New Roman" w:hAnsi="Palatino Linotype" w:cs="Arial"/>
          <w:i/>
          <w:lang w:eastAsia="es-ES"/>
        </w:rPr>
        <w:t>(sic)</w:t>
      </w:r>
      <w:r w:rsidR="00444F5D" w:rsidRPr="00D66245">
        <w:rPr>
          <w:rFonts w:ascii="Palatino Linotype" w:eastAsia="Times New Roman" w:hAnsi="Palatino Linotype" w:cs="Arial"/>
          <w:i/>
          <w:iCs/>
          <w:lang w:eastAsia="es-ES"/>
        </w:rPr>
        <w:t>. </w:t>
      </w:r>
      <w:r w:rsidR="00444F5D" w:rsidRPr="00D66245">
        <w:rPr>
          <w:rFonts w:ascii="Palatino Linotype" w:eastAsia="Times New Roman" w:hAnsi="Palatino Linotype" w:cs="Arial"/>
          <w:i/>
          <w:lang w:eastAsia="es-ES"/>
        </w:rPr>
        <w:t>Ciertamente la parte demandada demostró que el mismo día del despido del actor, cesó en las labores a 23 trabajadores más. La valoración de ese hecho debe ser cuidadosa, porque por ese medio, los patronos podrían aprovechar la situación de necesidad de un despido masivo que deban realizar, para incluir dentro de éste el despido de personas trabajadoras en razón de su afiliación sindical. Por esa razón, resulta importante en cada caso valorar no sólo la objetividad de la decisión patronal de prescindir del grupo de trabajadores, sino particularmente de la persona sindicalizada que alega la discriminación. En el caso en estudio, el solo hecho del despido de 23 personas adicionalmente al actor, dentro de las cuales se contemplaron personas sindicalizadas y no afiliadas al sindicato, podría sustentar la tesis de la demandada sobre la objetividad de su decisión. Sin embargo, todos los testigos son contestes en afirmar que a escasos días del despido se contrataron nuevos trabajadores, y particularmente, el testigo [Nombre 014] refirió que en el caso del despido del actor, la contratación de otras personas en el mismo puesto suyo fue de 4 a 5 días después, es decir, casi de manera inmediata. Como se apuntó, el hecho de que la destitución se haya hecho con cercana posterioridad al comunicado de la afiliación del actor al sindicato , y que a pocos días del despido la demandada haya contratado a otras personas, en el mismo puesto del accionante, sumado al hecho de que la accionada no acreditó las razones objetivas por las cuales definió prescindir de los servicios del actor y no de otras personas, conducen inexorablemente a confirmar que la valoración de las pruebas y la conclusión a la que arribó la jueza a quo es acertada, pues resulta imposible admitir que el despido haya obedecido a la generación de un sobrante de trabajadores cuando es claro que casi de manera inmediata la demandada contrató nuevas personas para atender las funciones realizadas por el actor. En todo caso, ante la duda debe favorecer al trabajador, conforme la regla del </w:t>
      </w:r>
      <w:r w:rsidR="00444F5D" w:rsidRPr="00D66245">
        <w:rPr>
          <w:rFonts w:ascii="Palatino Linotype" w:eastAsia="Times New Roman" w:hAnsi="Palatino Linotype" w:cs="Arial"/>
          <w:i/>
          <w:iCs/>
          <w:lang w:eastAsia="es-ES"/>
        </w:rPr>
        <w:t>in dubio pro operario </w:t>
      </w:r>
      <w:r w:rsidR="00444F5D" w:rsidRPr="00D66245">
        <w:rPr>
          <w:rFonts w:ascii="Palatino Linotype" w:eastAsia="Times New Roman" w:hAnsi="Palatino Linotype" w:cs="Arial"/>
          <w:i/>
          <w:lang w:eastAsia="es-ES"/>
        </w:rPr>
        <w:t>(artículo 422, </w:t>
      </w:r>
      <w:r w:rsidR="00444F5D" w:rsidRPr="00D66245">
        <w:rPr>
          <w:rFonts w:ascii="Palatino Linotype" w:eastAsia="Times New Roman" w:hAnsi="Palatino Linotype" w:cs="Arial"/>
          <w:i/>
          <w:iCs/>
          <w:lang w:eastAsia="es-ES"/>
        </w:rPr>
        <w:t>Código de Trabajo</w:t>
      </w:r>
      <w:r w:rsidR="00444F5D" w:rsidRPr="00D66245">
        <w:rPr>
          <w:rFonts w:ascii="Palatino Linotype" w:eastAsia="Times New Roman" w:hAnsi="Palatino Linotype" w:cs="Arial"/>
          <w:i/>
          <w:lang w:eastAsia="es-ES"/>
        </w:rPr>
        <w:t>)</w:t>
      </w:r>
      <w:r w:rsidR="00444F5D" w:rsidRPr="00D66245">
        <w:rPr>
          <w:rFonts w:ascii="Palatino Linotype" w:eastAsia="Times New Roman" w:hAnsi="Palatino Linotype" w:cs="Arial"/>
          <w:i/>
          <w:iCs/>
          <w:lang w:eastAsia="es-ES"/>
        </w:rPr>
        <w:t>, </w:t>
      </w:r>
      <w:r w:rsidR="00444F5D" w:rsidRPr="00D66245">
        <w:rPr>
          <w:rFonts w:ascii="Palatino Linotype" w:eastAsia="Times New Roman" w:hAnsi="Palatino Linotype" w:cs="Arial"/>
          <w:i/>
          <w:lang w:eastAsia="es-ES"/>
        </w:rPr>
        <w:t>aplicable en materia de valoración de prueba.</w:t>
      </w:r>
      <w:r w:rsidRPr="00D66245">
        <w:rPr>
          <w:rFonts w:ascii="Palatino Linotype" w:eastAsia="Times New Roman" w:hAnsi="Palatino Linotype" w:cs="Arial"/>
          <w:i/>
          <w:lang w:eastAsia="es-ES"/>
        </w:rPr>
        <w:t>”</w:t>
      </w:r>
    </w:p>
    <w:p w14:paraId="4C1DDDF1" w14:textId="77777777" w:rsidR="00444F5D" w:rsidRPr="00D66245" w:rsidRDefault="00444F5D"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2018-000860</w:t>
      </w:r>
    </w:p>
    <w:p w14:paraId="30D84DBA" w14:textId="77777777" w:rsidR="00444F5D" w:rsidRPr="00D66245" w:rsidRDefault="00444F5D" w:rsidP="00311FAA">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doce horas treinta y cinco minutos del veintitrés de mayo de dos mil dieciocho.</w:t>
      </w:r>
    </w:p>
    <w:p w14:paraId="752AB6FA" w14:textId="77777777" w:rsidR="00444F5D" w:rsidRPr="00D66245" w:rsidRDefault="00860694" w:rsidP="00311FAA">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w:t>
      </w:r>
      <w:r w:rsidR="00444F5D" w:rsidRPr="00D66245">
        <w:rPr>
          <w:rFonts w:ascii="Palatino Linotype" w:eastAsia="Times New Roman" w:hAnsi="Palatino Linotype" w:cs="Arial"/>
          <w:b/>
          <w:bCs/>
          <w:i/>
          <w:lang w:eastAsia="es-ES"/>
        </w:rPr>
        <w:t>III.- RAZONES DE FONDO: </w:t>
      </w:r>
      <w:r w:rsidR="00444F5D" w:rsidRPr="00D66245">
        <w:rPr>
          <w:rFonts w:ascii="Palatino Linotype" w:eastAsia="Times New Roman" w:hAnsi="Palatino Linotype" w:cs="Arial"/>
          <w:i/>
          <w:lang w:eastAsia="es-ES"/>
        </w:rPr>
        <w:t>El canon 404 del </w:t>
      </w:r>
      <w:r w:rsidR="00444F5D" w:rsidRPr="00D66245">
        <w:rPr>
          <w:rFonts w:ascii="Palatino Linotype" w:eastAsia="Times New Roman" w:hAnsi="Palatino Linotype" w:cs="Arial"/>
          <w:i/>
          <w:iCs/>
          <w:lang w:eastAsia="es-ES"/>
        </w:rPr>
        <w:t>Código de Trabajo </w:t>
      </w:r>
      <w:r w:rsidR="00444F5D" w:rsidRPr="00D66245">
        <w:rPr>
          <w:rFonts w:ascii="Palatino Linotype" w:eastAsia="Times New Roman" w:hAnsi="Palatino Linotype" w:cs="Arial"/>
          <w:i/>
          <w:lang w:eastAsia="es-ES"/>
        </w:rPr>
        <w:t>prohíbe toda discriminación en el trabajo por “… </w:t>
      </w:r>
      <w:r w:rsidR="00444F5D" w:rsidRPr="00D66245">
        <w:rPr>
          <w:rFonts w:ascii="Palatino Linotype" w:eastAsia="Times New Roman" w:hAnsi="Palatino Linotype" w:cs="Arial"/>
          <w:i/>
          <w:iCs/>
          <w:lang w:eastAsia="es-ES"/>
        </w:rPr>
        <w:t>razones de edad, etnia, sexo, religión, raza, orientación sexual, estado civil, opinión política, ascendencia nacional, origen social, filiación, discapacidad, afiliación sindical, situación económica o cualquier otra forma análoga de discriminación</w:t>
      </w:r>
      <w:r w:rsidR="00444F5D" w:rsidRPr="00D66245">
        <w:rPr>
          <w:rFonts w:ascii="Palatino Linotype" w:eastAsia="Times New Roman" w:hAnsi="Palatino Linotype" w:cs="Arial"/>
          <w:i/>
          <w:lang w:eastAsia="es-ES"/>
        </w:rPr>
        <w:t>”</w:t>
      </w:r>
      <w:r w:rsidR="00444F5D" w:rsidRPr="00D66245">
        <w:rPr>
          <w:rFonts w:ascii="Palatino Linotype" w:eastAsia="Times New Roman" w:hAnsi="Palatino Linotype" w:cs="Arial"/>
          <w:i/>
          <w:iCs/>
          <w:lang w:eastAsia="es-ES"/>
        </w:rPr>
        <w:t>. </w:t>
      </w:r>
      <w:r w:rsidR="00444F5D" w:rsidRPr="00D66245">
        <w:rPr>
          <w:rFonts w:ascii="Palatino Linotype" w:eastAsia="Times New Roman" w:hAnsi="Palatino Linotype" w:cs="Arial"/>
          <w:i/>
          <w:lang w:eastAsia="es-ES"/>
        </w:rPr>
        <w:t>El numeral 409 ídem estipula que “… </w:t>
      </w:r>
      <w:r w:rsidR="00444F5D" w:rsidRPr="00D66245">
        <w:rPr>
          <w:rFonts w:ascii="Palatino Linotype" w:eastAsia="Times New Roman" w:hAnsi="Palatino Linotype" w:cs="Arial"/>
          <w:i/>
          <w:iCs/>
          <w:lang w:eastAsia="es-ES"/>
        </w:rPr>
        <w:t>quien alegue la discriminación deberá señalar específicamente el sustento fáctico en el que funda su alegato y los términos de comparación que substancie su afirmación”. </w:t>
      </w:r>
      <w:r w:rsidR="00444F5D" w:rsidRPr="00D66245">
        <w:rPr>
          <w:rFonts w:ascii="Palatino Linotype" w:eastAsia="Times New Roman" w:hAnsi="Palatino Linotype" w:cs="Arial"/>
          <w:i/>
          <w:lang w:eastAsia="es-ES"/>
        </w:rPr>
        <w:t>En la demanda, el accionante alegó que fue trasladado de la estación del Aeropuerto Juan Santamaría al puesto de bomberos de Santa Ana por motivos de su afiliación al sindicato y como miembro del directorio ejecutivo de este. La misma parte demandada ha admitido que el traslado tuvo que ver con el aumento progresivo en el número de licencias sindicales que el accionante venía solicitando como integrante del directorio ejecutivo de UPINS. Según su posición, ello afecta el cumplimiento de la obligación adquirida con la Dirección General de Aviación Civil en lo atinente al servicio de salvamento y extinción de incendios en los aeropuertos internacionales y la necesaria disponibilidad del talento humano para esos efectos. Lo anterior constituye una abierta aceptación de que la decisión impugnada está fundada en el desempeño de actividades propias a la condición de representante sindical del actor, con lo cual resulta discriminatoria. El artículo 363 </w:t>
      </w:r>
      <w:r w:rsidR="00444F5D" w:rsidRPr="00D66245">
        <w:rPr>
          <w:rFonts w:ascii="Palatino Linotype" w:eastAsia="Times New Roman" w:hAnsi="Palatino Linotype" w:cs="Arial"/>
          <w:i/>
          <w:iCs/>
          <w:lang w:eastAsia="es-ES"/>
        </w:rPr>
        <w:t>ídem</w:t>
      </w:r>
      <w:r w:rsidR="00444F5D" w:rsidRPr="00D66245">
        <w:rPr>
          <w:rFonts w:ascii="Palatino Linotype" w:eastAsia="Times New Roman" w:hAnsi="Palatino Linotype" w:cs="Arial"/>
          <w:i/>
          <w:lang w:eastAsia="es-ES"/>
        </w:rPr>
        <w:t>, en forma clara, señala: “</w:t>
      </w:r>
      <w:r w:rsidR="00444F5D" w:rsidRPr="00D66245">
        <w:rPr>
          <w:rFonts w:ascii="Palatino Linotype" w:eastAsia="Times New Roman" w:hAnsi="Palatino Linotype" w:cs="Arial"/>
          <w:i/>
          <w:iCs/>
          <w:lang w:eastAsia="es-ES"/>
        </w:rPr>
        <w:t>Prohíbense las acciones u omisiones que tiendan a evitar, limitar, constreñir o impedir el libre ejercicio de los derechos colectivos de los trabajadores, sus sindicatos o las coaliciones de trabajadores. /</w:t>
      </w:r>
      <w:r w:rsidR="00444F5D" w:rsidRPr="00D66245">
        <w:rPr>
          <w:rFonts w:ascii="Palatino Linotype" w:eastAsia="Times New Roman" w:hAnsi="Palatino Linotype" w:cs="Arial"/>
          <w:b/>
          <w:bCs/>
          <w:i/>
          <w:iCs/>
          <w:lang w:eastAsia="es-ES"/>
        </w:rPr>
        <w:t>Cualquier acto que de ellas se origine</w:t>
      </w:r>
      <w:r w:rsidR="00444F5D" w:rsidRPr="00D66245">
        <w:rPr>
          <w:rFonts w:ascii="Palatino Linotype" w:eastAsia="Times New Roman" w:hAnsi="Palatino Linotype" w:cs="Arial"/>
          <w:i/>
          <w:iCs/>
          <w:lang w:eastAsia="es-ES"/>
        </w:rPr>
        <w:t> </w:t>
      </w:r>
      <w:r w:rsidR="00444F5D" w:rsidRPr="00D66245">
        <w:rPr>
          <w:rFonts w:ascii="Palatino Linotype" w:eastAsia="Times New Roman" w:hAnsi="Palatino Linotype" w:cs="Arial"/>
          <w:b/>
          <w:bCs/>
          <w:i/>
          <w:iCs/>
          <w:lang w:eastAsia="es-ES"/>
        </w:rPr>
        <w:t>es absolutamente nulo e ineficaz </w:t>
      </w:r>
      <w:r w:rsidR="00444F5D" w:rsidRPr="00D66245">
        <w:rPr>
          <w:rFonts w:ascii="Palatino Linotype" w:eastAsia="Times New Roman" w:hAnsi="Palatino Linotype" w:cs="Arial"/>
          <w:i/>
          <w:iCs/>
          <w:lang w:eastAsia="es-ES"/>
        </w:rPr>
        <w:t>y se sancionará, en la forma y en las condiciones señaladas en el Código de Trabajo, sus leyes supletorias o conexas para la infracción de disposiciones prohibitivas”. </w:t>
      </w:r>
      <w:r w:rsidR="00444F5D" w:rsidRPr="00D66245">
        <w:rPr>
          <w:rFonts w:ascii="Palatino Linotype" w:eastAsia="Times New Roman" w:hAnsi="Palatino Linotype" w:cs="Arial"/>
          <w:i/>
          <w:lang w:eastAsia="es-ES"/>
        </w:rPr>
        <w:t>(El destacado se agregó). Como se dijo, la parte demandada ha admitido que el traslado del funcionario se debió a las constantes licencias sindicales que solicitaba, circunstancia que estima contrapuesta a la necesidad de contar con el personal suficiente durante las veinticuatro horas del día para atender las unidades de emergencia, debido a la naturaleza de las tareas y la disponibilidad del talento humano que implica la prestación del servicio en el aeropuerto. Como fundamento, invocó el convenio suscrito con la Dirección General de Aviación Civil, en lo referente al servicio de salvamento y extinción de incendios (SEI). El derecho de sindicación está reconocido a nivel del ordenamiento interno constitucional y legal, así como a nivel internacional. De conformidad con el artículo 60 de la Constitución Política, las personas trabajadoras y las empleadoras tienen derecho a sindicalizarse libremente, con el fin exclusivo de obtener y de conservar beneficios económicos, sociales o profesionales. La Organización Internacional del Trabajo ha adoptado convenios que obligan a los Estados a reconocer ese derecho y a poner en práctica mecanismos efectivos para su tutela. Al amparo del artículo 7 de la Constitución Política, dichos convenios tienen autoridad superior a la ley ordinaria. Así, el artículo 11 del Convenio 87, relativo a la libertad sindical y a la protección del derecho de sindicación, ratificado por Costa Rica por Ley número 2561 del 11 de mayo de 1960, obliga a los Estados miembros de esa organización -para los que esté en vigor el Convenio- a adoptar todas las medidas necesarias y apropiadas para garantizar, a aquellas personas, el libre ejercicio del derecho de sindicación. Por su parte, el Convenio 98, relativo a la aplicación de los principios del derecho de sindicación y de negociación colectiva, en su artículo 1 dispone que las personas trabajadoras deberán gozar de la adecuada protección contra todo acto de discriminación, tendiente a menoscabar la libertad sindical en relación con su empleo. Lo anterior significa que el derecho de sindicación del actor y su posición como miembro del directorio ejecutivo de UPINS debe respetarse por estar protegido por un fuero especial, sin necesidad de que él deba acreditar un factor de comparación con otro funcionario en iguales condiciones para estimar que existió realmente la situación discriminatoria, como lo alega el recurrente, pues en casos como este, la existencia del fuero supone la existencia de una diferente condición que es precisamente la que el ordenamiento jurídico tutela, por lo cual, a los fines de descartar la imputación discriminatoria, el patrono debe aceditar una causa objetiva y razonable para justificar ese movimiento de personal, lo cual no hizo . L a justificación brindada resulta inaceptable en tanto implícitamente resulta una sanción para un trabajador que asume la representación sindical. Si bien es cierto, se está frente a un servicio en donde está de por medio un interés público que exige plena disposición y continuidad, se demostró la posibilidad en que está la demandada de sustituir al actor durante las ausencias motivadas en el ejercicio de sus funciones sindicales. En este sentido, el declarante [Nombre 005] expuso que durante la licencia sindical, el accionante era sustituido por un compañero que se enviaba desde otra estación cercana, además de que la ausencia no era durante todo el día y tampoco se afectaba el servicio. Asimismo, el testigo [Nombre 003] -ofrecido por la parte demandada- narró la existencia de una cadena de suplencias en el aeropuerto y una bolsa de bomberos que han sido entrenados para ejercerlas en caso de ausencias de los bomberos aeronáuticos. Es decir, se cuenta con personal que sabe el funcionamiento para facilitar la labor en caso de ausencia de otros. La parte accionada no demostró que las ausencias por licencia del actor haya n genera do un caos en el funcionamiento y el servicio brindado por el Cuerpo de Bomberos en el aeropuerto. Si bien existe el aludido convenio con la Dirección General de Aviación Civil, no se demostró que se estuviera incumpliendo por causas imputables al actor. Aparte de lo anterior, se destacan otras cuestiones que debilitan la posición del demandado y refuerzan el ánimo discriminatorio del acto de traslado. Según expuso el actor en la demanda, él empezó a laborar en el Aeropuerto Internacional Juan Santamaría desde el año 2012, data a partir de la cual también inició su especialización como bombero aeronáutico. La parte accionada mencionó que no fue sino hasta el 25 de setiembre de 2015, luego de cinco días de formación, cuando el funcionario obtuvo el certificado de capacitación del Centro de Investigación y Entrenamiento de Bomberos (</w:t>
      </w:r>
      <w:r w:rsidR="00444F5D" w:rsidRPr="00D66245">
        <w:rPr>
          <w:rFonts w:ascii="Palatino Linotype" w:eastAsia="Times New Roman" w:hAnsi="Palatino Linotype" w:cs="Arial"/>
          <w:i/>
          <w:iCs/>
          <w:lang w:eastAsia="es-ES"/>
        </w:rPr>
        <w:t>Fire Training Research Center</w:t>
      </w:r>
      <w:r w:rsidR="00444F5D" w:rsidRPr="00D66245">
        <w:rPr>
          <w:rFonts w:ascii="Palatino Linotype" w:eastAsia="Times New Roman" w:hAnsi="Palatino Linotype" w:cs="Arial"/>
          <w:i/>
          <w:lang w:eastAsia="es-ES"/>
        </w:rPr>
        <w:t>) con sede en Dallas, Texas, Estados Unidos. No obstante, es claro que dada la naturaleza de las funciones que se realizan a l o interno de una estación aeroportuaria internacional (las cuales ha admitido la parte demandada como particulares), el actor empezó a adquirir dicha práctica con el desempeño de sus labores. El testigo [Nombre 005] refirió que sí existe diferencia entre un bombero estructural y un bombero aeroportuario, en tanto este último requiere una capacitación adicional e incluso cuando se saca a concurso una plaza, los requisitos exigidos son distintos. Mencionó que desde que el actor empezó a laborar en el aeropuerto se le empezó a dar entrenamiento. El declarante [Nombre 003] señaló que aunque no se requiere previamente que el bombero aeroportuario cuente con la debida certificación, sí se pide que haga el curso después, mientras tanto va aprendiendo sobre aeronaves, unidades extintoras, programa y normativa interna del aeropuerto. A pesar de lo indicado por ambos testigos, al demandante se le trasladó a la estación de bomberos de Santa Ana, lo cual implicó una subutilización del recurso humano, así como un corte en su formación al impedir actualizar sus conocimientos y entrenamiento, pues el accionante ya contaba con la debida acreditación y práctica. </w:t>
      </w:r>
      <w:r w:rsidR="00444F5D" w:rsidRPr="00D66245">
        <w:rPr>
          <w:rFonts w:ascii="Palatino Linotype" w:eastAsia="Times New Roman" w:hAnsi="Palatino Linotype" w:cs="Arial"/>
          <w:i/>
          <w:lang w:val="es-CR" w:eastAsia="es-ES"/>
        </w:rPr>
        <w:t>Asimismo, no es cierto que el número de licencias solicitadas fuera excesivo, pues este fue acorde con lo estipulado en la convención colectiva. En ese sentido, se aportó el oficio CBCR-020860-2017-DOB-00473 donde la Dirección Operativa informó sobre las licencias solicitadas y otorgadas durante los años 2016 y 2017. Ese documento, comparado con las normas de la convención colectiva, da cuenta de que el número de licencias tomadas durante los años no superaban proporcionalmente las permitidas por el artículo 171 de la convención colectiva, como se explica en la sentencia recurrida. El riesgo de asumir el compromiso con la Dirección General de Aviación Civil no puede ser trasladado al trabajador, sino que debe ser parte de la planificación y organización de la entidad para esas contingencias. Otro aspecto importante de considerar es que la medida del traslado se tomó justo durante el periodo cuando se habían verificado amenazas contra el sindicato. Esas prácticas antisindicales contra la organización y algunos de sus miembros –incluido particularmente el actor- fueron relatadas por el testigo [Nombre 004], quien dio cuenta de que debido a un recurso de amparo interpuesto por el sindicato para impugnar la jornada laboral, se empezaron a recibir amenazas de muerte en su contra y contra el accionante. Según lo relatado por el deponente, a una funcionaria le enviaron una cabeza de cerdo en señal de amenaz</w:t>
      </w:r>
      <w:r w:rsidR="00FD795D" w:rsidRPr="00D66245">
        <w:rPr>
          <w:rFonts w:ascii="Palatino Linotype" w:eastAsia="Times New Roman" w:hAnsi="Palatino Linotype" w:cs="Arial"/>
          <w:i/>
          <w:lang w:val="es-CR" w:eastAsia="es-ES"/>
        </w:rPr>
        <w:t>a y el actor manifestó que en l</w:t>
      </w:r>
      <w:r w:rsidR="00444F5D" w:rsidRPr="00D66245">
        <w:rPr>
          <w:rFonts w:ascii="Palatino Linotype" w:eastAsia="Times New Roman" w:hAnsi="Palatino Linotype" w:cs="Arial"/>
          <w:i/>
          <w:lang w:val="es-CR" w:eastAsia="es-ES"/>
        </w:rPr>
        <w:t xml:space="preserve">a cochera de su casa lanzaron </w:t>
      </w:r>
      <w:r w:rsidR="00FD795D" w:rsidRPr="00D66245">
        <w:rPr>
          <w:rFonts w:ascii="Palatino Linotype" w:eastAsia="Times New Roman" w:hAnsi="Palatino Linotype" w:cs="Arial"/>
          <w:i/>
          <w:lang w:val="es-CR" w:eastAsia="es-ES"/>
        </w:rPr>
        <w:t>un conejo muerto desde una moto</w:t>
      </w:r>
      <w:r w:rsidR="00444F5D" w:rsidRPr="00D66245">
        <w:rPr>
          <w:rFonts w:ascii="Palatino Linotype" w:eastAsia="Times New Roman" w:hAnsi="Palatino Linotype" w:cs="Arial"/>
          <w:i/>
          <w:lang w:val="es-CR" w:eastAsia="es-ES"/>
        </w:rPr>
        <w:t>cicleta . Fue en ese grave contexto donde se ordenó el traslado del demandante. En el oficio UPINS-00200-2017, la Secretaría General denuncia a la Presidencia Ejecutiva del INS dichas medidas de coacción, lo cual también se constata con la denuncia 000-17-018643 interpuesta por el actor ante el Organismo de Investigación Judicial. Si bien -como lo expone el recurrente- normativamente no se exige la consulta previa al funcionario sobre el traslado al cual va ser sometido, en el presente asunto sí se echa de menos como una manifestación necesaria de la buena fe y así descartar la imposición , y el carácter discriminatorio de la medida. Las circunstancias que derivan del caso integralmente considerado, hacen concluir en la naturaleza discriminatoria del acto referido en el escrito inicial. Las pruebas aportadas por la parte demandada no permiten tener por cumplida la carga probatoria que correspondía a la accionada, cual era la de justificar la objetividad, racionalidad y proporcionalidad de la medida acusada como discriminatoria. De conformidad con lo expuesto, el recurso debe ser denegado por razones de fondo.</w:t>
      </w:r>
      <w:r w:rsidRPr="00D66245">
        <w:rPr>
          <w:rFonts w:ascii="Palatino Linotype" w:eastAsia="Times New Roman" w:hAnsi="Palatino Linotype" w:cs="Arial"/>
          <w:i/>
          <w:lang w:val="es-CR" w:eastAsia="es-ES"/>
        </w:rPr>
        <w:t>”</w:t>
      </w:r>
    </w:p>
    <w:p w14:paraId="4A3061B8" w14:textId="77777777" w:rsidR="00AD3EFA" w:rsidRPr="00D66245" w:rsidRDefault="00AD3EFA"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2018-000724</w:t>
      </w:r>
    </w:p>
    <w:p w14:paraId="3D21BBE5" w14:textId="77777777" w:rsidR="00AD3EFA" w:rsidRPr="00D66245" w:rsidRDefault="00AD3EFA" w:rsidP="00B070CF">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once horas quince minutos del veinticinco de abril de dos mil dieciocho.</w:t>
      </w:r>
    </w:p>
    <w:p w14:paraId="523207D2" w14:textId="77777777" w:rsidR="00AD3EFA" w:rsidRPr="00D66245" w:rsidRDefault="00860694"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w:t>
      </w:r>
      <w:r w:rsidR="00AD3EFA" w:rsidRPr="00D66245">
        <w:rPr>
          <w:rFonts w:ascii="Palatino Linotype" w:eastAsia="Times New Roman" w:hAnsi="Palatino Linotype" w:cs="Arial"/>
          <w:b/>
          <w:bCs/>
          <w:i/>
          <w:lang w:eastAsia="es-ES"/>
        </w:rPr>
        <w:t>IV.-</w:t>
      </w:r>
      <w:r w:rsidR="00AD3EFA" w:rsidRPr="00D66245">
        <w:rPr>
          <w:rFonts w:ascii="Palatino Linotype" w:eastAsia="Times New Roman" w:hAnsi="Palatino Linotype" w:cs="Arial"/>
          <w:i/>
          <w:lang w:eastAsia="es-ES"/>
        </w:rPr>
        <w:t> </w:t>
      </w:r>
      <w:r w:rsidR="00AD3EFA" w:rsidRPr="00D66245">
        <w:rPr>
          <w:rFonts w:ascii="Palatino Linotype" w:eastAsia="Times New Roman" w:hAnsi="Palatino Linotype" w:cs="Arial"/>
          <w:b/>
          <w:bCs/>
          <w:i/>
          <w:lang w:eastAsia="es-ES"/>
        </w:rPr>
        <w:t>ANÁLISIS DEL CASO. </w:t>
      </w:r>
      <w:r w:rsidR="00AD3EFA" w:rsidRPr="00D66245">
        <w:rPr>
          <w:rFonts w:ascii="Palatino Linotype" w:eastAsia="Times New Roman" w:hAnsi="Palatino Linotype" w:cs="Arial"/>
          <w:i/>
          <w:lang w:eastAsia="es-ES"/>
        </w:rPr>
        <w:t>La Constitución Política dedica el Título V, a la tutela y a la protección de los derechos y de las garantías sociales. En el Capítulo Único de dicho Título, está el artículo 51, que consagra a la familia como el elemento natural y fundamento esencial de la sociedad, estableciéndole un derecho de protección especial por parte del Estado, derecho que, expresamente, se hace extensivo a la madre, al niño, al anciano y al enfermo desvalido. La denominada Ley de Promoción de la Igualdad Social de la Mujer, número 7142 del 2 de marzo de 1990, que vino a desarrollar, en parte, aquel numeral 51 constitucional y la Convención Interamericana para prevenir, sancionar y erradicar la violencia contra la mujer “Convención Belem do Pará”, mediante el numeral 32, reformó, entre otros, el artículo 94 del Código de Trabajo e introdujo el numeral 94 bis, estableciéndose aquella protección especial para las trabajadoras embarazadas o en período de lactancia. En efecto, ese artículo 94, establece una prohibición para el empleador, de despedir a las trabajadoras embarazadas o en período de lactancia, salvo el caso de la comisión de una falta grave, respecto de los deberes originados en el contrato de trabajo, según el numeral 81 ídem. Dicha norma establece: “</w:t>
      </w:r>
      <w:r w:rsidR="00AD3EFA" w:rsidRPr="00D66245">
        <w:rPr>
          <w:rFonts w:ascii="Palatino Linotype" w:eastAsia="Times New Roman" w:hAnsi="Palatino Linotype" w:cs="Arial"/>
          <w:i/>
          <w:iCs/>
          <w:lang w:eastAsia="es-ES"/>
        </w:rPr>
        <w:t>Queda prohibido a los patronos despedir a las trabajadoras que estuvieren en estado de embarazo o en período de lactancia, salvo por causa justificada originada en falta grave a los deberes derivados del contrato conforme con las causales establecidas en el artículo 81. En este caso, el patrono deberá gestionar el despido ante la Dirección Nacional y la Inspección General del Trabajo, para lo cual deberá comprobar la falta.</w:t>
      </w:r>
      <w:r w:rsidR="00AD3EFA" w:rsidRPr="00D66245">
        <w:rPr>
          <w:rFonts w:ascii="Palatino Linotype" w:eastAsia="Times New Roman" w:hAnsi="Palatino Linotype" w:cs="Arial"/>
          <w:i/>
          <w:lang w:eastAsia="es-ES"/>
        </w:rPr>
        <w:t> </w:t>
      </w:r>
      <w:r w:rsidR="00AD3EFA" w:rsidRPr="00D66245">
        <w:rPr>
          <w:rFonts w:ascii="Palatino Linotype" w:eastAsia="Times New Roman" w:hAnsi="Palatino Linotype" w:cs="Arial"/>
          <w:i/>
          <w:iCs/>
          <w:lang w:eastAsia="es-ES"/>
        </w:rPr>
        <w:t>Excepcionalmente, la Dirección podrá ordenar la suspensión de la trabajadora, mientras se resuelve la gestión de despido.</w:t>
      </w:r>
      <w:r w:rsidR="00AD3EFA" w:rsidRPr="00D66245">
        <w:rPr>
          <w:rFonts w:ascii="Palatino Linotype" w:eastAsia="Times New Roman" w:hAnsi="Palatino Linotype" w:cs="Arial"/>
          <w:i/>
          <w:lang w:eastAsia="es-ES"/>
        </w:rPr>
        <w:t> </w:t>
      </w:r>
      <w:r w:rsidR="00AD3EFA" w:rsidRPr="00D66245">
        <w:rPr>
          <w:rFonts w:ascii="Palatino Linotype" w:eastAsia="Times New Roman" w:hAnsi="Palatino Linotype" w:cs="Arial"/>
          <w:i/>
          <w:iCs/>
          <w:lang w:eastAsia="es-ES"/>
        </w:rPr>
        <w:t>Para gozar de la protección que aquí se establece, la trabajadora, deberá darle aviso de su estado al empleador y aportar certificación médica o constancia de la Caja Costarricense de Seguro Social</w:t>
      </w:r>
      <w:r w:rsidR="00AD3EFA" w:rsidRPr="00D66245">
        <w:rPr>
          <w:rFonts w:ascii="Palatino Linotype" w:eastAsia="Times New Roman" w:hAnsi="Palatino Linotype" w:cs="Arial"/>
          <w:i/>
          <w:lang w:eastAsia="es-ES"/>
        </w:rPr>
        <w:t>”. Por su parte, el 94 bis ídem establece el derecho de la trabajadora, despedida en contra de lo regulado en el 94 anterior, a ser reinstalada en el puesto que desempeñaba, con el pleno goce de todos sus derechos: “</w:t>
      </w:r>
      <w:r w:rsidR="00AD3EFA" w:rsidRPr="00D66245">
        <w:rPr>
          <w:rFonts w:ascii="Palatino Linotype" w:eastAsia="Times New Roman" w:hAnsi="Palatino Linotype" w:cs="Arial"/>
          <w:i/>
          <w:iCs/>
          <w:lang w:eastAsia="es-ES"/>
        </w:rPr>
        <w:t>La trabajadora embarazada o en período de lactancia, que fuera despedida en contravención con lo dispuesto en el artículo anterior, podrá gestionar ante el juzgado de trabajo su reinstalación inmediata, con pleno goce de todos sus derechos, mediante el procedimiento establecido en el título décimo de este Código. La trabajadora podrá optar por la reinstalación, en cuyo caso el empleador o la empleadora deberán pagarle, además de la indemnización a que tenga derecho y en concepto de daños y perjuicios, las sumas correspondientes al subsidio de preparto y posparto, y los salarios que hubiera dejado de percibir desde el momento del despido, hasta completar ocho meses de embarazo. Si se tratara de una trabajadora en período de lactancia tendrá derecho, además de la cesantía y en concepto de daños y perjuicios, a diez días de salario</w:t>
      </w:r>
      <w:r w:rsidR="00AD3EFA" w:rsidRPr="00D66245">
        <w:rPr>
          <w:rFonts w:ascii="Palatino Linotype" w:eastAsia="Times New Roman" w:hAnsi="Palatino Linotype" w:cs="Arial"/>
          <w:i/>
          <w:lang w:eastAsia="es-ES"/>
        </w:rPr>
        <w:t>”. También la Sala Constitucional ha indicado que la protección dispuesta en el Código de Trabajo, para la trabajadora embarazada o en período de lactancia gira en torno “[…] </w:t>
      </w:r>
      <w:r w:rsidR="00AD3EFA" w:rsidRPr="00D66245">
        <w:rPr>
          <w:rFonts w:ascii="Palatino Linotype" w:eastAsia="Times New Roman" w:hAnsi="Palatino Linotype" w:cs="Arial"/>
          <w:i/>
          <w:iCs/>
          <w:lang w:eastAsia="es-ES"/>
        </w:rPr>
        <w:t>a los obvios fines de la Ley: A) Es prohibida la discriminación de la mujer por el hecho del embarazo o de la lactancia pero no se ha garantizado su inamovilidad: El despido es procedente si el patrono comprueba una falta grave de la trabajadora en los términos del artículo 81 del código laboral, de igual forma que el ordenamiento prohíbe el despido de trabajadores porque ejerciten sus libertades sindicales o políticas, pero no impide que si el patrono comprueba una falta grave a los deberes derivados del contrato, puede ejercer su potestad de despido </w:t>
      </w:r>
      <w:r w:rsidR="00AD3EFA" w:rsidRPr="00D66245">
        <w:rPr>
          <w:rFonts w:ascii="Palatino Linotype" w:eastAsia="Times New Roman" w:hAnsi="Palatino Linotype" w:cs="Arial"/>
          <w:i/>
          <w:lang w:eastAsia="es-ES"/>
        </w:rPr>
        <w:t>[…]</w:t>
      </w:r>
      <w:r w:rsidR="00AD3EFA" w:rsidRPr="00D66245">
        <w:rPr>
          <w:rFonts w:ascii="Palatino Linotype" w:eastAsia="Times New Roman" w:hAnsi="Palatino Linotype" w:cs="Arial"/>
          <w:i/>
          <w:iCs/>
          <w:lang w:eastAsia="es-ES"/>
        </w:rPr>
        <w:t> B) Las disposiciones constitucionales y legales que amparan a la madre y al niño no pueden interpretarse de forma que tornen nugatoria la legislación protectora</w:t>
      </w:r>
      <w:r w:rsidR="00AD3EFA" w:rsidRPr="00D66245">
        <w:rPr>
          <w:rFonts w:ascii="Palatino Linotype" w:eastAsia="Times New Roman" w:hAnsi="Palatino Linotype" w:cs="Arial"/>
          <w:i/>
          <w:lang w:eastAsia="es-ES"/>
        </w:rPr>
        <w:t>”. Así las cosas, queda claro que la normativa contenida en el Código de Trabajo, interpretada conforme con las normas constitucionales y de Derecho Internacional ratificadas por Costa Rica y, por ende, con autoridad superior a la ley ordinaria (artículo 7 constitucional), responde a una voluntad del legislador para brindar una especial protección a la trabajadora en estado de embarazo o en período de lactancia, que tiene un indiscutible propósito : la erradicación de una práctica discriminatoria que históricamente la ha afectado en muchos ámbitos, pero, particularmente en el laboral, con vulneración, como se dijo, de sus derechos como persona y que por el hecho de ser tal, le deben ser reconocidos sin distingo alguno. De ahí que, el despido de una trabajadora en período de lactancia, sin seguir el procedimiento establecido en la legislación ordinaria - supuesto como el que se conoce - deba generar consecuentemente un despido nulo. Ahora bien, la interpretación del recurrente en cuanto afirma que los numerales 94 y 94 bis son aplicables cuando el despido se ha ordenado sin responsabilidad y cuando no se han pagado los derechos laborales, resultada desacertada. El aforamiento o protección de las mujeres en período de lactancia opera sin distinción de la forma en que se ordene el despido. Es decir, el legislador no estableció en estas normas un trato diferente para la mujer que, estando en dicha condición, es despedida con responsabilidad patronal. La protección que se le brinda la cobija frente a un despido con y sin responsabilidad, pues nótese que el legislador estableció de forma enfática y preceptiva “</w:t>
      </w:r>
      <w:r w:rsidR="00AD3EFA" w:rsidRPr="00D66245">
        <w:rPr>
          <w:rFonts w:ascii="Palatino Linotype" w:eastAsia="Times New Roman" w:hAnsi="Palatino Linotype" w:cs="Arial"/>
          <w:i/>
          <w:iCs/>
          <w:lang w:eastAsia="es-ES"/>
        </w:rPr>
        <w:t>queda prohibido a los patronos despedir a las trabajadoras que estuvieren en estado de embarazo o en período de lactancia</w:t>
      </w:r>
      <w:r w:rsidR="00AD3EFA" w:rsidRPr="00D66245">
        <w:rPr>
          <w:rFonts w:ascii="Palatino Linotype" w:eastAsia="Times New Roman" w:hAnsi="Palatino Linotype" w:cs="Arial"/>
          <w:i/>
          <w:lang w:eastAsia="es-ES"/>
        </w:rPr>
        <w:t>”, contemplándose únicamente la salvedad de que exista una causa justificada originada en falta grave derivada del contrato, conforme las causales establecidas en el artículo 81. Para ello deberá gestionarse el despido ante la Dirección Nacional de Inspección General de Trabajo y se deberá comprobar la falta. Admitir la tesis expuesta por la demandada tornaría nugatoria la protección mencionada, al dejar en manos del empleador la disposición sobre un derecho fundamental de una trabajadora en esas condiciones, lo que evidentemente contraviene el objetivo de la tutela. En este asunto ha quedado comprobado que la accionada omitió seguir el procedimiento establecido por el legislador, para despedir a una trabajadora en período de lactancia, con lo cual el despido ordenado deviene nulo. Por conexidad de razones, la interpretación dada por el recurrente respecto del artículo 85 inciso d) del Código de Trabajo es equivocad a , pues soslaya que el patrono debe respetar el fuero que cobija a la mujer en período de lactancia y por ende no puede despedirla sin responsabilidad para el trabajador. Asimismo, de conformidad con lo establecido en el artículo 567 del </w:t>
      </w:r>
      <w:r w:rsidR="00AD3EFA" w:rsidRPr="00D66245">
        <w:rPr>
          <w:rFonts w:ascii="Palatino Linotype" w:eastAsia="Times New Roman" w:hAnsi="Palatino Linotype" w:cs="Arial"/>
          <w:i/>
          <w:iCs/>
          <w:lang w:eastAsia="es-ES"/>
        </w:rPr>
        <w:t>Código de Trabajo, </w:t>
      </w:r>
      <w:r w:rsidR="00AD3EFA" w:rsidRPr="00D66245">
        <w:rPr>
          <w:rFonts w:ascii="Palatino Linotype" w:eastAsia="Times New Roman" w:hAnsi="Palatino Linotype" w:cs="Arial"/>
          <w:i/>
          <w:lang w:eastAsia="es-ES"/>
        </w:rPr>
        <w:t>la demandada deberá cancelar a la Caja Costarricense de Seguro Social las cuotas obrero-patronales y todas las obligaciones correspondientes a la Seguridad Social, para lo cual, procede comunicar este fallo al departamento de inspección de dicha entidad.</w:t>
      </w:r>
      <w:r w:rsidR="004451F6" w:rsidRPr="00D66245">
        <w:rPr>
          <w:rFonts w:ascii="Palatino Linotype" w:eastAsia="Times New Roman" w:hAnsi="Palatino Linotype" w:cs="Arial"/>
          <w:i/>
          <w:lang w:eastAsia="es-ES"/>
        </w:rPr>
        <w:t>”</w:t>
      </w:r>
    </w:p>
    <w:p w14:paraId="438461B9" w14:textId="77777777" w:rsidR="00444F5D" w:rsidRPr="00D66245" w:rsidRDefault="00444F5D" w:rsidP="00F53211">
      <w:pPr>
        <w:pStyle w:val="NormalWeb"/>
        <w:shd w:val="clear" w:color="auto" w:fill="FFFFFF"/>
        <w:spacing w:before="120" w:beforeAutospacing="0" w:after="200" w:afterAutospacing="0" w:line="300" w:lineRule="atLeast"/>
        <w:jc w:val="both"/>
        <w:rPr>
          <w:rFonts w:ascii="Palatino Linotype" w:hAnsi="Palatino Linotype" w:cs="Arial"/>
          <w:sz w:val="22"/>
          <w:szCs w:val="22"/>
        </w:rPr>
      </w:pPr>
      <w:r w:rsidRPr="00D66245">
        <w:rPr>
          <w:rFonts w:ascii="Palatino Linotype" w:hAnsi="Palatino Linotype" w:cs="Arial"/>
          <w:b/>
          <w:bCs/>
          <w:sz w:val="22"/>
          <w:szCs w:val="22"/>
        </w:rPr>
        <w:t>Res: 2018-001615</w:t>
      </w:r>
    </w:p>
    <w:p w14:paraId="48A5DC7C" w14:textId="77777777" w:rsidR="00444F5D" w:rsidRPr="00D66245" w:rsidRDefault="00444F5D" w:rsidP="00B070CF">
      <w:pPr>
        <w:pStyle w:val="NormalWeb"/>
        <w:shd w:val="clear" w:color="auto" w:fill="FFFFFF"/>
        <w:spacing w:before="120" w:beforeAutospacing="0" w:after="200" w:afterAutospacing="0" w:line="300" w:lineRule="atLeast"/>
        <w:ind w:left="851" w:right="851"/>
        <w:jc w:val="both"/>
        <w:rPr>
          <w:rFonts w:ascii="Palatino Linotype" w:hAnsi="Palatino Linotype" w:cs="Arial"/>
          <w:sz w:val="22"/>
          <w:szCs w:val="22"/>
        </w:rPr>
      </w:pPr>
      <w:r w:rsidRPr="00D66245">
        <w:rPr>
          <w:rFonts w:ascii="Palatino Linotype" w:hAnsi="Palatino Linotype" w:cs="Arial"/>
          <w:b/>
          <w:bCs/>
          <w:sz w:val="22"/>
          <w:szCs w:val="22"/>
        </w:rPr>
        <w:t>SALA SEGUNDA DE LA</w:t>
      </w:r>
      <w:r w:rsidRPr="00D66245">
        <w:rPr>
          <w:rFonts w:ascii="Palatino Linotype" w:hAnsi="Palatino Linotype" w:cs="Arial"/>
          <w:sz w:val="22"/>
          <w:szCs w:val="22"/>
        </w:rPr>
        <w:t> </w:t>
      </w:r>
      <w:r w:rsidRPr="00D66245">
        <w:rPr>
          <w:rFonts w:ascii="Palatino Linotype" w:hAnsi="Palatino Linotype" w:cs="Arial"/>
          <w:b/>
          <w:bCs/>
          <w:sz w:val="22"/>
          <w:szCs w:val="22"/>
        </w:rPr>
        <w:t>CORTE SUPREMA DE JUSTICIA</w:t>
      </w:r>
      <w:r w:rsidRPr="00D66245">
        <w:rPr>
          <w:rFonts w:ascii="Palatino Linotype" w:hAnsi="Palatino Linotype" w:cs="Arial"/>
          <w:sz w:val="22"/>
          <w:szCs w:val="22"/>
        </w:rPr>
        <w:t>. San José, a las nueve horas cinco minutos del veintiocho de setiembre de dos mil dieciocho.</w:t>
      </w:r>
    </w:p>
    <w:p w14:paraId="1E085891" w14:textId="77777777" w:rsidR="00444F5D" w:rsidRPr="00D66245" w:rsidRDefault="004451F6" w:rsidP="00B070CF">
      <w:pPr>
        <w:pStyle w:val="NormalWeb"/>
        <w:shd w:val="clear" w:color="auto" w:fill="FFFFFF"/>
        <w:spacing w:before="120" w:beforeAutospacing="0" w:after="200" w:afterAutospacing="0" w:line="300" w:lineRule="atLeast"/>
        <w:ind w:left="851" w:right="851"/>
        <w:jc w:val="both"/>
        <w:rPr>
          <w:rFonts w:ascii="Palatino Linotype" w:hAnsi="Palatino Linotype" w:cs="Arial"/>
          <w:i/>
          <w:sz w:val="22"/>
          <w:szCs w:val="22"/>
        </w:rPr>
      </w:pPr>
      <w:r w:rsidRPr="00D66245">
        <w:rPr>
          <w:rStyle w:val="example1"/>
          <w:rFonts w:ascii="Palatino Linotype" w:hAnsi="Palatino Linotype" w:cs="Arial"/>
          <w:b/>
          <w:bCs/>
          <w:i/>
          <w:sz w:val="22"/>
          <w:szCs w:val="22"/>
        </w:rPr>
        <w:t>“</w:t>
      </w:r>
      <w:r w:rsidR="00444F5D" w:rsidRPr="00D66245">
        <w:rPr>
          <w:rStyle w:val="example1"/>
          <w:rFonts w:ascii="Palatino Linotype" w:hAnsi="Palatino Linotype" w:cs="Arial"/>
          <w:b/>
          <w:bCs/>
          <w:i/>
          <w:sz w:val="22"/>
          <w:szCs w:val="22"/>
        </w:rPr>
        <w:t>IV.- SOBRE EL FONDO.</w:t>
      </w:r>
      <w:r w:rsidR="00444F5D" w:rsidRPr="00D66245">
        <w:rPr>
          <w:rStyle w:val="example1"/>
          <w:rFonts w:ascii="Palatino Linotype" w:hAnsi="Palatino Linotype" w:cs="Arial"/>
          <w:i/>
          <w:sz w:val="22"/>
          <w:szCs w:val="22"/>
        </w:rPr>
        <w:t> El Código de Trabajo fue reformado mediante la ley número 9343, la cual entró en vigencia el 25 de julio del año 2017. En esta reforma se hicieron tanto modificaciones procesales como de fondo a la normativa laboral. Una de las innovaciones que introdujo esta reforma, fue precisamente la de establecer un proceso especial para fueros de protección, regulado en el capítulo VII sección II, a partir del artículo 540. En dicho numeral, específicamente en el inciso 5, se contempla la protección a las personas cubiertas por el artículo 367 o cualquier otra disposición tutelar respecto al fuero sindical. El Código vigente, en el artículo 542 establece con claridad que la prescripción para acceder a la vía sumarísima en los casos de </w:t>
      </w:r>
      <w:r w:rsidR="00444F5D" w:rsidRPr="00D66245">
        <w:rPr>
          <w:rStyle w:val="example1"/>
          <w:rFonts w:ascii="Palatino Linotype" w:hAnsi="Palatino Linotype" w:cs="Arial"/>
          <w:b/>
          <w:bCs/>
          <w:i/>
          <w:sz w:val="22"/>
          <w:szCs w:val="22"/>
        </w:rPr>
        <w:t>violación al debido proceso es de seis meses</w:t>
      </w:r>
      <w:r w:rsidR="00444F5D" w:rsidRPr="00D66245">
        <w:rPr>
          <w:rStyle w:val="example1"/>
          <w:rFonts w:ascii="Palatino Linotype" w:hAnsi="Palatino Linotype" w:cs="Arial"/>
          <w:i/>
          <w:sz w:val="22"/>
          <w:szCs w:val="22"/>
        </w:rPr>
        <w:t>. Como se indicó en los antecedentes, ese no es el motivo por el que se ha venido tramitando este proceso, pues su fundamento es la supuesta existencia de un despido discriminatorio por motivos sindicales. Así las cosas, con abstracción del tema de la vigencia de las normas en el tiempo, cuyo análisis resulta inconducente, no es posible aplicar la prescripción de seis meses a que se hizo referencia, pues no está prevista para la tutela demandada. Por ello, debe anularse la sentencia recurrida en cuanto declaró la prescripción del derecho de acudir a esta vía sumarísima y devolver el expediente al Juzgado para que continúe con su trámite.</w:t>
      </w:r>
      <w:r w:rsidRPr="00D66245">
        <w:rPr>
          <w:rStyle w:val="example1"/>
          <w:rFonts w:ascii="Palatino Linotype" w:hAnsi="Palatino Linotype" w:cs="Arial"/>
          <w:i/>
          <w:sz w:val="22"/>
          <w:szCs w:val="22"/>
        </w:rPr>
        <w:t>”</w:t>
      </w:r>
    </w:p>
    <w:p w14:paraId="7953AD7E" w14:textId="77777777" w:rsidR="00444F5D" w:rsidRPr="00D66245" w:rsidRDefault="00444F5D"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2018-001417</w:t>
      </w:r>
    </w:p>
    <w:p w14:paraId="1A33A3C0" w14:textId="77777777" w:rsidR="00444F5D" w:rsidRPr="00D66245" w:rsidRDefault="00444F5D" w:rsidP="00B070CF">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diez horas treinta minutos del diecisiete de agosto de dos mil dieciocho.</w:t>
      </w:r>
    </w:p>
    <w:p w14:paraId="4A1DC2A8" w14:textId="77777777" w:rsidR="00444F5D" w:rsidRPr="00D66245" w:rsidRDefault="004451F6"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w:t>
      </w:r>
      <w:r w:rsidR="00444F5D" w:rsidRPr="00D66245">
        <w:rPr>
          <w:rFonts w:ascii="Palatino Linotype" w:eastAsia="Times New Roman" w:hAnsi="Palatino Linotype" w:cs="Arial"/>
          <w:b/>
          <w:bCs/>
          <w:i/>
          <w:lang w:eastAsia="es-ES"/>
        </w:rPr>
        <w:t>IV.- RAZONES DE FONDO: </w:t>
      </w:r>
      <w:r w:rsidR="00444F5D" w:rsidRPr="00D66245">
        <w:rPr>
          <w:rFonts w:ascii="Palatino Linotype" w:eastAsia="Times New Roman" w:hAnsi="Palatino Linotype" w:cs="Arial"/>
          <w:i/>
          <w:lang w:eastAsia="es-ES"/>
        </w:rPr>
        <w:t>el artículo 404 del Código de Trabajo prohíbe toda discriminación en el trabajo por “…</w:t>
      </w:r>
      <w:r w:rsidR="00444F5D" w:rsidRPr="00D66245">
        <w:rPr>
          <w:rFonts w:ascii="Palatino Linotype" w:eastAsia="Times New Roman" w:hAnsi="Palatino Linotype" w:cs="Arial"/>
          <w:i/>
          <w:iCs/>
          <w:lang w:eastAsia="es-ES"/>
        </w:rPr>
        <w:t>razones de edad, etnia, sexo, religión, raza, orientación sexual, estado civil, opinión política, ascendencia nacional, origen social, filiación, discapacidad, afiliación sindical, situación económica o cualquier otra forma análoga de discriminación</w:t>
      </w:r>
      <w:r w:rsidR="00444F5D" w:rsidRPr="00D66245">
        <w:rPr>
          <w:rFonts w:ascii="Palatino Linotype" w:eastAsia="Times New Roman" w:hAnsi="Palatino Linotype" w:cs="Arial"/>
          <w:i/>
          <w:lang w:eastAsia="es-ES"/>
        </w:rPr>
        <w:t>”</w:t>
      </w:r>
      <w:r w:rsidR="00444F5D" w:rsidRPr="00D66245">
        <w:rPr>
          <w:rFonts w:ascii="Palatino Linotype" w:eastAsia="Times New Roman" w:hAnsi="Palatino Linotype" w:cs="Arial"/>
          <w:i/>
          <w:iCs/>
          <w:lang w:eastAsia="es-ES"/>
        </w:rPr>
        <w:t>. </w:t>
      </w:r>
      <w:r w:rsidR="00444F5D" w:rsidRPr="00D66245">
        <w:rPr>
          <w:rFonts w:ascii="Palatino Linotype" w:eastAsia="Times New Roman" w:hAnsi="Palatino Linotype" w:cs="Arial"/>
          <w:i/>
          <w:lang w:eastAsia="es-ES"/>
        </w:rPr>
        <w:t>En el numeral 406 siguiente se prohíben los despidos por cualquier causa discriminatoria. La sanción prevista por el quebranto de tal prohibición es la nulidad del acto del despido, con la consecuente reinstalación de la persona trabajadora en su puesto de trabajo, con el pleno goce de sus derechos y las consecuencias previstas para la sentencia de reinstalación (ordinales 410 y 566 </w:t>
      </w:r>
      <w:r w:rsidR="00444F5D" w:rsidRPr="00D66245">
        <w:rPr>
          <w:rFonts w:ascii="Palatino Linotype" w:eastAsia="Times New Roman" w:hAnsi="Palatino Linotype" w:cs="Arial"/>
          <w:i/>
          <w:iCs/>
          <w:lang w:eastAsia="es-ES"/>
        </w:rPr>
        <w:t>ídem</w:t>
      </w:r>
      <w:r w:rsidR="00444F5D" w:rsidRPr="00D66245">
        <w:rPr>
          <w:rFonts w:ascii="Palatino Linotype" w:eastAsia="Times New Roman" w:hAnsi="Palatino Linotype" w:cs="Arial"/>
          <w:i/>
          <w:lang w:eastAsia="es-ES"/>
        </w:rPr>
        <w:t>). El artículo 409 de dicho Código estipula que “…</w:t>
      </w:r>
      <w:r w:rsidR="00444F5D" w:rsidRPr="00D66245">
        <w:rPr>
          <w:rFonts w:ascii="Palatino Linotype" w:eastAsia="Times New Roman" w:hAnsi="Palatino Linotype" w:cs="Arial"/>
          <w:i/>
          <w:iCs/>
          <w:lang w:eastAsia="es-ES"/>
        </w:rPr>
        <w:t>quien alegue la discriminación deberá señalar específicamente el sustento fáctico en el que funda su alegato y los términos de comparación que substancie su afirmación”</w:t>
      </w:r>
      <w:r w:rsidR="00444F5D" w:rsidRPr="00D66245">
        <w:rPr>
          <w:rFonts w:ascii="Palatino Linotype" w:eastAsia="Times New Roman" w:hAnsi="Palatino Linotype" w:cs="Arial"/>
          <w:i/>
          <w:lang w:eastAsia="es-ES"/>
        </w:rPr>
        <w:t>. En el escrito inicial, el accionante sostuvo que su despido fue discriminatorio, lesivo de su derecho fundamental al libre ejercicio de la libertad sindical. Expuso que el 11 de setiembre de 2017 se afilió al SITRAP, lo cual le fue reportado a la corporación al día siguiente, y, tan solo 5 días después, el 16 de ese mismo mes fue despedido sin ninguna explicación. La cercanía entre la afiliación del trabajador al sindicato y su cese constituye un indicio grave para presumir la existencia de una actuación discriminatoria habida cuenta de que el actor contaba con antigüedad laboral, ya que empezó a trabajar para la demandada a principios de 2016 (hecho segundo de la demanda y primero de la contestación). Ante esa presunción le correspondía a la accionada acreditar la existencia de un hecho objetivo que desplazara y excluyera el ánimo discriminatorio, toda vez que el inciso 10 del numeral 478 </w:t>
      </w:r>
      <w:r w:rsidR="00444F5D" w:rsidRPr="00D66245">
        <w:rPr>
          <w:rFonts w:ascii="Palatino Linotype" w:eastAsia="Times New Roman" w:hAnsi="Palatino Linotype" w:cs="Arial"/>
          <w:i/>
          <w:iCs/>
          <w:lang w:eastAsia="es-ES"/>
        </w:rPr>
        <w:t>ídem</w:t>
      </w:r>
      <w:r w:rsidR="00444F5D" w:rsidRPr="00D66245">
        <w:rPr>
          <w:rFonts w:ascii="Palatino Linotype" w:eastAsia="Times New Roman" w:hAnsi="Palatino Linotype" w:cs="Arial"/>
          <w:i/>
          <w:lang w:eastAsia="es-ES"/>
        </w:rPr>
        <w:t>establece que cuando no exista acuerdo entre las partes, a la empleadora le corresponderá demostrar </w:t>
      </w:r>
      <w:r w:rsidR="00444F5D" w:rsidRPr="00D66245">
        <w:rPr>
          <w:rFonts w:ascii="Palatino Linotype" w:eastAsia="Times New Roman" w:hAnsi="Palatino Linotype" w:cs="Arial"/>
          <w:i/>
          <w:iCs/>
          <w:lang w:eastAsia="es-ES"/>
        </w:rPr>
        <w:t>“La justificación de la objetividad, racionalidad y proporcionalidad de las medidas o las conductas señaladas como discriminatorias en todas las demandas relacionadas con discriminaciones”</w:t>
      </w:r>
      <w:r w:rsidR="00444F5D" w:rsidRPr="00D66245">
        <w:rPr>
          <w:rFonts w:ascii="Palatino Linotype" w:eastAsia="Times New Roman" w:hAnsi="Palatino Linotype" w:cs="Arial"/>
          <w:i/>
          <w:lang w:eastAsia="es-ES"/>
        </w:rPr>
        <w:t>. Al contestar la demanda, la representación de la corporación manifestó que al demandante no le asistía la protección de ningún fuero, pues no era dirigente, que su contrato era a plazo y que el cese de la relación laboral se dio durante el período de prueba. Si bien el ordinal 367 del Código de Trabajo se ocupa del tema de las personas representantes sindicales, lo cierto es que la persona trabajadora sindicalizada también está tutelada en relación con la discriminación que puede sufrir respecto de su afiliación. En relación con la discriminación sindical, específicamente, además de lo dispuesto en el citado artículo 404 del Código de Trabajo, es importante tener presente que la regulación contenida en el numeral 363 </w:t>
      </w:r>
      <w:r w:rsidR="00444F5D" w:rsidRPr="00D66245">
        <w:rPr>
          <w:rFonts w:ascii="Palatino Linotype" w:eastAsia="Times New Roman" w:hAnsi="Palatino Linotype" w:cs="Arial"/>
          <w:i/>
          <w:iCs/>
          <w:lang w:eastAsia="es-ES"/>
        </w:rPr>
        <w:t>ídem</w:t>
      </w:r>
      <w:r w:rsidR="00444F5D" w:rsidRPr="00D66245">
        <w:rPr>
          <w:rFonts w:ascii="Palatino Linotype" w:eastAsia="Times New Roman" w:hAnsi="Palatino Linotype" w:cs="Arial"/>
          <w:i/>
          <w:lang w:eastAsia="es-ES"/>
        </w:rPr>
        <w:t>, en forma clara, señala: “</w:t>
      </w:r>
      <w:r w:rsidR="00444F5D" w:rsidRPr="00D66245">
        <w:rPr>
          <w:rFonts w:ascii="Palatino Linotype" w:eastAsia="Times New Roman" w:hAnsi="Palatino Linotype" w:cs="Arial"/>
          <w:i/>
          <w:iCs/>
          <w:lang w:eastAsia="es-ES"/>
        </w:rPr>
        <w:t>Prohíbense las acciones u omisiones que tiendan a evitar, limitar, constreñir o impedir el libre ejercicio de los derechos colectivos de los trabajadores, sus sindicatos o las coaliciones de trabajadores. / </w:t>
      </w:r>
      <w:r w:rsidR="00444F5D" w:rsidRPr="00D66245">
        <w:rPr>
          <w:rFonts w:ascii="Palatino Linotype" w:eastAsia="Times New Roman" w:hAnsi="Palatino Linotype" w:cs="Arial"/>
          <w:b/>
          <w:bCs/>
          <w:i/>
          <w:iCs/>
          <w:lang w:eastAsia="es-ES"/>
        </w:rPr>
        <w:t>Cualquier acto que de ellas se origine</w:t>
      </w:r>
      <w:r w:rsidR="00444F5D" w:rsidRPr="00D66245">
        <w:rPr>
          <w:rFonts w:ascii="Palatino Linotype" w:eastAsia="Times New Roman" w:hAnsi="Palatino Linotype" w:cs="Arial"/>
          <w:i/>
          <w:lang w:eastAsia="es-ES"/>
        </w:rPr>
        <w:t> </w:t>
      </w:r>
      <w:r w:rsidR="00444F5D" w:rsidRPr="00D66245">
        <w:rPr>
          <w:rFonts w:ascii="Palatino Linotype" w:eastAsia="Times New Roman" w:hAnsi="Palatino Linotype" w:cs="Arial"/>
          <w:b/>
          <w:bCs/>
          <w:i/>
          <w:iCs/>
          <w:lang w:eastAsia="es-ES"/>
        </w:rPr>
        <w:t>es absolutamente nulo e ineficaz </w:t>
      </w:r>
      <w:r w:rsidR="00444F5D" w:rsidRPr="00D66245">
        <w:rPr>
          <w:rFonts w:ascii="Palatino Linotype" w:eastAsia="Times New Roman" w:hAnsi="Palatino Linotype" w:cs="Arial"/>
          <w:i/>
          <w:iCs/>
          <w:lang w:eastAsia="es-ES"/>
        </w:rPr>
        <w:t>y se sancionará, en la forma y en las condiciones señaladas en el Código de Trabajo, sus leyes supletorias o conexas para la infracción de disposiciones prohibitivas” </w:t>
      </w:r>
      <w:r w:rsidR="00444F5D" w:rsidRPr="00D66245">
        <w:rPr>
          <w:rFonts w:ascii="Palatino Linotype" w:eastAsia="Times New Roman" w:hAnsi="Palatino Linotype" w:cs="Arial"/>
          <w:i/>
          <w:lang w:eastAsia="es-ES"/>
        </w:rPr>
        <w:t>(el resaltado es agregado). Además, desde 1993, la Sala Constitucional dejó claramente establecido que la tutela ampara a cualquier persona trabajadora, cuando la medida adoptada por quien emplea resulte discriminatoria y transgresora del ejercicio de un derecho fundamental. Así, en el voto n.° 5000, de las 10:09 horas del 8 de octubre del año citado, indicó: “</w:t>
      </w:r>
      <w:r w:rsidR="00444F5D" w:rsidRPr="00D66245">
        <w:rPr>
          <w:rFonts w:ascii="Palatino Linotype" w:eastAsia="Times New Roman" w:hAnsi="Palatino Linotype" w:cs="Arial"/>
          <w:i/>
          <w:iCs/>
          <w:lang w:eastAsia="es-ES"/>
        </w:rPr>
        <w:t>De acuerdo con todo lo expuesto, es evidente que el despido recaído en los representantes de los trabajadores, sindicales o no, es legalmente improcedente (aunque los patronos paguen las prestaciones sociales), pues viola el fuero especial de representación garantizado por la Constitución Política, los convenios internacionales y las leyes, en perjuicio personal de los representantes y de los trabajadores cuya representación ostentan y a quienes por el hecho mismo del despido también se les viola su derecho fundamental de asociación al verse privados de sus líderes y por ende de la adecuada y legítima defensa de sus intereses personales y gremiales. /Aunque hasta el momento se ha venido considerando la situación de los representantes de los trabajadores, sindicalizados o no, cabe decir que </w:t>
      </w:r>
      <w:r w:rsidR="00444F5D" w:rsidRPr="00D66245">
        <w:rPr>
          <w:rFonts w:ascii="Palatino Linotype" w:eastAsia="Times New Roman" w:hAnsi="Palatino Linotype" w:cs="Arial"/>
          <w:b/>
          <w:bCs/>
          <w:i/>
          <w:iCs/>
          <w:lang w:eastAsia="es-ES"/>
        </w:rPr>
        <w:t>con igual sustento normativo y con igual criterio debe resolverse el despido de los simples trabajadores cuando la causal, expresa o tácita, sea su pertenencia a una asociación o sindicato, porque ello también viola sus derechos fundamentales, vale decir que la vinculación a dichas organizaciones, como simples afiliados, pone en juego valores superiores de convivencia y armonía social y laboral frente a los cuales el resarcimiento económico, representado por el pago de las prestaciones sociales, carece de validez legal, ello porque la voluntad patronal queda constitucional y legalmente inhibida o limitada desde la perspectiva general de los derechos humanos de los trabajadores y desde la perspectiva específica del derecho laboral</w:t>
      </w:r>
      <w:r w:rsidR="00444F5D" w:rsidRPr="00D66245">
        <w:rPr>
          <w:rFonts w:ascii="Palatino Linotype" w:eastAsia="Times New Roman" w:hAnsi="Palatino Linotype" w:cs="Arial"/>
          <w:i/>
          <w:iCs/>
          <w:lang w:eastAsia="es-ES"/>
        </w:rPr>
        <w:t>, que tutela el interés público general” </w:t>
      </w:r>
      <w:r w:rsidR="00444F5D" w:rsidRPr="00D66245">
        <w:rPr>
          <w:rFonts w:ascii="Palatino Linotype" w:eastAsia="Times New Roman" w:hAnsi="Palatino Linotype" w:cs="Arial"/>
          <w:i/>
          <w:lang w:eastAsia="es-ES"/>
        </w:rPr>
        <w:t>(el resaltado es agregado). Por otra parte, la demandada argumentó que el accionante estaba contratado a plazo fijo, por 6 meses, y que el cese vino por una causa objetiva - advenimiento del plazo-. Esta Sala no comparte esa tesis, ya que de las pruebas se extrae, sin lugar a dudas, que la relación entre las partes no tuvo esa naturaleza jurídica. Según el ordinal 26 del Código de Trabajo: “</w:t>
      </w:r>
      <w:r w:rsidR="00444F5D" w:rsidRPr="00D66245">
        <w:rPr>
          <w:rFonts w:ascii="Palatino Linotype" w:eastAsia="Times New Roman" w:hAnsi="Palatino Linotype" w:cs="Arial"/>
          <w:i/>
          <w:iCs/>
          <w:lang w:eastAsia="es-ES"/>
        </w:rPr>
        <w:t>El contrato de trabajo sólo podrá estipularse por tiempo determinado en aquellos casos en que su celebración resulte de la naturaleza del servicio que se va a prestar. Si vencido el plazo subsisten las causas que le dieron origen y la materia del trabajo, se tendrá como contrato por tiempo indefinido, en cuanto beneficie al trabajador, aquél en que es permanente la naturaleza de los trabajos</w:t>
      </w:r>
      <w:r w:rsidR="00444F5D" w:rsidRPr="00D66245">
        <w:rPr>
          <w:rFonts w:ascii="Palatino Linotype" w:eastAsia="Times New Roman" w:hAnsi="Palatino Linotype" w:cs="Arial"/>
          <w:i/>
          <w:lang w:eastAsia="es-ES"/>
        </w:rPr>
        <w:t>”. El artículo 27 siguiente establece: “</w:t>
      </w:r>
      <w:r w:rsidR="00444F5D" w:rsidRPr="00D66245">
        <w:rPr>
          <w:rFonts w:ascii="Palatino Linotype" w:eastAsia="Times New Roman" w:hAnsi="Palatino Linotype" w:cs="Arial"/>
          <w:i/>
          <w:iCs/>
          <w:lang w:eastAsia="es-ES"/>
        </w:rPr>
        <w:t>No puede estipularse el contrato de trabajo por más de un año en perjuicio del trabajador; pero si se tratare de servicios que requieran preparación técnica especial la duración podrá ser, en las mismas condiciones, hasta de cinco años. No obstante, todo contrato por tiempo fijo es susceptible de prórroga, expresa o tácita. Lo será de esta última manera por el hecho de continuar el trabajador prestando sus servicios con conocimiento del patrono</w:t>
      </w:r>
      <w:r w:rsidR="00444F5D" w:rsidRPr="00D66245">
        <w:rPr>
          <w:rFonts w:ascii="Palatino Linotype" w:eastAsia="Times New Roman" w:hAnsi="Palatino Linotype" w:cs="Arial"/>
          <w:i/>
          <w:lang w:eastAsia="es-ES"/>
        </w:rPr>
        <w:t>”. A la luz de esa normativa, resulta claro que los contratos a plazo son viables cuando la naturaleza de la prestación lo permite, únicamente. Esas normas recogen el principio de continuidad que impera en esta materia y de conformidad con el cual debe ser la naturaleza del trabajo y no la voluntad de las partes, la determinante de la extensión en el tiempo del contrato (PLÁ RODRÍGUEZ, A. </w:t>
      </w:r>
      <w:r w:rsidR="00444F5D" w:rsidRPr="00D66245">
        <w:rPr>
          <w:rFonts w:ascii="Palatino Linotype" w:eastAsia="Times New Roman" w:hAnsi="Palatino Linotype" w:cs="Arial"/>
          <w:i/>
          <w:u w:val="single"/>
          <w:lang w:eastAsia="es-ES"/>
        </w:rPr>
        <w:t>Los principios del Derecho del Trabajo</w:t>
      </w:r>
      <w:r w:rsidR="00444F5D" w:rsidRPr="00D66245">
        <w:rPr>
          <w:rFonts w:ascii="Palatino Linotype" w:eastAsia="Times New Roman" w:hAnsi="Palatino Linotype" w:cs="Arial"/>
          <w:i/>
          <w:lang w:eastAsia="es-ES"/>
        </w:rPr>
        <w:t>. Segunda Edición. Ediciones Depalma. Buenos Aires, Argentina. 1978. Página 159). En el caso concreto, la accionada se dedica a la producción y comercialización de piña y el trabajador prestaba sus servicios en el área de estiba de cajas, en empaque y bodega, según lo señalaron los testigos (archivo multimedia incorporado el 6 de noviembre de 2017 a las 11:52:48 horas). Si bien los declarantes Carlos Góngora González y Luis Alejandro Moya Aguilar aseveraron que el actor fue contratado por 6 meses, del material probatorio allegado a los autos se desprende que existen méritos suficientes para afirmar lo contrario. El ponente Rodolfo Ruiz Siles indicó que la producción nunca desaparece, que es permanente, por lo que siempre hay necesidad de personal. Dicha manifestación se confirma con lo sostenido por los señores Góngora González y Moya Aguilar, en el sentido de que la corporación cuenta con personas “fijas”. A mayor abundamiento, las labores que ejecutaba el demandante, las cuales eran variadas - según se señaló líneas atrás-, siempre se llevan a cabo, indistintamente del nivel de producción. Nótese que, incluso los testigos Góngora González, Moya Aguilar, Ruiz Siles y Fallas Espinoza expusieron que después de que el accionante fue cesado se dieron nuevas contrataciones en la finca y el señor Fallas Espinoza precisó que estas fueron para realizar las mismas funciones que llevaba a cabo el actor. Aunado a lo anterior, debe resaltarse que el señor Moya Aguilar dijo que el demandante </w:t>
      </w:r>
      <w:r w:rsidR="00444F5D" w:rsidRPr="00D66245">
        <w:rPr>
          <w:rFonts w:ascii="Palatino Linotype" w:eastAsia="Times New Roman" w:hAnsi="Palatino Linotype" w:cs="Arial"/>
          <w:i/>
          <w:iCs/>
          <w:lang w:eastAsia="es-ES"/>
        </w:rPr>
        <w:t>“es un trabajador regular de la finca”</w:t>
      </w:r>
      <w:r w:rsidR="00444F5D" w:rsidRPr="00D66245">
        <w:rPr>
          <w:rFonts w:ascii="Palatino Linotype" w:eastAsia="Times New Roman" w:hAnsi="Palatino Linotype" w:cs="Arial"/>
          <w:i/>
          <w:lang w:eastAsia="es-ES"/>
        </w:rPr>
        <w:t>. Finalmente, no omite indicarse que estos declarantes hicieron alusión a una alza en la producción que se presentó en virtud del cierre temporal de la finca San Cayetano, pero esa circunstancia no puede ser tomada en consideración ni analizada por esta Sala, en tanto no fue expuesta en la contestación de la demanda y, por ende, no formó parte del marco del debate. El alegato de que el contrato suscrito lo fue a plazo fijo no resulta de recibo, pues no cabe duda de que las labores del accionante formaban parte de la producción normal de la empresa. El tipo de tareas que desempeñaba no cesaban en ninguna época y por ello la demandada contrató personal después de su despido. Consecuentemente, el vínculo existente no se subsume dentro de la figura contractual aludida - contrato a plazo fijo-. Lo anterior, a pesar de que en el hecho primero de la contestación se haya apuntado que el </w:t>
      </w:r>
      <w:r w:rsidR="00444F5D" w:rsidRPr="00D66245">
        <w:rPr>
          <w:rFonts w:ascii="Palatino Linotype" w:eastAsia="Times New Roman" w:hAnsi="Palatino Linotype" w:cs="Arial"/>
          <w:i/>
          <w:iCs/>
          <w:lang w:eastAsia="es-ES"/>
        </w:rPr>
        <w:t>“el primer contrato del actor fue el 25 de febrero de 2016. Después tuvo tres más el 20 de octubre del 2016, el 20 de enero del 2017 y el 16 de marzo del 2017” </w:t>
      </w:r>
      <w:r w:rsidR="00444F5D" w:rsidRPr="00D66245">
        <w:rPr>
          <w:rFonts w:ascii="Palatino Linotype" w:eastAsia="Times New Roman" w:hAnsi="Palatino Linotype" w:cs="Arial"/>
          <w:i/>
          <w:lang w:eastAsia="es-ES"/>
        </w:rPr>
        <w:t>(sic. Imagen 23 de la vista completa del expediente electrónico del Juzgado) y se aportaran algunos de esos contratos, junto con sus respectivas liquidaciones (imágenes 37, 43, 50, 53 y 61), toda vez que ello, en vez de demostrar una relación de trabajo a plazo fijo, evidencia una práctica anómala donde se encubre una relación de naturaleza indefinida, bajo una forma de contratación a término, con evidente perjuicio para la persona trabajadora. Dicha práctica no está amparada por el ordenamiento jurídico ni debe ser avalada por los administradores de justicia, pues desnaturaliza la finalidad del legislador costarricense que puso como regla general la continuidad de los contratos de trabajo, cuando perduran las causas que le dieron origen y la naturaleza de este, y solo por excepción se permiten los contratos a plazo fijo, esto para los supuestos de otros tipos de servicios que no tienen la vocación de ser permanentes. Además, tómese en consideración que en casos como este debe aplicarse el principio de primacía de la realidad, conforme al cual, en materia laboral, las condiciones reales se superponen a las pactadas entre las partes y a las que consten documentalmente; en otras palabras, </w:t>
      </w:r>
      <w:r w:rsidR="00444F5D" w:rsidRPr="00D66245">
        <w:rPr>
          <w:rFonts w:ascii="Palatino Linotype" w:eastAsia="Times New Roman" w:hAnsi="Palatino Linotype" w:cs="Arial"/>
          <w:i/>
          <w:iCs/>
          <w:lang w:eastAsia="es-ES"/>
        </w:rPr>
        <w:t>“en caso de discordia entre lo que ocurre en la práctica y lo que surge de documentos o acuerdos, debe darse preferencia a lo primero, es decir, a lo que sucede en el terreno de los hechos”</w:t>
      </w:r>
      <w:r w:rsidR="00444F5D" w:rsidRPr="00D66245">
        <w:rPr>
          <w:rFonts w:ascii="Palatino Linotype" w:eastAsia="Times New Roman" w:hAnsi="Palatino Linotype" w:cs="Arial"/>
          <w:i/>
          <w:lang w:eastAsia="es-ES"/>
        </w:rPr>
        <w:t> (obra citada). Por último, la accionada invoca como causa objetiva del cese, que el trabajador no superó el período de prueba. En el caso concreto, tal argumento es improcedente y contradictorio con el argumento principal: que el trabajador fue contratado a plazo fijo. Según se expuso en la contestación y lo afirmaron los testigos ofrecidos por la corporación, el cese del vínculo se dio al vencerse el término estipulado en el contrato (6 meses). Dicho planteamiento carece de sustento, por cuanto esta no era la primera vez que el actor prestaba sus servicios a la demandada. Las cinco declaraciones recibidas fueron contestes en mencionar que este había laborado en períodos anteriores. En todo caso, la accionada en el informe rendido con motivo de la acción, aceptó que el último contrato era del 16 de marzo de 2017, por lo que al momento del despido, el 16 de setiembre de ese mismo año, ya se había superado el período de prueba de tres meses. Consecuentemente, de lo expuesto se deduce, sin lugar a dudas, que el despido del demandante no obedeció a ninguna causa objetiva sino que estuvo motivado en la afiliación sindical de este, por lo que resulta a todas luces discriminatorio.</w:t>
      </w:r>
      <w:r w:rsidRPr="00D66245">
        <w:rPr>
          <w:rFonts w:ascii="Palatino Linotype" w:eastAsia="Times New Roman" w:hAnsi="Palatino Linotype" w:cs="Arial"/>
          <w:i/>
          <w:lang w:eastAsia="es-ES"/>
        </w:rPr>
        <w:t>”</w:t>
      </w:r>
    </w:p>
    <w:p w14:paraId="072E7D85" w14:textId="77777777" w:rsidR="00444F5D" w:rsidRPr="00D66245" w:rsidRDefault="00444F5D"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2018-000886</w:t>
      </w:r>
    </w:p>
    <w:p w14:paraId="1D920EB1" w14:textId="77777777" w:rsidR="00444F5D" w:rsidRPr="00D66245" w:rsidRDefault="00444F5D" w:rsidP="00B070CF">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nueve horas cincuenta y cinco minutos del primero de junio de dos mil dieciocho.</w:t>
      </w:r>
    </w:p>
    <w:p w14:paraId="074A58B2" w14:textId="77777777" w:rsidR="00444F5D" w:rsidRPr="00D66245" w:rsidRDefault="004451F6"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w:t>
      </w:r>
      <w:r w:rsidR="00444F5D" w:rsidRPr="00D66245">
        <w:rPr>
          <w:rFonts w:ascii="Palatino Linotype" w:eastAsia="Times New Roman" w:hAnsi="Palatino Linotype" w:cs="Arial"/>
          <w:b/>
          <w:bCs/>
          <w:i/>
          <w:lang w:eastAsia="es-ES"/>
        </w:rPr>
        <w:t>IV.- SOBRE EL CASO EN CONCRETO: </w:t>
      </w:r>
      <w:r w:rsidR="00444F5D" w:rsidRPr="00D66245">
        <w:rPr>
          <w:rFonts w:ascii="Palatino Linotype" w:eastAsia="Times New Roman" w:hAnsi="Palatino Linotype" w:cs="Arial"/>
          <w:i/>
          <w:lang w:eastAsia="es-ES"/>
        </w:rPr>
        <w:t>El canon 404 del </w:t>
      </w:r>
      <w:r w:rsidR="00444F5D" w:rsidRPr="00D66245">
        <w:rPr>
          <w:rFonts w:ascii="Palatino Linotype" w:eastAsia="Times New Roman" w:hAnsi="Palatino Linotype" w:cs="Arial"/>
          <w:i/>
          <w:iCs/>
          <w:lang w:eastAsia="es-ES"/>
        </w:rPr>
        <w:t>Código de Trabajo </w:t>
      </w:r>
      <w:r w:rsidR="00444F5D" w:rsidRPr="00D66245">
        <w:rPr>
          <w:rFonts w:ascii="Palatino Linotype" w:eastAsia="Times New Roman" w:hAnsi="Palatino Linotype" w:cs="Arial"/>
          <w:i/>
          <w:lang w:eastAsia="es-ES"/>
        </w:rPr>
        <w:t>prohíbe toda dis</w:t>
      </w:r>
      <w:r w:rsidR="00350E65" w:rsidRPr="00D66245">
        <w:rPr>
          <w:rFonts w:ascii="Palatino Linotype" w:eastAsia="Times New Roman" w:hAnsi="Palatino Linotype" w:cs="Arial"/>
          <w:i/>
          <w:lang w:eastAsia="es-ES"/>
        </w:rPr>
        <w:t>criminación en el trabajo por “</w:t>
      </w:r>
      <w:r w:rsidR="00444F5D" w:rsidRPr="00D66245">
        <w:rPr>
          <w:rFonts w:ascii="Palatino Linotype" w:eastAsia="Times New Roman" w:hAnsi="Palatino Linotype" w:cs="Arial"/>
          <w:i/>
          <w:iCs/>
          <w:lang w:eastAsia="es-ES"/>
        </w:rPr>
        <w:t>(…) razones de edad, etnia, sexo, religión, raza, orientación sexual, estado civil, opinión política, ascendencia nacional, origen social, filiación, discapacidad, afiliación sindical, situación económica o cualquier otra forma análoga de discriminación</w:t>
      </w:r>
      <w:r w:rsidR="00444F5D" w:rsidRPr="00D66245">
        <w:rPr>
          <w:rFonts w:ascii="Palatino Linotype" w:eastAsia="Times New Roman" w:hAnsi="Palatino Linotype" w:cs="Arial"/>
          <w:i/>
          <w:lang w:eastAsia="es-ES"/>
        </w:rPr>
        <w:t>”</w:t>
      </w:r>
      <w:r w:rsidR="00444F5D" w:rsidRPr="00D66245">
        <w:rPr>
          <w:rFonts w:ascii="Palatino Linotype" w:eastAsia="Times New Roman" w:hAnsi="Palatino Linotype" w:cs="Arial"/>
          <w:i/>
          <w:iCs/>
          <w:lang w:eastAsia="es-ES"/>
        </w:rPr>
        <w:t>. </w:t>
      </w:r>
      <w:r w:rsidR="00444F5D" w:rsidRPr="00D66245">
        <w:rPr>
          <w:rFonts w:ascii="Palatino Linotype" w:eastAsia="Times New Roman" w:hAnsi="Palatino Linotype" w:cs="Arial"/>
          <w:i/>
          <w:lang w:eastAsia="es-ES"/>
        </w:rPr>
        <w:t>En el artículo 406 se prohíben los despidos por cualquier causa discriminatoria. La sanción prevista por el quebranto de tal prohibición es la nulidad del despido y la consecuente reinstalación de la persona trabajadora en su puesto de trabajo, con el pleno goce de sus derechos y las consecuencias previstas para la sentencia de reinstalación (artículos 410 y 566 </w:t>
      </w:r>
      <w:r w:rsidR="00444F5D" w:rsidRPr="00D66245">
        <w:rPr>
          <w:rFonts w:ascii="Palatino Linotype" w:eastAsia="Times New Roman" w:hAnsi="Palatino Linotype" w:cs="Arial"/>
          <w:i/>
          <w:iCs/>
          <w:lang w:eastAsia="es-ES"/>
        </w:rPr>
        <w:t>ídem</w:t>
      </w:r>
      <w:r w:rsidR="00444F5D" w:rsidRPr="00D66245">
        <w:rPr>
          <w:rFonts w:ascii="Palatino Linotype" w:eastAsia="Times New Roman" w:hAnsi="Palatino Linotype" w:cs="Arial"/>
          <w:i/>
          <w:lang w:eastAsia="es-ES"/>
        </w:rPr>
        <w:t>). El numeral 409 de ese mismo Código estipula que “</w:t>
      </w:r>
      <w:r w:rsidR="00444F5D" w:rsidRPr="00D66245">
        <w:rPr>
          <w:rFonts w:ascii="Palatino Linotype" w:eastAsia="Times New Roman" w:hAnsi="Palatino Linotype" w:cs="Arial"/>
          <w:i/>
          <w:iCs/>
          <w:lang w:eastAsia="es-ES"/>
        </w:rPr>
        <w:t>(…) quien alegue la discriminación deberá señalar específicamente el sustento fáctico en el que funda su alegato y los términos de comparación que substancie su afirmación”. </w:t>
      </w:r>
      <w:r w:rsidR="00444F5D" w:rsidRPr="00D66245">
        <w:rPr>
          <w:rFonts w:ascii="Palatino Linotype" w:eastAsia="Times New Roman" w:hAnsi="Palatino Linotype" w:cs="Arial"/>
          <w:i/>
          <w:lang w:eastAsia="es-ES"/>
        </w:rPr>
        <w:t>En la demanda, el accionante alegó haber sido despedido diez días después de que completó y entregó a la demandada la boleta de afiliación al sindicato (SITRAP) (ver boleta de afiliación en imagen 6, solicitud de deducción de planilla en imagen 7, y carta de despido en imagen 9, de documento incorporado al expediente virtual del juzgado el 27/09/2017 09:40:44 ), a pesar de que su contrato era por tiempo indefinido (ver contrato de trabajo en imagen 12 de documento incorporado al expediente virtual del juzgado la 24/10/2017 a las 16:35:41). También alegó no haber tenido ningún problema con compañeros o jefes; dar un buen rendimiento en sus labores, y no contar con ausencias o llegadas tardías. Resaltó que en ese momento la empresa tampoco estaba en reducción de planta. Para la Sala, la cercanía entre la comunicación del despido y la afiliación del trabajador al sindicato, cuando apenas había transcurrido un mes de haber firmado un contrato a plazo indefinido, constituye un indicio grave para presumir la existencia de una actuación patronal discriminatoria. Ante esa presunción, le correspondía a la demandada acreditar el hecho objetivo que desplazara y excluyera el ánimo discriminatorio. Lo anterior, a tenor de lo dispuesto por el inciso 10), del artículo 478 </w:t>
      </w:r>
      <w:r w:rsidR="00444F5D" w:rsidRPr="00D66245">
        <w:rPr>
          <w:rFonts w:ascii="Palatino Linotype" w:eastAsia="Times New Roman" w:hAnsi="Palatino Linotype" w:cs="Arial"/>
          <w:i/>
          <w:iCs/>
          <w:lang w:eastAsia="es-ES"/>
        </w:rPr>
        <w:t>ídem, </w:t>
      </w:r>
      <w:r w:rsidR="00444F5D" w:rsidRPr="00D66245">
        <w:rPr>
          <w:rFonts w:ascii="Palatino Linotype" w:eastAsia="Times New Roman" w:hAnsi="Palatino Linotype" w:cs="Arial"/>
          <w:i/>
          <w:lang w:eastAsia="es-ES"/>
        </w:rPr>
        <w:t>conforme al cual, a la empleadora le corresponderá acreditar </w:t>
      </w:r>
      <w:r w:rsidR="00444F5D" w:rsidRPr="00D66245">
        <w:rPr>
          <w:rFonts w:ascii="Palatino Linotype" w:eastAsia="Times New Roman" w:hAnsi="Palatino Linotype" w:cs="Arial"/>
          <w:i/>
          <w:iCs/>
          <w:lang w:eastAsia="es-ES"/>
        </w:rPr>
        <w:t>“La justificación de la objetividad, racionalidad y proporcionalidad de las medidas o las conductas señaladas como discriminatorias en todas las demandas relacionadas con discriminaciones”</w:t>
      </w:r>
      <w:r w:rsidR="00444F5D" w:rsidRPr="00D66245">
        <w:rPr>
          <w:rFonts w:ascii="Palatino Linotype" w:eastAsia="Times New Roman" w:hAnsi="Palatino Linotype" w:cs="Arial"/>
          <w:i/>
          <w:lang w:eastAsia="es-ES"/>
        </w:rPr>
        <w:t>. Al contestar la demanda, la representación de la sociedad empleadora adujo que al trabajador no le asistía ningún fuero de protección, pues éste está previsto solamente para las personas trabajadoras reguladas en el numeral 367 del </w:t>
      </w:r>
      <w:r w:rsidR="00444F5D" w:rsidRPr="00D66245">
        <w:rPr>
          <w:rFonts w:ascii="Palatino Linotype" w:eastAsia="Times New Roman" w:hAnsi="Palatino Linotype" w:cs="Arial"/>
          <w:i/>
          <w:iCs/>
          <w:lang w:eastAsia="es-ES"/>
        </w:rPr>
        <w:t>Código de Trabajo</w:t>
      </w:r>
      <w:r w:rsidR="00444F5D" w:rsidRPr="00D66245">
        <w:rPr>
          <w:rFonts w:ascii="Palatino Linotype" w:eastAsia="Times New Roman" w:hAnsi="Palatino Linotype" w:cs="Arial"/>
          <w:i/>
          <w:lang w:eastAsia="es-ES"/>
        </w:rPr>
        <w:t>. Esta defensa carece de sustento jurídico, en razón del numeral 363 </w:t>
      </w:r>
      <w:r w:rsidR="00444F5D" w:rsidRPr="00D66245">
        <w:rPr>
          <w:rFonts w:ascii="Palatino Linotype" w:eastAsia="Times New Roman" w:hAnsi="Palatino Linotype" w:cs="Arial"/>
          <w:i/>
          <w:iCs/>
          <w:lang w:eastAsia="es-ES"/>
        </w:rPr>
        <w:t>ídem</w:t>
      </w:r>
      <w:r w:rsidR="00444F5D" w:rsidRPr="00D66245">
        <w:rPr>
          <w:rFonts w:ascii="Palatino Linotype" w:eastAsia="Times New Roman" w:hAnsi="Palatino Linotype" w:cs="Arial"/>
          <w:i/>
          <w:lang w:eastAsia="es-ES"/>
        </w:rPr>
        <w:t>, el cual en forma clara establece una protección general para el ejercicio de los derechos colectivos de las personas trabajadoras, en estos términos: “</w:t>
      </w:r>
      <w:r w:rsidR="00444F5D" w:rsidRPr="00D66245">
        <w:rPr>
          <w:rFonts w:ascii="Palatino Linotype" w:eastAsia="Times New Roman" w:hAnsi="Palatino Linotype" w:cs="Arial"/>
          <w:i/>
          <w:iCs/>
          <w:lang w:eastAsia="es-ES"/>
        </w:rPr>
        <w:t>Prohíbense las acciones u omisiones que tiendan a evitar, limitar, constreñir o impedir el libre ejercicio de los derechos colectivos de los trabajadores, sus sindicatos o las coaliciones de trabajadores./</w:t>
      </w:r>
      <w:r w:rsidR="00444F5D" w:rsidRPr="00D66245">
        <w:rPr>
          <w:rFonts w:ascii="Palatino Linotype" w:eastAsia="Times New Roman" w:hAnsi="Palatino Linotype" w:cs="Arial"/>
          <w:b/>
          <w:bCs/>
          <w:i/>
          <w:iCs/>
          <w:lang w:eastAsia="es-ES"/>
        </w:rPr>
        <w:t>Cualquier acto que de ellas se origine</w:t>
      </w:r>
      <w:r w:rsidR="00444F5D" w:rsidRPr="00D66245">
        <w:rPr>
          <w:rFonts w:ascii="Palatino Linotype" w:eastAsia="Times New Roman" w:hAnsi="Palatino Linotype" w:cs="Arial"/>
          <w:i/>
          <w:iCs/>
          <w:lang w:eastAsia="es-ES"/>
        </w:rPr>
        <w:t> </w:t>
      </w:r>
      <w:r w:rsidR="00444F5D" w:rsidRPr="00D66245">
        <w:rPr>
          <w:rFonts w:ascii="Palatino Linotype" w:eastAsia="Times New Roman" w:hAnsi="Palatino Linotype" w:cs="Arial"/>
          <w:b/>
          <w:bCs/>
          <w:i/>
          <w:iCs/>
          <w:lang w:eastAsia="es-ES"/>
        </w:rPr>
        <w:t>es absolutamente nulo e ineficaz </w:t>
      </w:r>
      <w:r w:rsidR="00444F5D" w:rsidRPr="00D66245">
        <w:rPr>
          <w:rFonts w:ascii="Palatino Linotype" w:eastAsia="Times New Roman" w:hAnsi="Palatino Linotype" w:cs="Arial"/>
          <w:i/>
          <w:iCs/>
          <w:lang w:eastAsia="es-ES"/>
        </w:rPr>
        <w:t>y se sancionará, en la forma y en las condiciones señaladas en el Código de Trabajo, sus leyes supletorias o conexas para la infracción de disposiciones prohibitivas”. </w:t>
      </w:r>
      <w:r w:rsidR="00444F5D" w:rsidRPr="00D66245">
        <w:rPr>
          <w:rFonts w:ascii="Palatino Linotype" w:eastAsia="Times New Roman" w:hAnsi="Palatino Linotype" w:cs="Arial"/>
          <w:i/>
          <w:lang w:eastAsia="es-ES"/>
        </w:rPr>
        <w:t>(El destacado no es del original). Esta tutela no es novedosa. Ya desde 1993, la Sala Constitucional había señalado claramente que el amparo en contra de actos de discriminación sindical cubre a cualquier persona trabajadora, cuando la medida adoptada por quien emplea resulte discriminatoria y transgresora del ejercicio del derecho fundamental de sindicalización; y no solamente a los representantes de los trabajadores. Así, en el voto 5000, de las 10:09 horas del 8 de octubre del año citado, se indicó: “</w:t>
      </w:r>
      <w:r w:rsidR="00444F5D" w:rsidRPr="00D66245">
        <w:rPr>
          <w:rFonts w:ascii="Palatino Linotype" w:eastAsia="Times New Roman" w:hAnsi="Palatino Linotype" w:cs="Arial"/>
          <w:i/>
          <w:iCs/>
          <w:lang w:eastAsia="es-ES"/>
        </w:rPr>
        <w:t>De acuerdo con todo lo expuesto, es evidente que el despido recaído en los representantes de los trabajadores, sindicales o no, es legalmente improcedente (aunque los patronos paguen las prestaciones sociales), pues viola el fuero especial de representación garantizado por la Constitución Política, los convenios internacionales y las leyes, en perjuicio personal de los representantes y de los trabajadores cuya representación ostentan y a quienes por el hecho mismo del despido también se les viola su derecho fundamental de asociación al verse privados de sus líderes y por ende de la adecuada y legítima defensa de sus intereses personales y gremiales. /Aunque hasta el momento se ha venido considerando la situación de los representantes de los trabajadores, sindicalizados o no, cabe decir que</w:t>
      </w:r>
      <w:r w:rsidR="00444F5D" w:rsidRPr="00D66245">
        <w:rPr>
          <w:rFonts w:ascii="Palatino Linotype" w:eastAsia="Times New Roman" w:hAnsi="Palatino Linotype" w:cs="Arial"/>
          <w:b/>
          <w:bCs/>
          <w:i/>
          <w:iCs/>
          <w:lang w:eastAsia="es-ES"/>
        </w:rPr>
        <w:t>con igual sustento normativo y con igual criterio debe resolverse el despido de los simples trabajadores cuando la causal, expresa o tácita, sea su pertenencia a una asociación o sindicato, porque ello también viola sus derechos fundamentales, vale decir que la vinculación a dichas organizaciones, como simples afiliados, pone en juego valores superiores de convivencia y armonía social y laboral frente a los cuales el resarcimiento económico, representado por el pago de las prestaciones sociales, carece de validez legal, ello porque la voluntad patronal queda constitucional y legalmente inhibida o limitada desde la perspectiva general de los derechos humanos de los trabajadores y desde la perspectiva específica del derecho laboral</w:t>
      </w:r>
      <w:r w:rsidR="00444F5D" w:rsidRPr="00D66245">
        <w:rPr>
          <w:rFonts w:ascii="Palatino Linotype" w:eastAsia="Times New Roman" w:hAnsi="Palatino Linotype" w:cs="Arial"/>
          <w:i/>
          <w:iCs/>
          <w:lang w:eastAsia="es-ES"/>
        </w:rPr>
        <w:t>, que tutela el interés público general” </w:t>
      </w:r>
      <w:r w:rsidR="00444F5D" w:rsidRPr="00D66245">
        <w:rPr>
          <w:rFonts w:ascii="Palatino Linotype" w:eastAsia="Times New Roman" w:hAnsi="Palatino Linotype" w:cs="Arial"/>
          <w:i/>
          <w:lang w:eastAsia="es-ES"/>
        </w:rPr>
        <w:t>(El resaltado no es del original). Asimismo, la accionada sostiene la tesis de que el despido del actor se debió a que la fruta proveniente de la finca [...], se dejó de empacar en las instalaciones de San Peter. Dicha situación es expuesta por don [Nombre 006], supervisor de agricultura de la demandada, quien afirmó: “</w:t>
      </w:r>
      <w:r w:rsidR="00444F5D" w:rsidRPr="00D66245">
        <w:rPr>
          <w:rFonts w:ascii="Palatino Linotype" w:eastAsia="Times New Roman" w:hAnsi="Palatino Linotype" w:cs="Arial"/>
          <w:i/>
          <w:iCs/>
          <w:lang w:eastAsia="es-ES"/>
        </w:rPr>
        <w:t>El cese se da inmediatamente la planta procesadora de fruta de [...] nos dejó de enviar fruta</w:t>
      </w:r>
      <w:r w:rsidR="00444F5D" w:rsidRPr="00D66245">
        <w:rPr>
          <w:rFonts w:ascii="Palatino Linotype" w:eastAsia="Times New Roman" w:hAnsi="Palatino Linotype" w:cs="Arial"/>
          <w:i/>
          <w:lang w:eastAsia="es-ES"/>
        </w:rPr>
        <w:t>”. Al respecto el señor [Nombre 003] (Archivo de audio incorporado el 12/12/17, minuto 2:17:14) indicó que la planta de [...] retomó sus funciones el primero de octubre, testimonio en mismo sentido que el rendido por el señor [Nombre 004] quien señaló que la finca San Peter estuvo recibiendo fruta de [...] hasta la primera o segunda semana de octubre. En el sub lite el actor fue despedido el 22 de setiembre, es decir, al menos una semana antes de que la finca [...] dejara de mandar fruta a la planta procesadora San Peter. Por lo tanto, se debe descartar la idea de que el actor fue despedido por una baja en la producción, ya que este fue cesado antes de que la planta en [...] retomara su producción habitual. Sobre este mismo tema, a pasar de que el señor [Nombre 006] afirme que con la apertura de la planta de [...] se dejó de contratar más personal (Archivo de audio incorporado el 09/01/18, minuto 23:00), esto es desmentido por el testigo de la accionada [Nombre 003] quien se desempeña como “Técnico de Laborales” en finca San Peter, el cual al preguntársele si se dieron más contrataciones manifestó: “</w:t>
      </w:r>
      <w:r w:rsidR="00444F5D" w:rsidRPr="00D66245">
        <w:rPr>
          <w:rFonts w:ascii="Palatino Linotype" w:eastAsia="Times New Roman" w:hAnsi="Palatino Linotype" w:cs="Arial"/>
          <w:i/>
          <w:iCs/>
          <w:lang w:eastAsia="es-ES"/>
        </w:rPr>
        <w:t>sí porque la finca tiene que seguir produciendo, y más o menos ocupamos para un período, unas de 45 a 55 personas, eso es lo que se mantiene siempre para hacerle frente la producción de solo finca San Peter</w:t>
      </w:r>
      <w:r w:rsidR="00444F5D" w:rsidRPr="00D66245">
        <w:rPr>
          <w:rFonts w:ascii="Palatino Linotype" w:eastAsia="Times New Roman" w:hAnsi="Palatino Linotype" w:cs="Arial"/>
          <w:i/>
          <w:lang w:eastAsia="es-ES"/>
        </w:rPr>
        <w:t>” ( a rchivo de audio incorporado el 12/12/17, minuto 2:12:20). Dicho testimonio concuerda con el del señor [Nombre 007] quien, al preguntársele si era de su conocimiento que la demandada había contratado más personal con posterioridad al despido del actor , indicó: “</w:t>
      </w:r>
      <w:r w:rsidR="00444F5D" w:rsidRPr="00D66245">
        <w:rPr>
          <w:rFonts w:ascii="Palatino Linotype" w:eastAsia="Times New Roman" w:hAnsi="Palatino Linotype" w:cs="Arial"/>
          <w:i/>
          <w:iCs/>
          <w:lang w:eastAsia="es-ES"/>
        </w:rPr>
        <w:t>Si claro, inclusive el mismo día que nos liquidaron entraron compañeros de nosotros que habían sido liquidados por periodos</w:t>
      </w:r>
      <w:r w:rsidR="00444F5D" w:rsidRPr="00D66245">
        <w:rPr>
          <w:rFonts w:ascii="Palatino Linotype" w:eastAsia="Times New Roman" w:hAnsi="Palatino Linotype" w:cs="Arial"/>
          <w:i/>
          <w:lang w:eastAsia="es-ES"/>
        </w:rPr>
        <w:t> </w:t>
      </w:r>
      <w:r w:rsidR="00444F5D" w:rsidRPr="00D66245">
        <w:rPr>
          <w:rFonts w:ascii="Palatino Linotype" w:eastAsia="Times New Roman" w:hAnsi="Palatino Linotype" w:cs="Arial"/>
          <w:i/>
          <w:iCs/>
          <w:lang w:eastAsia="es-ES"/>
        </w:rPr>
        <w:t>,</w:t>
      </w:r>
      <w:r w:rsidR="00444F5D" w:rsidRPr="00D66245">
        <w:rPr>
          <w:rFonts w:ascii="Palatino Linotype" w:eastAsia="Times New Roman" w:hAnsi="Palatino Linotype" w:cs="Arial"/>
          <w:i/>
          <w:lang w:eastAsia="es-ES"/>
        </w:rPr>
        <w:t> </w:t>
      </w:r>
      <w:r w:rsidR="00444F5D" w:rsidRPr="00D66245">
        <w:rPr>
          <w:rFonts w:ascii="Palatino Linotype" w:eastAsia="Times New Roman" w:hAnsi="Palatino Linotype" w:cs="Arial"/>
          <w:i/>
          <w:iCs/>
          <w:lang w:eastAsia="es-ES"/>
        </w:rPr>
        <w:t>entraron el mismo día ocupando la labor de él y ocupando la labor mía</w:t>
      </w:r>
      <w:r w:rsidR="00444F5D" w:rsidRPr="00D66245">
        <w:rPr>
          <w:rFonts w:ascii="Palatino Linotype" w:eastAsia="Times New Roman" w:hAnsi="Palatino Linotype" w:cs="Arial"/>
          <w:i/>
          <w:lang w:eastAsia="es-ES"/>
        </w:rPr>
        <w:t>” (Archivo de audio incorporado el 12/12/17 1:09:15); situación que resulta lógica si se considera que con posterioridad a esa fecha, la planta en que laboraba el actor continuó recibiendo frutas provenientes de otras fincas. Por lo anterior, se debe tener por acreditado que la empresa sí contrato más personal posterior al cese del actor</w:t>
      </w:r>
      <w:r w:rsidR="00444F5D" w:rsidRPr="00D66245">
        <w:rPr>
          <w:rFonts w:ascii="Palatino Linotype" w:eastAsia="Times New Roman" w:hAnsi="Palatino Linotype" w:cs="Arial"/>
          <w:i/>
          <w:iCs/>
          <w:lang w:eastAsia="es-ES"/>
        </w:rPr>
        <w:t>. </w:t>
      </w:r>
      <w:r w:rsidR="00444F5D" w:rsidRPr="00D66245">
        <w:rPr>
          <w:rFonts w:ascii="Palatino Linotype" w:eastAsia="Times New Roman" w:hAnsi="Palatino Linotype" w:cs="Arial"/>
          <w:i/>
          <w:lang w:eastAsia="es-ES"/>
        </w:rPr>
        <w:t>Si bien la parte demandada demostró una disminución importante en el personal que laboraba para la planta, la valoración de ese hecho debe ser cuidadosa, porque por ese medio, los patronos podrían aprovechar la situación de necesidad de un despido masivo que deba realizar, para incluir, dentro de éste, el despido de personas trabajadoras en razón de su afiliación sindical. Por esa razón, resulta importante en cada caso valorar no sólo la objetividad de la decisión patronal de prescindir del grupo de trabajadores, sino, particularmente de la persona sindicalizada que alega la discriminación. En el caso en estudio, los testigos (entre ellos un administrador de recursos humanos) afirman que a escasos días del despido se contrataron nuevos trabajadores y, particularmente, el señor [Nombre 007] se refirió a la contratación de nuevo personal para cubrir el puesto que había ocupado el actor. Como se apuntó, el hecho de que la destitución se haya hecho poco s días después del comunicado de la afiliación del actor al sindicato, sumado al hecho de que la demandada no acreditó las razones objetivas por las cuales decidió prescindir de los servicios del actor y no de otras personas, conducen inexorablemente a confirmar que la valoración de las pruebas y la conclusión a la que arribó el A Quo es incorrecta, pues resulta imposible admitir que el despido haya obedecido a la generación de un sobrante de trabajadores cuando es claro que casi de manera inmediata la demandada contrató nuevas personas para atender las funciones realizadas por el actor. En todo caso, ante la duda debe favorecer se al trabajador, conforme la regla del </w:t>
      </w:r>
      <w:r w:rsidR="00444F5D" w:rsidRPr="00D66245">
        <w:rPr>
          <w:rFonts w:ascii="Palatino Linotype" w:eastAsia="Times New Roman" w:hAnsi="Palatino Linotype" w:cs="Arial"/>
          <w:i/>
          <w:iCs/>
          <w:lang w:eastAsia="es-ES"/>
        </w:rPr>
        <w:t>in dubio pro operario </w:t>
      </w:r>
      <w:r w:rsidR="00444F5D" w:rsidRPr="00D66245">
        <w:rPr>
          <w:rFonts w:ascii="Palatino Linotype" w:eastAsia="Times New Roman" w:hAnsi="Palatino Linotype" w:cs="Arial"/>
          <w:i/>
          <w:lang w:eastAsia="es-ES"/>
        </w:rPr>
        <w:t>(artículo 422, </w:t>
      </w:r>
      <w:r w:rsidR="00444F5D" w:rsidRPr="00D66245">
        <w:rPr>
          <w:rFonts w:ascii="Palatino Linotype" w:eastAsia="Times New Roman" w:hAnsi="Palatino Linotype" w:cs="Arial"/>
          <w:i/>
          <w:iCs/>
          <w:lang w:eastAsia="es-ES"/>
        </w:rPr>
        <w:t>Código de Trabajo</w:t>
      </w:r>
      <w:r w:rsidR="00444F5D" w:rsidRPr="00D66245">
        <w:rPr>
          <w:rFonts w:ascii="Palatino Linotype" w:eastAsia="Times New Roman" w:hAnsi="Palatino Linotype" w:cs="Arial"/>
          <w:i/>
          <w:lang w:eastAsia="es-ES"/>
        </w:rPr>
        <w:t>)</w:t>
      </w:r>
      <w:r w:rsidR="00444F5D" w:rsidRPr="00D66245">
        <w:rPr>
          <w:rFonts w:ascii="Palatino Linotype" w:eastAsia="Times New Roman" w:hAnsi="Palatino Linotype" w:cs="Arial"/>
          <w:i/>
          <w:iCs/>
          <w:lang w:eastAsia="es-ES"/>
        </w:rPr>
        <w:t>, </w:t>
      </w:r>
      <w:r w:rsidR="00444F5D" w:rsidRPr="00D66245">
        <w:rPr>
          <w:rFonts w:ascii="Palatino Linotype" w:eastAsia="Times New Roman" w:hAnsi="Palatino Linotype" w:cs="Arial"/>
          <w:i/>
          <w:lang w:eastAsia="es-ES"/>
        </w:rPr>
        <w:t>aplicable en materia de valoración de prueba.</w:t>
      </w:r>
    </w:p>
    <w:p w14:paraId="4A396793" w14:textId="77777777" w:rsidR="00444F5D" w:rsidRPr="00D66245" w:rsidRDefault="00444F5D"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VI.- DECISIÓN DEL CASO: </w:t>
      </w:r>
      <w:r w:rsidRPr="00D66245">
        <w:rPr>
          <w:rFonts w:ascii="Palatino Linotype" w:eastAsia="Times New Roman" w:hAnsi="Palatino Linotype" w:cs="Arial"/>
          <w:i/>
          <w:lang w:eastAsia="es-ES"/>
        </w:rPr>
        <w:t>El demandante pretende que se declare la nulidad del despido, lo que resulta procedente con sustento en lo regulado en los artículos 363 y 410 del </w:t>
      </w:r>
      <w:r w:rsidRPr="00D66245">
        <w:rPr>
          <w:rFonts w:ascii="Palatino Linotype" w:eastAsia="Times New Roman" w:hAnsi="Palatino Linotype" w:cs="Arial"/>
          <w:i/>
          <w:iCs/>
          <w:lang w:eastAsia="es-ES"/>
        </w:rPr>
        <w:t>Código de Trabajo. </w:t>
      </w:r>
      <w:r w:rsidRPr="00D66245">
        <w:rPr>
          <w:rFonts w:ascii="Palatino Linotype" w:eastAsia="Times New Roman" w:hAnsi="Palatino Linotype" w:cs="Arial"/>
          <w:i/>
          <w:lang w:eastAsia="es-ES"/>
        </w:rPr>
        <w:t>Consecuentemente, debe ordenarse la reinstalación en su puesto de trabajo, con el pleno goce de sus derechos, debiéndose tener la relación como inalterada para todos los efectos. El demandante reclama el pago de los salarios que dejó de percibir. Ha quedado demostrado que el despido le fue comunicado el día 22 de setiembre de 2017. El Juzgado ordenó su reinstalación provisional como medida precautoria, la cual se hizo efectiva el día 4 de octubre del mismo año. Por consiguiente, la demandada adeuda al trabajador los salarios que no percibió entre el 22 de setiembre y el 4 de octubre, para un total de 11 días de salario, resultando evidente que el importe de esos no superaría el máximo a reconocer por tal concepto, de 24 veces el salario que tenga el puesto de la persona trabajadora a la firmeza del fallo. Los salarios que se reconocen como caídos son aquellos que debió haber percibido durante todo el período en que estuvo cesante, sin embargo el monto a reconocer no podría superar el máximo regulado en el canon 566 del </w:t>
      </w:r>
      <w:r w:rsidRPr="00D66245">
        <w:rPr>
          <w:rFonts w:ascii="Palatino Linotype" w:eastAsia="Times New Roman" w:hAnsi="Palatino Linotype" w:cs="Arial"/>
          <w:i/>
          <w:iCs/>
          <w:lang w:eastAsia="es-ES"/>
        </w:rPr>
        <w:t>Código de Trabajo, </w:t>
      </w:r>
      <w:r w:rsidRPr="00D66245">
        <w:rPr>
          <w:rFonts w:ascii="Palatino Linotype" w:eastAsia="Times New Roman" w:hAnsi="Palatino Linotype" w:cs="Arial"/>
          <w:i/>
          <w:lang w:eastAsia="es-ES"/>
        </w:rPr>
        <w:t>conforme al cual "... </w:t>
      </w:r>
      <w:r w:rsidRPr="00D66245">
        <w:rPr>
          <w:rFonts w:ascii="Palatino Linotype" w:eastAsia="Times New Roman" w:hAnsi="Palatino Linotype" w:cs="Arial"/>
          <w:i/>
          <w:iCs/>
          <w:lang w:eastAsia="es-ES"/>
        </w:rPr>
        <w:t>el pago de estos no podrá ser superior al importe de veinticuatro veces el salario mensual total de la parte trabajadora al momento de la firmeza del fallo</w:t>
      </w:r>
      <w:r w:rsidRPr="00D66245">
        <w:rPr>
          <w:rFonts w:ascii="Palatino Linotype" w:eastAsia="Times New Roman" w:hAnsi="Palatino Linotype" w:cs="Arial"/>
          <w:i/>
          <w:lang w:eastAsia="es-ES"/>
        </w:rPr>
        <w:t>,</w:t>
      </w:r>
      <w:r w:rsidRPr="00D66245">
        <w:rPr>
          <w:rFonts w:ascii="Palatino Linotype" w:eastAsia="Times New Roman" w:hAnsi="Palatino Linotype" w:cs="Arial"/>
          <w:i/>
          <w:iCs/>
          <w:lang w:eastAsia="es-ES"/>
        </w:rPr>
        <w:t> salvo disposición especial que establezca otra cosa, sin que en ningún momento pueda ser inferior al mínimo legal</w:t>
      </w:r>
      <w:r w:rsidRPr="00D66245">
        <w:rPr>
          <w:rFonts w:ascii="Palatino Linotype" w:eastAsia="Times New Roman" w:hAnsi="Palatino Linotype" w:cs="Arial"/>
          <w:i/>
          <w:lang w:eastAsia="es-ES"/>
        </w:rPr>
        <w:t>." De la prueba practicada se extrae que la remuneración era variable. La norma especial no prevé la solución para un caso así, por lo que se considera ajustado a los principios de justicia social y equidad (artículos 422 y 428, </w:t>
      </w:r>
      <w:r w:rsidRPr="00D66245">
        <w:rPr>
          <w:rFonts w:ascii="Palatino Linotype" w:eastAsia="Times New Roman" w:hAnsi="Palatino Linotype" w:cs="Arial"/>
          <w:i/>
          <w:iCs/>
          <w:lang w:eastAsia="es-ES"/>
        </w:rPr>
        <w:t>Código de Trabajo</w:t>
      </w:r>
      <w:r w:rsidRPr="00D66245">
        <w:rPr>
          <w:rFonts w:ascii="Palatino Linotype" w:eastAsia="Times New Roman" w:hAnsi="Palatino Linotype" w:cs="Arial"/>
          <w:i/>
          <w:lang w:eastAsia="es-ES"/>
        </w:rPr>
        <w:t>), que se tome en cuenta el promedio salarial de los meses laborados, para realizar el cálculo de lo adeudado. Con la contestación de la demanda, la accionada aporto el documento titulado: “</w:t>
      </w:r>
      <w:r w:rsidRPr="00D66245">
        <w:rPr>
          <w:rFonts w:ascii="Palatino Linotype" w:eastAsia="Times New Roman" w:hAnsi="Palatino Linotype" w:cs="Arial"/>
          <w:i/>
          <w:iCs/>
          <w:lang w:eastAsia="es-ES"/>
        </w:rPr>
        <w:t>Liquidación Final al Terminar el Contrato de Trabajo</w:t>
      </w:r>
      <w:r w:rsidRPr="00D66245">
        <w:rPr>
          <w:rFonts w:ascii="Palatino Linotype" w:eastAsia="Times New Roman" w:hAnsi="Palatino Linotype" w:cs="Arial"/>
          <w:i/>
          <w:lang w:eastAsia="es-ES"/>
        </w:rPr>
        <w:t>” (imagen 24 del archivo incorporado en fecha 24/10/2017 a las 16:35:41), del cual se extrae que el actor devengó un total de ¢1.053.954,25 entre los meses de abril y julio del año 2017. Asimismo se desprende que durante el mismo periodo laboró un total de 68 días, lo cual da un promedio de salario diario de ¢15.499,32, que multiplicado por los 11 días adeudados asciende a un monto de ¢170.489,00. El actor pretende que el importe de lo adeudado se indexe; sin embargo, el numeral 566 del </w:t>
      </w:r>
      <w:r w:rsidRPr="00D66245">
        <w:rPr>
          <w:rFonts w:ascii="Palatino Linotype" w:eastAsia="Times New Roman" w:hAnsi="Palatino Linotype" w:cs="Arial"/>
          <w:i/>
          <w:iCs/>
          <w:lang w:eastAsia="es-ES"/>
        </w:rPr>
        <w:t>Código de Trabajo, </w:t>
      </w:r>
      <w:r w:rsidRPr="00D66245">
        <w:rPr>
          <w:rFonts w:ascii="Palatino Linotype" w:eastAsia="Times New Roman" w:hAnsi="Palatino Linotype" w:cs="Arial"/>
          <w:i/>
          <w:lang w:eastAsia="es-ES"/>
        </w:rPr>
        <w:t>relativo a la sentencia de reinstalación y pago de salarios caídos, expresamente señala que </w:t>
      </w:r>
      <w:r w:rsidRPr="00D66245">
        <w:rPr>
          <w:rFonts w:ascii="Palatino Linotype" w:eastAsia="Times New Roman" w:hAnsi="Palatino Linotype" w:cs="Arial"/>
          <w:i/>
          <w:iCs/>
          <w:lang w:eastAsia="es-ES"/>
        </w:rPr>
        <w:t>“Esta fijación no admite adecuaciones o indexaciones”. </w:t>
      </w:r>
      <w:r w:rsidRPr="00D66245">
        <w:rPr>
          <w:rFonts w:ascii="Palatino Linotype" w:eastAsia="Times New Roman" w:hAnsi="Palatino Linotype" w:cs="Arial"/>
          <w:i/>
          <w:lang w:eastAsia="es-ES"/>
        </w:rPr>
        <w:t>Por consiguiente, respecto de la petitoria de indexación debe acogerse la excepción de falta de derecho. La parte actora reclamó el pago de los intereses legales a los cuales sí tiene derecho, según lo regulado en el canon 565 </w:t>
      </w:r>
      <w:r w:rsidRPr="00D66245">
        <w:rPr>
          <w:rFonts w:ascii="Palatino Linotype" w:eastAsia="Times New Roman" w:hAnsi="Palatino Linotype" w:cs="Arial"/>
          <w:i/>
          <w:iCs/>
          <w:lang w:eastAsia="es-ES"/>
        </w:rPr>
        <w:t>ídem. </w:t>
      </w:r>
      <w:r w:rsidRPr="00D66245">
        <w:rPr>
          <w:rFonts w:ascii="Palatino Linotype" w:eastAsia="Times New Roman" w:hAnsi="Palatino Linotype" w:cs="Arial"/>
          <w:i/>
          <w:lang w:eastAsia="es-ES"/>
        </w:rPr>
        <w:t>De conformidad con esta norma, estos proceden conforme a las regulaciones del </w:t>
      </w:r>
      <w:r w:rsidRPr="00D66245">
        <w:rPr>
          <w:rFonts w:ascii="Palatino Linotype" w:eastAsia="Times New Roman" w:hAnsi="Palatino Linotype" w:cs="Arial"/>
          <w:i/>
          <w:iCs/>
          <w:lang w:eastAsia="es-ES"/>
        </w:rPr>
        <w:t>Código de Comercio</w:t>
      </w:r>
      <w:r w:rsidRPr="00D66245">
        <w:rPr>
          <w:rFonts w:ascii="Palatino Linotype" w:eastAsia="Times New Roman" w:hAnsi="Palatino Linotype" w:cs="Arial"/>
          <w:i/>
          <w:lang w:eastAsia="es-ES"/>
        </w:rPr>
        <w:t> y deben concederse a partir de la exigibilidad de lo adeudado. El segundo párrafo del numeral 497 de ese </w:t>
      </w:r>
      <w:r w:rsidRPr="00D66245">
        <w:rPr>
          <w:rFonts w:ascii="Palatino Linotype" w:eastAsia="Times New Roman" w:hAnsi="Palatino Linotype" w:cs="Arial"/>
          <w:i/>
          <w:iCs/>
          <w:lang w:eastAsia="es-ES"/>
        </w:rPr>
        <w:t>Código</w:t>
      </w:r>
      <w:r w:rsidRPr="00D66245">
        <w:rPr>
          <w:rFonts w:ascii="Palatino Linotype" w:eastAsia="Times New Roman" w:hAnsi="Palatino Linotype" w:cs="Arial"/>
          <w:i/>
          <w:lang w:eastAsia="es-ES"/>
        </w:rPr>
        <w:t>, estipula: “ </w:t>
      </w:r>
      <w:r w:rsidRPr="00D66245">
        <w:rPr>
          <w:rFonts w:ascii="Palatino Linotype" w:eastAsia="Times New Roman" w:hAnsi="Palatino Linotype" w:cs="Arial"/>
          <w:i/>
          <w:iCs/>
          <w:lang w:eastAsia="es-ES"/>
        </w:rPr>
        <w:t>Interés legal es el que se aplica supletoriamente a falta de acuerdo, y es igual a tasa básica pasiva del Banco Central de Costa Rica para operaciones en moneda nacional y a la tasa 'prime rate' para operaciones en dólares americanos</w:t>
      </w:r>
      <w:r w:rsidRPr="00D66245">
        <w:rPr>
          <w:rFonts w:ascii="Palatino Linotype" w:eastAsia="Times New Roman" w:hAnsi="Palatino Linotype" w:cs="Arial"/>
          <w:i/>
          <w:lang w:eastAsia="es-ES"/>
        </w:rPr>
        <w:t>” (sic). En el expediente no consta la periodicidad de pago del salario, razón por la cual se estima que la obligación de la demandada era cancelarlo a más tardar el último día del mes. Así, los intereses sobre el total de lo adeudado (¢170.489,00.) se calcularán del 31 de octubre de 2017 al 30 de mayo de 2018, sin perjuicio de que la parte actora pueda demandar cualquier ajuste, en atención a la fecha del efectivo pago. Aplicada la tasa de interés dicha al monto adeudado durante el período indicado, el resultado es de ¢5.964,76 conforme se desprende de la siguiente tabla:</w:t>
      </w:r>
      <w:r w:rsidR="004451F6" w:rsidRPr="00D66245">
        <w:rPr>
          <w:rFonts w:ascii="Palatino Linotype" w:eastAsia="Times New Roman" w:hAnsi="Palatino Linotype" w:cs="Arial"/>
          <w:i/>
          <w:lang w:eastAsia="es-ES"/>
        </w:rPr>
        <w:t>/ (…)</w:t>
      </w:r>
    </w:p>
    <w:p w14:paraId="1747541D" w14:textId="77777777" w:rsidR="00444F5D" w:rsidRPr="00D66245" w:rsidRDefault="00444F5D" w:rsidP="00B070CF">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i/>
          <w:lang w:eastAsia="es-ES"/>
        </w:rPr>
        <w:t>El actor reclama el pago de daños y perjuicios con sustento en el artículo 545 del </w:t>
      </w:r>
      <w:r w:rsidRPr="00D66245">
        <w:rPr>
          <w:rFonts w:ascii="Palatino Linotype" w:eastAsia="Times New Roman" w:hAnsi="Palatino Linotype" w:cs="Arial"/>
          <w:i/>
          <w:iCs/>
          <w:lang w:eastAsia="es-ES"/>
        </w:rPr>
        <w:t>Código de Trabajo</w:t>
      </w:r>
      <w:r w:rsidRPr="00D66245">
        <w:rPr>
          <w:rFonts w:ascii="Palatino Linotype" w:eastAsia="Times New Roman" w:hAnsi="Palatino Linotype" w:cs="Arial"/>
          <w:i/>
          <w:lang w:eastAsia="es-ES"/>
        </w:rPr>
        <w:t>; no obstante, omitió indicar en qué consistían, el motivo que los origina y su estimación, conforme a la obligación procesal que deriva de los numerales 542, último párrafo y 495, inciso 5), </w:t>
      </w:r>
      <w:r w:rsidRPr="00D66245">
        <w:rPr>
          <w:rFonts w:ascii="Palatino Linotype" w:eastAsia="Times New Roman" w:hAnsi="Palatino Linotype" w:cs="Arial"/>
          <w:i/>
          <w:iCs/>
          <w:lang w:eastAsia="es-ES"/>
        </w:rPr>
        <w:t>in fine </w:t>
      </w:r>
      <w:r w:rsidRPr="00D66245">
        <w:rPr>
          <w:rFonts w:ascii="Palatino Linotype" w:eastAsia="Times New Roman" w:hAnsi="Palatino Linotype" w:cs="Arial"/>
          <w:i/>
          <w:lang w:eastAsia="es-ES"/>
        </w:rPr>
        <w:t>del</w:t>
      </w:r>
      <w:r w:rsidRPr="00D66245">
        <w:rPr>
          <w:rFonts w:ascii="Palatino Linotype" w:eastAsia="Times New Roman" w:hAnsi="Palatino Linotype" w:cs="Arial"/>
          <w:i/>
          <w:iCs/>
          <w:lang w:eastAsia="es-ES"/>
        </w:rPr>
        <w:t> Código de Trabajo, </w:t>
      </w:r>
      <w:r w:rsidRPr="00D66245">
        <w:rPr>
          <w:rFonts w:ascii="Palatino Linotype" w:eastAsia="Times New Roman" w:hAnsi="Palatino Linotype" w:cs="Arial"/>
          <w:i/>
          <w:lang w:eastAsia="es-ES"/>
        </w:rPr>
        <w:t>sin que se adviertan otros distintos al pago de los salarios caídos y los intereses. En consecuencia, respecto de esta pretensión también habrá de acogerse la excepción formulada. En cuanto a las costas, el canon 562 </w:t>
      </w:r>
      <w:r w:rsidRPr="00D66245">
        <w:rPr>
          <w:rFonts w:ascii="Palatino Linotype" w:eastAsia="Times New Roman" w:hAnsi="Palatino Linotype" w:cs="Arial"/>
          <w:i/>
          <w:iCs/>
          <w:lang w:eastAsia="es-ES"/>
        </w:rPr>
        <w:t>ídem, </w:t>
      </w:r>
      <w:r w:rsidRPr="00D66245">
        <w:rPr>
          <w:rFonts w:ascii="Palatino Linotype" w:eastAsia="Times New Roman" w:hAnsi="Palatino Linotype" w:cs="Arial"/>
          <w:i/>
          <w:lang w:eastAsia="es-ES"/>
        </w:rPr>
        <w:t>en lo que resulta de interés, estipula: “</w:t>
      </w:r>
      <w:r w:rsidRPr="00D66245">
        <w:rPr>
          <w:rFonts w:ascii="Palatino Linotype" w:eastAsia="Times New Roman" w:hAnsi="Palatino Linotype" w:cs="Arial"/>
          <w:i/>
          <w:iCs/>
          <w:lang w:eastAsia="es-ES"/>
        </w:rPr>
        <w:t>En toda sentencia,… se condenará al vencido,…, al pago de las costas personales y procesales causadas./Si la sentencia resuelve el asunto por el fondo… las personales no podrán ser menores del quince por ciento (15%) ni mayores del veinticinco por ciento (25%) del importe líquido de la condenatoria o de la absolución, en su caso./ En los demás supuestos, así como </w:t>
      </w:r>
      <w:r w:rsidRPr="00D66245">
        <w:rPr>
          <w:rFonts w:ascii="Palatino Linotype" w:eastAsia="Times New Roman" w:hAnsi="Palatino Linotype" w:cs="Arial"/>
          <w:b/>
          <w:bCs/>
          <w:i/>
          <w:iCs/>
          <w:lang w:eastAsia="es-ES"/>
        </w:rPr>
        <w:t>cuando el proceso no fuera susceptible de estimación pecuniaria, la fijación se hará prudencialmente</w:t>
      </w:r>
      <w:r w:rsidRPr="00D66245">
        <w:rPr>
          <w:rFonts w:ascii="Palatino Linotype" w:eastAsia="Times New Roman" w:hAnsi="Palatino Linotype" w:cs="Arial"/>
          <w:i/>
          <w:iCs/>
          <w:lang w:eastAsia="es-ES"/>
        </w:rPr>
        <w:t>./ </w:t>
      </w:r>
      <w:r w:rsidRPr="00D66245">
        <w:rPr>
          <w:rFonts w:ascii="Palatino Linotype" w:eastAsia="Times New Roman" w:hAnsi="Palatino Linotype" w:cs="Arial"/>
          <w:b/>
          <w:bCs/>
          <w:i/>
          <w:iCs/>
          <w:lang w:eastAsia="es-ES"/>
        </w:rPr>
        <w:t>Para hacer la fijación del porcentaje o del monto prudencial se tomarán en cuenta la labor realizada, la cuantía de la cosa litigada y la posición económica del actor y demandado.</w:t>
      </w:r>
      <w:r w:rsidRPr="00D66245">
        <w:rPr>
          <w:rFonts w:ascii="Palatino Linotype" w:eastAsia="Times New Roman" w:hAnsi="Palatino Linotype" w:cs="Arial"/>
          <w:i/>
          <w:iCs/>
          <w:lang w:eastAsia="es-ES"/>
        </w:rPr>
        <w:t>/ En los asuntos inestimables en que hubiera trascendencia económica se hará la fijación con base en el monto resultante hasta la firmeza de la sentencia y, si a consecuencia del proceso se siguiera generando en el futuro el resultado económico, podrá agregarse al monto fijado, según criterio prudencial, hasta un cincuenta por ciento (50%). </w:t>
      </w:r>
      <w:r w:rsidRPr="00D66245">
        <w:rPr>
          <w:rFonts w:ascii="Palatino Linotype" w:eastAsia="Times New Roman" w:hAnsi="Palatino Linotype" w:cs="Arial"/>
          <w:b/>
          <w:bCs/>
          <w:i/>
          <w:iCs/>
          <w:lang w:eastAsia="es-ES"/>
        </w:rPr>
        <w:t>Si el resultado económico fuera intrascendente se hará la fijación de forma prudencial con fundamento en los criterios mencionados</w:t>
      </w:r>
      <w:r w:rsidRPr="00D66245">
        <w:rPr>
          <w:rFonts w:ascii="Palatino Linotype" w:eastAsia="Times New Roman" w:hAnsi="Palatino Linotype" w:cs="Arial"/>
          <w:i/>
          <w:iCs/>
          <w:lang w:eastAsia="es-ES"/>
        </w:rPr>
        <w:t>.” </w:t>
      </w:r>
      <w:r w:rsidRPr="00D66245">
        <w:rPr>
          <w:rFonts w:ascii="Palatino Linotype" w:eastAsia="Times New Roman" w:hAnsi="Palatino Linotype" w:cs="Arial"/>
          <w:i/>
          <w:lang w:eastAsia="es-ES"/>
        </w:rPr>
        <w:t>(La negrita no consta en el original). El presente asunto conlleva una pretensión inestimable, cual es la reinstalación del actor en su puesto de trabajo, con el pleno goce de sus derechos. Es de trascendencia, en razón de la pretensión de reinstalación, pero realmente, el resultado económico por salarios caídos es mínimo, al haberse ejecutado la medida provisional de reinstalación en muy corto tiempo. Así las cosas, se estima que resulta de aplicación el último supuesto regulado en el numeral transcrito y la fijación de las costas personales debe realizarse de manera prudencial en atención a los parámetros del penúltimo párrafo de la norma. Así, ha de condenarse a la accionada a pagar ambas costas del proceso y las personales fijarlas en la cantidad de doscientos cincuenta mil colones. De conformidad con lo establecido en el artículo 567 del </w:t>
      </w:r>
      <w:r w:rsidRPr="00D66245">
        <w:rPr>
          <w:rFonts w:ascii="Palatino Linotype" w:eastAsia="Times New Roman" w:hAnsi="Palatino Linotype" w:cs="Arial"/>
          <w:i/>
          <w:iCs/>
          <w:lang w:eastAsia="es-ES"/>
        </w:rPr>
        <w:t>Código de Trabajo, </w:t>
      </w:r>
      <w:r w:rsidRPr="00D66245">
        <w:rPr>
          <w:rFonts w:ascii="Palatino Linotype" w:eastAsia="Times New Roman" w:hAnsi="Palatino Linotype" w:cs="Arial"/>
          <w:i/>
          <w:lang w:eastAsia="es-ES"/>
        </w:rPr>
        <w:t>la demandada deberá realizar las deducciones legales respectivas, incluyendo las cuotas obrero-patronales y todas las obligaciones correspondientes a la Seguridad Social.</w:t>
      </w:r>
      <w:r w:rsidR="004451F6" w:rsidRPr="00D66245">
        <w:rPr>
          <w:rFonts w:ascii="Palatino Linotype" w:eastAsia="Times New Roman" w:hAnsi="Palatino Linotype" w:cs="Arial"/>
          <w:i/>
          <w:lang w:eastAsia="es-ES"/>
        </w:rPr>
        <w:t>”</w:t>
      </w:r>
    </w:p>
    <w:p w14:paraId="133C9E14" w14:textId="77777777" w:rsidR="00444F5D" w:rsidRPr="00D66245" w:rsidRDefault="00444F5D"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2018-001805</w:t>
      </w:r>
    </w:p>
    <w:p w14:paraId="17890E1B" w14:textId="77777777" w:rsidR="00444F5D" w:rsidRPr="00D66245" w:rsidRDefault="00444F5D" w:rsidP="00B070CF">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once horas veinte minutos del dos de noviembre de dos mil dieciocho.</w:t>
      </w:r>
    </w:p>
    <w:p w14:paraId="7FEED50E" w14:textId="77777777" w:rsidR="00444F5D" w:rsidRPr="00D66245" w:rsidRDefault="004451F6"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w:t>
      </w:r>
      <w:r w:rsidR="00444F5D" w:rsidRPr="00D66245">
        <w:rPr>
          <w:rFonts w:ascii="Palatino Linotype" w:eastAsia="Times New Roman" w:hAnsi="Palatino Linotype" w:cs="Arial"/>
          <w:b/>
          <w:bCs/>
          <w:i/>
          <w:lang w:eastAsia="es-ES"/>
        </w:rPr>
        <w:t>IV.- SOBRE EL FONDO DEL ASUNTO.- </w:t>
      </w:r>
      <w:r w:rsidR="00444F5D" w:rsidRPr="00D66245">
        <w:rPr>
          <w:rFonts w:ascii="Palatino Linotype" w:eastAsia="Times New Roman" w:hAnsi="Palatino Linotype" w:cs="Arial"/>
          <w:i/>
          <w:lang w:eastAsia="es-ES"/>
        </w:rPr>
        <w:t>La parte actora se manifiesta inconforme con lo resuelto en la sentencia de primera instancia. Al plantearse este proceso sumario,</w:t>
      </w:r>
      <w:r w:rsidR="008362CC" w:rsidRPr="00D66245">
        <w:rPr>
          <w:rFonts w:ascii="Palatino Linotype" w:eastAsia="Times New Roman" w:hAnsi="Palatino Linotype" w:cs="Arial"/>
          <w:i/>
          <w:lang w:eastAsia="es-ES"/>
        </w:rPr>
        <w:t xml:space="preserve"> </w:t>
      </w:r>
      <w:r w:rsidR="00444F5D" w:rsidRPr="00D66245">
        <w:rPr>
          <w:rFonts w:ascii="Palatino Linotype" w:eastAsia="Times New Roman" w:hAnsi="Palatino Linotype" w:cs="Arial"/>
          <w:i/>
          <w:lang w:eastAsia="es-ES"/>
        </w:rPr>
        <w:t>alegó que su despido fue discriminatorio por afiliación sindical. En contraposición, la demandada alegó que el accionante no superó el período de prueba, por haber recibido varias amonestaciones. Dentro del título </w:t>
      </w:r>
      <w:r w:rsidR="00444F5D" w:rsidRPr="00D66245">
        <w:rPr>
          <w:rFonts w:ascii="Palatino Linotype" w:eastAsia="Times New Roman" w:hAnsi="Palatino Linotype" w:cs="Arial"/>
          <w:i/>
          <w:iCs/>
          <w:lang w:eastAsia="es-ES"/>
        </w:rPr>
        <w:t>“Protección en fueros especiales y tutela del debido proceso”</w:t>
      </w:r>
      <w:r w:rsidR="00444F5D" w:rsidRPr="00D66245">
        <w:rPr>
          <w:rFonts w:ascii="Palatino Linotype" w:eastAsia="Times New Roman" w:hAnsi="Palatino Linotype" w:cs="Arial"/>
          <w:i/>
          <w:lang w:eastAsia="es-ES"/>
        </w:rPr>
        <w:t>, el artículo 540 del Código de Trabajo señala, en su último párrafo, lo siguiente: </w:t>
      </w:r>
      <w:r w:rsidR="00444F5D" w:rsidRPr="00D66245">
        <w:rPr>
          <w:rFonts w:ascii="Palatino Linotype" w:eastAsia="Times New Roman" w:hAnsi="Palatino Linotype" w:cs="Arial"/>
          <w:i/>
          <w:iCs/>
          <w:lang w:eastAsia="es-ES"/>
        </w:rPr>
        <w:t>“También, podrán impugnarse en la vía sumarísima prevista en esta sección, </w:t>
      </w:r>
      <w:r w:rsidR="00444F5D" w:rsidRPr="00D66245">
        <w:rPr>
          <w:rFonts w:ascii="Palatino Linotype" w:eastAsia="Times New Roman" w:hAnsi="Palatino Linotype" w:cs="Arial"/>
          <w:b/>
          <w:bCs/>
          <w:i/>
          <w:iCs/>
          <w:lang w:eastAsia="es-ES"/>
        </w:rPr>
        <w:t>los casos de discriminación por cualquier causa</w:t>
      </w:r>
      <w:r w:rsidR="00444F5D" w:rsidRPr="00D66245">
        <w:rPr>
          <w:rFonts w:ascii="Palatino Linotype" w:eastAsia="Times New Roman" w:hAnsi="Palatino Linotype" w:cs="Arial"/>
          <w:i/>
          <w:iCs/>
          <w:lang w:eastAsia="es-ES"/>
        </w:rPr>
        <w:t>, en contra de trabajadores o trabajadoras, que tengan lugar en el trabajo o con ocasión de él</w:t>
      </w:r>
      <w:r w:rsidR="00444F5D" w:rsidRPr="00D66245">
        <w:rPr>
          <w:rFonts w:ascii="Palatino Linotype" w:eastAsia="Times New Roman" w:hAnsi="Palatino Linotype" w:cs="Arial"/>
          <w:i/>
          <w:lang w:eastAsia="es-ES"/>
        </w:rPr>
        <w:t>” (énfasis agregado). De manera que, en este proceso, se pretende hacer efectiva la prohibición de discriminar plasmada en el Título Octavo de la normativa laboral. En específico el artículo 404 indica: “</w:t>
      </w:r>
      <w:r w:rsidR="00444F5D" w:rsidRPr="00D66245">
        <w:rPr>
          <w:rFonts w:ascii="Palatino Linotype" w:eastAsia="Times New Roman" w:hAnsi="Palatino Linotype" w:cs="Arial"/>
          <w:i/>
          <w:iCs/>
          <w:lang w:eastAsia="es-ES"/>
        </w:rPr>
        <w:t>Se prohíbe toda discriminación en el trabajo por razones de edad, etnia, sexo, religión, raza, orientación sexual, estado civil, opinión política, ascendencia nacional, origen social, filiación, discapacidad, afiliación sindical, situación económica o cualquier otra forma análoga de discriminación</w:t>
      </w:r>
      <w:r w:rsidR="00444F5D" w:rsidRPr="00D66245">
        <w:rPr>
          <w:rFonts w:ascii="Palatino Linotype" w:eastAsia="Times New Roman" w:hAnsi="Palatino Linotype" w:cs="Arial"/>
          <w:i/>
          <w:lang w:eastAsia="es-ES"/>
        </w:rPr>
        <w:t>”. La persona trabajadora que sufra cualquier tipo de discriminación, contemplada en dicho título, está facultada paraaducirla ante los juzgados de trabajo, señalando el sustento fáctico en el que funda su alegato y los términos de comparación que substancie su afirmación (artículo 409). En el caso que nos ocupa, queda claro que el actor alega discriminación, señalando haber sido despedido después de haberse comunicado a la demandada su afiliación sindical, aseguró que se le hicieron diversos llamados de atención, pese a que siempre mostró un buen rendimiento y nunca tuvo problemas con anterioridad. A este respecto también debe resaltarse el voto de la Sala Constitucional N.° 5000 de las 10:09 horas del 8 de octubre de 1993, donde se indicó:</w:t>
      </w:r>
      <w:r w:rsidR="00444F5D" w:rsidRPr="00D66245">
        <w:rPr>
          <w:rFonts w:ascii="Palatino Linotype" w:eastAsia="Times New Roman" w:hAnsi="Palatino Linotype" w:cs="Arial"/>
          <w:i/>
          <w:iCs/>
          <w:lang w:eastAsia="es-ES"/>
        </w:rPr>
        <w:t> “Atendiendo a la letra y al espíritu de todas las disposiciones transcritas resulta evidente que la protección especial dada a los representantes de los trabajadores, a quienes se les concede protección eficaz contra todo acto que pueda perjudicarlos, incluido el despido, constituye lo que en materia se conoce como un fuero especial en beneficio particular, de dichos representantes y como protección de los derechos de los trabajadores mismos, quienes verían menoscabados sus derechos fundamentales si sus líderes no fueran inamovibles mientras ostenten el mandato válidamente concedido y pudieran ser despedidos unilateralmente por decisión patronal, sin que mediara causal legal objetiva que justificara el rompimiento del contrato laboral. Desde esa perspectiva y en vista del interés social comprometido, el pago de las denominadas prestaciones sociales es insuficiente para amparar el despido el cual, cuando proceda debe fundamentarse en una causal comprobada que demuestre mediante el debido proceso, que el representante como tal, ha violado sus obligaciones particulares y generales (…). (…) </w:t>
      </w:r>
      <w:r w:rsidR="00444F5D" w:rsidRPr="00D66245">
        <w:rPr>
          <w:rFonts w:ascii="Palatino Linotype" w:eastAsia="Times New Roman" w:hAnsi="Palatino Linotype" w:cs="Arial"/>
          <w:i/>
          <w:iCs/>
          <w:u w:val="single"/>
          <w:lang w:eastAsia="es-ES"/>
        </w:rPr>
        <w:t>aunque hasta el momento se ha venido considerando la situación de los representantes de los trabajadores, sindicalizados o no, cabe decir que con igual sustento normativo y con igual criterio debe resolverse el despido de los simples trabajadores cuando la causal, expresa o tácita, sea su pertenencia a una asociación o sindicato, porque ello también viola sus derechos fundamentales…</w:t>
      </w:r>
      <w:r w:rsidR="00444F5D" w:rsidRPr="00D66245">
        <w:rPr>
          <w:rFonts w:ascii="Palatino Linotype" w:eastAsia="Times New Roman" w:hAnsi="Palatino Linotype" w:cs="Arial"/>
          <w:i/>
          <w:iCs/>
          <w:lang w:eastAsia="es-ES"/>
        </w:rPr>
        <w:t>”</w:t>
      </w:r>
      <w:r w:rsidR="00444F5D" w:rsidRPr="00D66245">
        <w:rPr>
          <w:rFonts w:ascii="Palatino Linotype" w:eastAsia="Times New Roman" w:hAnsi="Palatino Linotype" w:cs="Arial"/>
          <w:i/>
          <w:lang w:eastAsia="es-ES"/>
        </w:rPr>
        <w:t> (énfasis agregado). Este concepto ampliado de la libertad sindical se enmarca dentro de la protección frente a lo que se ha dado en llamar “</w:t>
      </w:r>
      <w:r w:rsidR="00444F5D" w:rsidRPr="00D66245">
        <w:rPr>
          <w:rFonts w:ascii="Palatino Linotype" w:eastAsia="Times New Roman" w:hAnsi="Palatino Linotype" w:cs="Arial"/>
          <w:i/>
          <w:iCs/>
          <w:lang w:eastAsia="es-ES"/>
        </w:rPr>
        <w:t>prácticas laborales desleales</w:t>
      </w:r>
      <w:r w:rsidR="00444F5D" w:rsidRPr="00D66245">
        <w:rPr>
          <w:rFonts w:ascii="Palatino Linotype" w:eastAsia="Times New Roman" w:hAnsi="Palatino Linotype" w:cs="Arial"/>
          <w:i/>
          <w:lang w:eastAsia="es-ES"/>
        </w:rPr>
        <w:t>”, que ya no son aquellas que se ejercen contra las personas trabajadoras cubiertas por un fuero de protección especial, sino todas aquellas acciones que, contraviniendo el principio de buena fe contenido en el artículo 19 del Código de Trabajo, pretendan impedir que las personas trabajadoras ejerciten sus derechos, entre estos, fundamentalmente, los derechos colectivos derivados de la libertad sindical (ver las resoluciones de esta Sala N.º 285 de las 9:05 horas, del 3 de abril de 2009 y 913 de las 10:40 horas, del 3 de octubre de 2012). En el sublite, si bien la cercanía entre la fecha de afiliación del actor a SITRAP y su despido puede ser considerado como un indicio ligado a prácticas antisindicales, lo cierto del caso, es que en el expediente existen suficientes elementos probatorios que descartan dicha situación. Nótese que en </w:t>
      </w:r>
      <w:r w:rsidR="00444F5D" w:rsidRPr="00D66245">
        <w:rPr>
          <w:rFonts w:ascii="Palatino Linotype" w:eastAsia="Times New Roman" w:hAnsi="Palatino Linotype" w:cs="Arial"/>
          <w:b/>
          <w:bCs/>
          <w:i/>
          <w:lang w:eastAsia="es-ES"/>
        </w:rPr>
        <w:t>fecha 19 de marzo de 2018,</w:t>
      </w:r>
      <w:r w:rsidR="00444F5D" w:rsidRPr="00D66245">
        <w:rPr>
          <w:rFonts w:ascii="Palatino Linotype" w:eastAsia="Times New Roman" w:hAnsi="Palatino Linotype" w:cs="Arial"/>
          <w:i/>
          <w:lang w:eastAsia="es-ES"/>
        </w:rPr>
        <w:t> al actor se le entregaron 2 cartas de amonestación, en la primera consta: “</w:t>
      </w:r>
      <w:r w:rsidR="00444F5D" w:rsidRPr="00D66245">
        <w:rPr>
          <w:rFonts w:ascii="Palatino Linotype" w:eastAsia="Times New Roman" w:hAnsi="Palatino Linotype" w:cs="Arial"/>
          <w:i/>
          <w:iCs/>
          <w:lang w:eastAsia="es-ES"/>
        </w:rPr>
        <w:t>En fecha: </w:t>
      </w:r>
      <w:r w:rsidR="00444F5D" w:rsidRPr="00D66245">
        <w:rPr>
          <w:rFonts w:ascii="Palatino Linotype" w:eastAsia="Times New Roman" w:hAnsi="Palatino Linotype" w:cs="Arial"/>
          <w:b/>
          <w:bCs/>
          <w:i/>
          <w:iCs/>
          <w:lang w:eastAsia="es-ES"/>
        </w:rPr>
        <w:t>02-03-2018</w:t>
      </w:r>
      <w:r w:rsidR="00444F5D" w:rsidRPr="00D66245">
        <w:rPr>
          <w:rFonts w:ascii="Palatino Linotype" w:eastAsia="Times New Roman" w:hAnsi="Palatino Linotype" w:cs="Arial"/>
          <w:i/>
          <w:iCs/>
          <w:lang w:eastAsia="es-ES"/>
        </w:rPr>
        <w:t> usted incurrió en la siguiente falta a sus obligaciones laborales: este día usted fue enviado a realizar labor de Cosecha, en cable 37. Se realizara una entrevista al cortador [Nombre 006] en cual le comunica al jefe inmediato [Nombre 007] que él lleno el equipo al ser aproximadamente las 3:14 p.m. con su persona, se informa en empacadora que usted entro con el tren de frutas a las 4 pm siendo uno de los cables que están ubicados cerca; lo cual puede durar en llegar entre 20 a 30 minutos esto dependiendo en que torre se encuentre, por lo que no justifica el tiempo que tardó en llegar a la planta, que está situación provoca atrasos tanto en proceso como en cosecha. Para la realización de esta labor usted ha sido debidamente instruido y capacitado sobre cuál es la forma y procedimiento adecuado para llevar a cabo su labor. Esta situación es sumamente grave, ya que afecta en malos ratios y provoca atrasos planta empacadora además eleva los ajustes de ese día tanto en campo como en proceso</w:t>
      </w:r>
      <w:r w:rsidR="00444F5D" w:rsidRPr="00D66245">
        <w:rPr>
          <w:rFonts w:ascii="Palatino Linotype" w:eastAsia="Times New Roman" w:hAnsi="Palatino Linotype" w:cs="Arial"/>
          <w:i/>
          <w:lang w:eastAsia="es-ES"/>
        </w:rPr>
        <w:t>” (sic) (imagen 53 del documento incorporado el 04/05/2018 a las 17:09:34). Mientras que en la segunda consignó: “En fecha </w:t>
      </w:r>
      <w:r w:rsidR="00444F5D" w:rsidRPr="00D66245">
        <w:rPr>
          <w:rFonts w:ascii="Palatino Linotype" w:eastAsia="Times New Roman" w:hAnsi="Palatino Linotype" w:cs="Arial"/>
          <w:b/>
          <w:bCs/>
          <w:i/>
          <w:lang w:eastAsia="es-ES"/>
        </w:rPr>
        <w:t>16-03-2018</w:t>
      </w:r>
      <w:r w:rsidR="00444F5D" w:rsidRPr="00D66245">
        <w:rPr>
          <w:rFonts w:ascii="Palatino Linotype" w:eastAsia="Times New Roman" w:hAnsi="Palatino Linotype" w:cs="Arial"/>
          <w:i/>
          <w:lang w:eastAsia="es-ES"/>
        </w:rPr>
        <w:t> </w:t>
      </w:r>
      <w:r w:rsidR="00444F5D" w:rsidRPr="00D66245">
        <w:rPr>
          <w:rFonts w:ascii="Palatino Linotype" w:eastAsia="Times New Roman" w:hAnsi="Palatino Linotype" w:cs="Arial"/>
          <w:i/>
          <w:iCs/>
          <w:lang w:eastAsia="es-ES"/>
        </w:rPr>
        <w:t>usted incurrió en la siguiente falta a sus obligaciones laborales: este día usted fue enviado a realizar labor de Cosecha, en cable 31. Sin embargo, a las 9:30 am horas aproximadamente, se evidenció por parte del supervisor de finca [Nombre 004], que usted estaba cosechando fruta sin utilizar las concheritas como lo establece el alcance de la labor, es decir que usted estaba poniendo las concheritas en el cable y no dentro del área o al ahora de conchar la fruta. Para la realización de esta labor usted ha sido debidamente instruido y capacitado sobre cuál es la forma y procedimiento adecuado para llevar a cabo. Esta situación es sumamente grave, ya que pone en riesgo la calidad de la fruta y su óptimo rendimiento, afecta en malos ratios y altísimos desperdicios en la empacadora al traer fruta que no reúne las condiciones necesarias para ser procesada, todo esto con las consecuentes pérdidas económicas para la empresa” </w:t>
      </w:r>
      <w:r w:rsidR="00444F5D" w:rsidRPr="00D66245">
        <w:rPr>
          <w:rFonts w:ascii="Palatino Linotype" w:eastAsia="Times New Roman" w:hAnsi="Palatino Linotype" w:cs="Arial"/>
          <w:i/>
          <w:lang w:eastAsia="es-ES"/>
        </w:rPr>
        <w:t>(sic) (imagen 54 del documento incorporado el 04/05/2018 a las 17:09:34) </w:t>
      </w:r>
      <w:r w:rsidR="00444F5D" w:rsidRPr="00D66245">
        <w:rPr>
          <w:rFonts w:ascii="Palatino Linotype" w:eastAsia="Times New Roman" w:hAnsi="Palatino Linotype" w:cs="Arial"/>
          <w:i/>
          <w:iCs/>
          <w:lang w:eastAsia="es-ES"/>
        </w:rPr>
        <w:t>. </w:t>
      </w:r>
      <w:r w:rsidR="00444F5D" w:rsidRPr="00D66245">
        <w:rPr>
          <w:rFonts w:ascii="Palatino Linotype" w:eastAsia="Times New Roman" w:hAnsi="Palatino Linotype" w:cs="Arial"/>
          <w:i/>
          <w:u w:val="single"/>
          <w:lang w:eastAsia="es-ES"/>
        </w:rPr>
        <w:t>Dichas amonestaciones fueron entregadas al actor en fechas previas a que la demandada tuviera conocimiento de su afiliación sindical, </w:t>
      </w:r>
      <w:r w:rsidR="00444F5D" w:rsidRPr="00D66245">
        <w:rPr>
          <w:rFonts w:ascii="Palatino Linotype" w:eastAsia="Times New Roman" w:hAnsi="Palatino Linotype" w:cs="Arial"/>
          <w:i/>
          <w:lang w:eastAsia="es-ES"/>
        </w:rPr>
        <w:t>sea el</w:t>
      </w:r>
      <w:r w:rsidR="00444F5D" w:rsidRPr="00D66245">
        <w:rPr>
          <w:rFonts w:ascii="Palatino Linotype" w:eastAsia="Times New Roman" w:hAnsi="Palatino Linotype" w:cs="Arial"/>
          <w:b/>
          <w:bCs/>
          <w:i/>
          <w:lang w:eastAsia="es-ES"/>
        </w:rPr>
        <w:t>22 de marzo de 2018</w:t>
      </w:r>
      <w:r w:rsidR="00444F5D" w:rsidRPr="00D66245">
        <w:rPr>
          <w:rFonts w:ascii="Palatino Linotype" w:eastAsia="Times New Roman" w:hAnsi="Palatino Linotype" w:cs="Arial"/>
          <w:i/>
          <w:lang w:eastAsia="es-ES"/>
        </w:rPr>
        <w:t> (ver hecho 6 de la demanda e imagen 7). Lo anterior descarta que se trate de actos discriminatorios en contra del accionante por su afiliación a SITRAP. Aunado a esto, en fecha 12 de abril de 2018, nuevamente recibe otra llamada de atención, en esta ocasión se indicó: “En fecha </w:t>
      </w:r>
      <w:r w:rsidR="00444F5D" w:rsidRPr="00D66245">
        <w:rPr>
          <w:rFonts w:ascii="Palatino Linotype" w:eastAsia="Times New Roman" w:hAnsi="Palatino Linotype" w:cs="Arial"/>
          <w:b/>
          <w:bCs/>
          <w:i/>
          <w:lang w:eastAsia="es-ES"/>
        </w:rPr>
        <w:t>05-04-2018</w:t>
      </w:r>
      <w:r w:rsidR="00444F5D" w:rsidRPr="00D66245">
        <w:rPr>
          <w:rFonts w:ascii="Palatino Linotype" w:eastAsia="Times New Roman" w:hAnsi="Palatino Linotype" w:cs="Arial"/>
          <w:i/>
          <w:lang w:eastAsia="es-ES"/>
        </w:rPr>
        <w:t> </w:t>
      </w:r>
      <w:r w:rsidR="00444F5D" w:rsidRPr="00D66245">
        <w:rPr>
          <w:rFonts w:ascii="Palatino Linotype" w:eastAsia="Times New Roman" w:hAnsi="Palatino Linotype" w:cs="Arial"/>
          <w:i/>
          <w:iCs/>
          <w:lang w:eastAsia="es-ES"/>
        </w:rPr>
        <w:t>usted incurrió en la siguiente falta a sus obligaciones laborales: este día usted fue enviado a realizar labor de Cosecha (cortador), en cable 45. Sin embargo, al ser aproximadamente las 02:00 p.m. se evidenció que usted estaba cosechando fruta sin almohadilla. Para la realización de esta labor usted ha sido debidamente instruido y capacitado sobre cuál es la forma y el procedimiento adecuado para llevar a cabo la labor. Esta situación es grave, ya que pone en riesgo la calidad de la fruta y su óptimo rendimiento, afecta en malos ratios y altísimos desperdicios en la empacadora al traer fruta que no reúne las condiciones necesarias para ser procesada, ocasionando atraso en el proceso y como consecuencia pérdida económica para la empresa” </w:t>
      </w:r>
      <w:r w:rsidR="00444F5D" w:rsidRPr="00D66245">
        <w:rPr>
          <w:rFonts w:ascii="Palatino Linotype" w:eastAsia="Times New Roman" w:hAnsi="Palatino Linotype" w:cs="Arial"/>
          <w:i/>
          <w:lang w:eastAsia="es-ES"/>
        </w:rPr>
        <w:t>(sic) (imagen 56 del documento incorporado el 04/05/2018 a las 17:09:34). Una vez habiendo descartado que las amonestaciones se originaran como una represalia de la empleadora contra el actor, por haberse afília do al sindicato, y tomando en consideración que además de dichassanciones, el actor acepta no haber justificado la ausencia del 22 de marzo de 2018, (ver hecho de la demanda 6), se concluye que la demandada sí contaba con elementos objetivos para terminar la relación laboral con el señor [Nombre 001] , máxime cuando este se encontraba aún en periodo de prueba. Así las cosas, conforme a lo señalado, se estima que la sociedad accionada cumplió con la carga procesal de acreditar la presencia de circunstancias objetivas que excluyen cualquier espíritu discriminatorio por afiliación sindical.</w:t>
      </w:r>
      <w:r w:rsidRPr="00D66245">
        <w:rPr>
          <w:rFonts w:ascii="Palatino Linotype" w:eastAsia="Times New Roman" w:hAnsi="Palatino Linotype" w:cs="Arial"/>
          <w:i/>
          <w:lang w:eastAsia="es-ES"/>
        </w:rPr>
        <w:t>”</w:t>
      </w:r>
    </w:p>
    <w:p w14:paraId="5F74AA97" w14:textId="77777777" w:rsidR="00744DCA" w:rsidRPr="00D66245" w:rsidRDefault="00744DCA"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2018-001175</w:t>
      </w:r>
    </w:p>
    <w:p w14:paraId="19C15D4A" w14:textId="77777777" w:rsidR="00744DCA" w:rsidRPr="00D66245" w:rsidRDefault="00744DCA" w:rsidP="00B070CF">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nueve horas cincuenta y cinco minutos del seis de julio de dos mil dieciocho.</w:t>
      </w:r>
    </w:p>
    <w:p w14:paraId="2A24B215" w14:textId="4578D38B" w:rsidR="00744DCA" w:rsidRPr="00D66245" w:rsidRDefault="00B954BF"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w:t>
      </w:r>
      <w:r w:rsidR="00744DCA" w:rsidRPr="00D66245">
        <w:rPr>
          <w:rFonts w:ascii="Palatino Linotype" w:eastAsia="Times New Roman" w:hAnsi="Palatino Linotype" w:cs="Arial"/>
          <w:b/>
          <w:bCs/>
          <w:i/>
          <w:lang w:eastAsia="es-ES"/>
        </w:rPr>
        <w:t>IV.-</w:t>
      </w:r>
      <w:r w:rsidR="00744DCA" w:rsidRPr="00D66245">
        <w:rPr>
          <w:rFonts w:ascii="Palatino Linotype" w:eastAsia="Times New Roman" w:hAnsi="Palatino Linotype" w:cs="Arial"/>
          <w:i/>
          <w:lang w:eastAsia="es-ES"/>
        </w:rPr>
        <w:t> </w:t>
      </w:r>
      <w:r w:rsidR="00744DCA" w:rsidRPr="00D66245">
        <w:rPr>
          <w:rFonts w:ascii="Palatino Linotype" w:eastAsia="Times New Roman" w:hAnsi="Palatino Linotype" w:cs="Arial"/>
          <w:b/>
          <w:bCs/>
          <w:i/>
          <w:lang w:eastAsia="es-ES"/>
        </w:rPr>
        <w:t>SOBRE LOS ALEGATOS DE FONDO: </w:t>
      </w:r>
      <w:r w:rsidR="00744DCA" w:rsidRPr="00D66245">
        <w:rPr>
          <w:rFonts w:ascii="Palatino Linotype" w:eastAsia="Times New Roman" w:hAnsi="Palatino Linotype" w:cs="Arial"/>
          <w:i/>
          <w:lang w:eastAsia="es-ES"/>
        </w:rPr>
        <w:t>La empresa demandada se manifiesta inconforme con lo resuelto en sentencia de primera instancia. Al plantearse este proceso sumario, el actor alegó discriminación por haber sido despedido luego de afiliarse a la Asociación Nacional de Empleados Públicos y Privados. Por el contrario, la parte recurrente asegura que en la empresa no existe persecución sindical y que el despido se debió a razones técnicas propias del ciclo de producción del banano toda vez que, la labor para la cual fue contratado, es de carácter temporal. Planteados los argumentos en estos términos, debe quedar claro, en primer lugar, que la protección de este proceso se solicitó, no por violación al fuero sindical, sino por discriminación (véase el encabezado y el fundamento de derecho de la demanda). En el título </w:t>
      </w:r>
      <w:r w:rsidR="00744DCA" w:rsidRPr="00D66245">
        <w:rPr>
          <w:rFonts w:ascii="Palatino Linotype" w:eastAsia="Times New Roman" w:hAnsi="Palatino Linotype" w:cs="Arial"/>
          <w:i/>
          <w:iCs/>
          <w:lang w:eastAsia="es-ES"/>
        </w:rPr>
        <w:t>“Protección en fueros especiales y tutela del debido proceso”</w:t>
      </w:r>
      <w:r w:rsidR="00744DCA" w:rsidRPr="00D66245">
        <w:rPr>
          <w:rFonts w:ascii="Palatino Linotype" w:eastAsia="Times New Roman" w:hAnsi="Palatino Linotype" w:cs="Arial"/>
          <w:i/>
          <w:lang w:eastAsia="es-ES"/>
        </w:rPr>
        <w:t>, el artículo 540 del Código de Trabajo señala, en su último párrafo, lo siguiente: </w:t>
      </w:r>
      <w:r w:rsidR="00744DCA" w:rsidRPr="00D66245">
        <w:rPr>
          <w:rFonts w:ascii="Palatino Linotype" w:eastAsia="Times New Roman" w:hAnsi="Palatino Linotype" w:cs="Arial"/>
          <w:i/>
          <w:iCs/>
          <w:lang w:eastAsia="es-ES"/>
        </w:rPr>
        <w:t>“También, podrán impugnarse en la vía sumarísima prevista en esta sección, los casos de discriminación por cualquier causa, en contra de trabajadores o trabajadoras, que tengan lugar en el trabajo o con ocasión de él</w:t>
      </w:r>
      <w:r w:rsidR="00744DCA" w:rsidRPr="00D66245">
        <w:rPr>
          <w:rFonts w:ascii="Palatino Linotype" w:eastAsia="Times New Roman" w:hAnsi="Palatino Linotype" w:cs="Arial"/>
          <w:i/>
          <w:lang w:eastAsia="es-ES"/>
        </w:rPr>
        <w:t>”. De manera que, en este proceso, se pretende hacer efectiva la prohibición de discriminar plasmada en el Título Octavo de la normativa laboral. En específico el artículo 404 indica: “</w:t>
      </w:r>
      <w:r w:rsidR="00744DCA" w:rsidRPr="00D66245">
        <w:rPr>
          <w:rFonts w:ascii="Palatino Linotype" w:eastAsia="Times New Roman" w:hAnsi="Palatino Linotype" w:cs="Arial"/>
          <w:i/>
          <w:iCs/>
          <w:lang w:eastAsia="es-ES"/>
        </w:rPr>
        <w:t>Se prohíbe toda discriminación en el trabajo por razones de edad, etnia, sexo, religión, raza, orientación sexual, estado civil, opinión política, ascendencia nacional, origen social, filiación, discapacidad, afiliación sindical, situación económica o cualquier otra forma análoga de discriminación</w:t>
      </w:r>
      <w:r w:rsidR="00744DCA" w:rsidRPr="00D66245">
        <w:rPr>
          <w:rFonts w:ascii="Palatino Linotype" w:eastAsia="Times New Roman" w:hAnsi="Palatino Linotype" w:cs="Arial"/>
          <w:i/>
          <w:lang w:eastAsia="es-ES"/>
        </w:rPr>
        <w:t>”. La persona trabajadora que sufra cualquier tipo de discriminación, contemplada en dicho título, está facultada para alegarla ante los juzgados de trabajo, señalando el sustento fáctico en el que funda su alegato y los términos de comparación que substancie su afirmación (artículo 409). En el caso concreto, el promovente alegó haber sido víctima de un despido discriminatorio en razón de su afiliación a una organización sindical. En relación con este tema, la Sala en su voto número 899-17, de las 9:20 horas del 30 de junio de 2017, manifestó: “</w:t>
      </w:r>
      <w:r w:rsidR="00744DCA" w:rsidRPr="00D66245">
        <w:rPr>
          <w:rFonts w:ascii="Palatino Linotype" w:eastAsia="Times New Roman" w:hAnsi="Palatino Linotype" w:cs="Arial"/>
          <w:i/>
          <w:iCs/>
          <w:lang w:eastAsia="es-ES"/>
        </w:rPr>
        <w:t>Por otro lado, en relación con la discriminación alegada por el trabajador, debe señalarse que, contrario a lo expuesto por el recurrente, esta Sala ha sostenido la tesis de que </w:t>
      </w:r>
      <w:r w:rsidR="00744DCA" w:rsidRPr="00D66245">
        <w:rPr>
          <w:rFonts w:ascii="Palatino Linotype" w:eastAsia="Times New Roman" w:hAnsi="Palatino Linotype" w:cs="Arial"/>
          <w:b/>
          <w:bCs/>
          <w:i/>
          <w:iCs/>
          <w:lang w:eastAsia="es-ES"/>
        </w:rPr>
        <w:t>cuando la persona trabajadora alegue un motivo discriminatorio en la causa de despido y, además, presente indicios que permitan presumir que ese ha sido el motivo, corresponderá al empleador desvirtuar este hecho</w:t>
      </w:r>
      <w:r w:rsidR="00744DCA" w:rsidRPr="00D66245">
        <w:rPr>
          <w:rFonts w:ascii="Palatino Linotype" w:eastAsia="Times New Roman" w:hAnsi="Palatino Linotype" w:cs="Arial"/>
          <w:i/>
          <w:iCs/>
          <w:lang w:eastAsia="es-ES"/>
        </w:rPr>
        <w:t>. Al respecto, en la sentencia n.° 1229, de las 11:20 horas del 2 de diciembre de 2009, se resolvió: “[…] En otras ocasiones, en las que representantes sindicales reclaman la nulidad de un despido por violación a la libertad sindical, la Sala ha establecido que razonablemente </w:t>
      </w:r>
      <w:r w:rsidR="00744DCA" w:rsidRPr="00D66245">
        <w:rPr>
          <w:rFonts w:ascii="Palatino Linotype" w:eastAsia="Times New Roman" w:hAnsi="Palatino Linotype" w:cs="Arial"/>
          <w:b/>
          <w:bCs/>
          <w:i/>
          <w:iCs/>
          <w:lang w:eastAsia="es-ES"/>
        </w:rPr>
        <w:t>debe partirse de la presunción de verdad de la afirmación de persecución sindical</w:t>
      </w:r>
      <w:r w:rsidR="00744DCA" w:rsidRPr="00D66245">
        <w:rPr>
          <w:rFonts w:ascii="Palatino Linotype" w:eastAsia="Times New Roman" w:hAnsi="Palatino Linotype" w:cs="Arial"/>
          <w:i/>
          <w:iCs/>
          <w:lang w:eastAsia="es-ES"/>
        </w:rPr>
        <w:t>, contenida en la demanda, en aras, precisamente, de brindar una tutela adecuada al indicado derecho fundamental. Interpretar lo contrario, implicaría dejar al trabajador/a en una situación de verdadera desventaja en el campo probatorio, haciendo nugatorio el derecho, pues es el patrono quien tiene a su disposición los medios suficientes para poder probar su tesis en juicio. </w:t>
      </w:r>
      <w:r w:rsidR="00744DCA" w:rsidRPr="00D66245">
        <w:rPr>
          <w:rFonts w:ascii="Palatino Linotype" w:eastAsia="Times New Roman" w:hAnsi="Palatino Linotype" w:cs="Arial"/>
          <w:b/>
          <w:bCs/>
          <w:i/>
          <w:iCs/>
          <w:lang w:eastAsia="es-ES"/>
        </w:rPr>
        <w:t>Esa conclusión, además, pone en práctica la Recomendación 143 de la Organización Internacional del Trabajo, que en el inciso e) del numeral 6</w:t>
      </w:r>
      <w:r w:rsidR="00744DCA" w:rsidRPr="00D66245">
        <w:rPr>
          <w:rFonts w:ascii="Palatino Linotype" w:eastAsia="Times New Roman" w:hAnsi="Palatino Linotype" w:cs="Arial"/>
          <w:i/>
          <w:lang w:eastAsia="es-ES"/>
        </w:rPr>
        <w:t> </w:t>
      </w:r>
      <w:r w:rsidR="00744DCA" w:rsidRPr="00D66245">
        <w:rPr>
          <w:rFonts w:ascii="Palatino Linotype" w:eastAsia="Times New Roman" w:hAnsi="Palatino Linotype" w:cs="Arial"/>
          <w:i/>
          <w:iCs/>
          <w:lang w:eastAsia="es-ES"/>
        </w:rPr>
        <w:t>literalmente contempla como necesaria para lograr una protección eficaz: ‘e) imponer al empleador, cuando se alegue que el despido de un representante de los trabajadores o cualquier cambio desfavorable en sus condiciones de empleo tiene un carácter discriminatorio, la obligación de probar que dicho acto estaba justificado’. Claro está, que la aludida presunción no es absoluta, sino, relativa, de ahí que admita prueba en contrario. En ese supuesto, </w:t>
      </w:r>
      <w:r w:rsidR="00744DCA" w:rsidRPr="00D66245">
        <w:rPr>
          <w:rFonts w:ascii="Palatino Linotype" w:eastAsia="Times New Roman" w:hAnsi="Palatino Linotype" w:cs="Arial"/>
          <w:b/>
          <w:bCs/>
          <w:i/>
          <w:iCs/>
          <w:lang w:eastAsia="es-ES"/>
        </w:rPr>
        <w:t>la parte patronal tiene la carga procesal de demostrar que el cese de la relación no es discriminatorio</w:t>
      </w:r>
      <w:r w:rsidR="00744DCA" w:rsidRPr="00D66245">
        <w:rPr>
          <w:rFonts w:ascii="Palatino Linotype" w:eastAsia="Times New Roman" w:hAnsi="Palatino Linotype" w:cs="Arial"/>
          <w:i/>
          <w:iCs/>
          <w:lang w:eastAsia="es-ES"/>
        </w:rPr>
        <w:t>. Aunque ya esta Sala ha admitido que </w:t>
      </w:r>
      <w:r w:rsidR="00744DCA" w:rsidRPr="00D66245">
        <w:rPr>
          <w:rFonts w:ascii="Palatino Linotype" w:eastAsia="Times New Roman" w:hAnsi="Palatino Linotype" w:cs="Arial"/>
          <w:b/>
          <w:bCs/>
          <w:i/>
          <w:iCs/>
          <w:lang w:eastAsia="es-ES"/>
        </w:rPr>
        <w:t>la protección de los Derechos Sindicales no solamente ampara a los representantes sindicales sino también a aquellos trabajadores y trabajadoras a quienes expresa o tácitamente se les limitan las libertades sindicales</w:t>
      </w:r>
      <w:r w:rsidR="00744DCA" w:rsidRPr="00D66245">
        <w:rPr>
          <w:rFonts w:ascii="Palatino Linotype" w:eastAsia="Times New Roman" w:hAnsi="Palatino Linotype" w:cs="Arial"/>
          <w:i/>
          <w:iCs/>
          <w:lang w:eastAsia="es-ES"/>
        </w:rPr>
        <w:t>, persiste en estos casos la obligación del trabajador/a sindicalizado/a de demostrar, al menos mediante prueba indiciaria, que la afectación de sus derechos proviene de su pertenencia o de alguna actuación relacionada con el ejercicio de tales derechos. En este caso, el actor debió aportar al menos algún indicio de su postulación a delegado sindical, para revertir en la demandada la obligación de acreditar que el despido tuvo una razón objetiva y no discriminatoria” (en igual sentido, consúltese el voto n.° 822, de las 10:00 horas del 7 de octubre de 2011). </w:t>
      </w:r>
      <w:r w:rsidR="00744DCA" w:rsidRPr="00D66245">
        <w:rPr>
          <w:rFonts w:ascii="Palatino Linotype" w:eastAsia="Times New Roman" w:hAnsi="Palatino Linotype" w:cs="Arial"/>
          <w:b/>
          <w:bCs/>
          <w:i/>
          <w:iCs/>
          <w:lang w:eastAsia="es-ES"/>
        </w:rPr>
        <w:t>La tesis sostenida por esta Sala ha sido la misma que mantienen los órganos de control de la Organización Internacional del Trabajo, específicamente el Comité de Libertad Sindical del Consejo de Administración</w:t>
      </w:r>
      <w:r w:rsidR="00744DCA" w:rsidRPr="00D66245">
        <w:rPr>
          <w:rFonts w:ascii="Palatino Linotype" w:eastAsia="Times New Roman" w:hAnsi="Palatino Linotype" w:cs="Arial"/>
          <w:i/>
          <w:lang w:eastAsia="es-ES"/>
        </w:rPr>
        <w:t> </w:t>
      </w:r>
      <w:r w:rsidR="00744DCA" w:rsidRPr="00D66245">
        <w:rPr>
          <w:rFonts w:ascii="Palatino Linotype" w:eastAsia="Times New Roman" w:hAnsi="Palatino Linotype" w:cs="Arial"/>
          <w:i/>
          <w:iCs/>
          <w:lang w:eastAsia="es-ES"/>
        </w:rPr>
        <w:t>que ha indicado: “Además de los mecanismos de protección preventiva contra actos de discriminación antisindical (como por ejemplo, la obtención de una autorización previa de la inspección del trabajo antes de proceder al despido de un dirigente sindical), otra forma de garantizar una protección eficaz podría consistir en obligar a los empleadores a aportar la prueba de que su decisión de despedir a un trabajador no está vinculada a las actividades sindicales del mismo”(OIT.</w:t>
      </w:r>
      <w:r w:rsidR="00744DCA" w:rsidRPr="00D66245">
        <w:rPr>
          <w:rFonts w:ascii="Palatino Linotype" w:eastAsia="Times New Roman" w:hAnsi="Palatino Linotype" w:cs="Arial"/>
          <w:i/>
          <w:iCs/>
          <w:u w:val="single"/>
          <w:lang w:eastAsia="es-ES"/>
        </w:rPr>
        <w:t>Libertad sindical: Recopilación de decisiones y principios del Comité de Libertad Sindical del Consejo de Administración de la OIT</w:t>
      </w:r>
      <w:r w:rsidR="00744DCA" w:rsidRPr="00D66245">
        <w:rPr>
          <w:rFonts w:ascii="Palatino Linotype" w:eastAsia="Times New Roman" w:hAnsi="Palatino Linotype" w:cs="Arial"/>
          <w:i/>
          <w:lang w:eastAsia="es-ES"/>
        </w:rPr>
        <w:t> </w:t>
      </w:r>
      <w:r w:rsidR="00744DCA" w:rsidRPr="00D66245">
        <w:rPr>
          <w:rFonts w:ascii="Palatino Linotype" w:eastAsia="Times New Roman" w:hAnsi="Palatino Linotype" w:cs="Arial"/>
          <w:i/>
          <w:iCs/>
          <w:lang w:eastAsia="es-ES"/>
        </w:rPr>
        <w:t>. Ginebra, Oficina Internacional del Trabajo. Quinta edición (revisada). 2006. Página 177. Suiza). </w:t>
      </w:r>
      <w:r w:rsidR="00744DCA" w:rsidRPr="00D66245">
        <w:rPr>
          <w:rFonts w:ascii="Palatino Linotype" w:eastAsia="Times New Roman" w:hAnsi="Palatino Linotype" w:cs="Arial"/>
          <w:b/>
          <w:bCs/>
          <w:i/>
          <w:iCs/>
          <w:lang w:eastAsia="es-ES"/>
        </w:rPr>
        <w:t>De modo que cuando existan indicios de la discriminación, la carga de la prueba de la existencia de razones objetivas que justifiquen el despido y que descarten la presencia de un acto discriminatorio por persecución sindical, una vez que ha quedado acreditada la condición de afiliado sindical, recae sobre el empleador</w:t>
      </w:r>
      <w:r w:rsidR="00744DCA" w:rsidRPr="00D66245">
        <w:rPr>
          <w:rFonts w:ascii="Palatino Linotype" w:eastAsia="Times New Roman" w:hAnsi="Palatino Linotype" w:cs="Arial"/>
          <w:i/>
          <w:iCs/>
          <w:lang w:eastAsia="es-ES"/>
        </w:rPr>
        <w:t>.” </w:t>
      </w:r>
      <w:r w:rsidR="00744DCA" w:rsidRPr="00D66245">
        <w:rPr>
          <w:rFonts w:ascii="Palatino Linotype" w:eastAsia="Times New Roman" w:hAnsi="Palatino Linotype" w:cs="Arial"/>
          <w:i/>
          <w:lang w:eastAsia="es-ES"/>
        </w:rPr>
        <w:t>(El resaltado es agregado). Expresamente nuestra legislación laboral establece que corresponde a la parte patronal probar: </w:t>
      </w:r>
      <w:r w:rsidR="00744DCA" w:rsidRPr="00D66245">
        <w:rPr>
          <w:rFonts w:ascii="Palatino Linotype" w:eastAsia="Times New Roman" w:hAnsi="Palatino Linotype" w:cs="Arial"/>
          <w:i/>
          <w:iCs/>
          <w:lang w:eastAsia="es-ES"/>
        </w:rPr>
        <w:t>“La justificación de la objetividad, racionalidad y proporcionalidad de las medidas o las conductas señaladas como discriminatorias en todas las demandas relacionadas con discriminaciones” </w:t>
      </w:r>
      <w:r w:rsidR="00744DCA" w:rsidRPr="00D66245">
        <w:rPr>
          <w:rFonts w:ascii="Palatino Linotype" w:eastAsia="Times New Roman" w:hAnsi="Palatino Linotype" w:cs="Arial"/>
          <w:i/>
          <w:lang w:eastAsia="es-ES"/>
        </w:rPr>
        <w:t>(artículo 478, inciso 10, según ley n.° 9343 del 25 de enero de 2016, “Reforma Procesal Laboral). En el caso concreto ha quedado demostrado que el actor se afilió a la Asociación Nacional de Empleados Públicos y Privados (ANEP) el día 28 de agosto de 2017, decisión que fue comunicada a la empresa accionada el 6 de setiembre siguiente (véase sello de recibido en la misiva dirigida al Departamento de Recursos Humanos). El día 18 de octubre le fue entregada su carta de despido. Al respecto es menester acotar que el artículo 35 del Código de Trabajo fue modificado por la Ley de Reforma Procesal Laboral, n.° 9343, del 14 de diciembre de 2015, publicada en el Alcance 6, a La Gaceta 16, del 25 de enero de 2016, vigente a partir del 25 de julio de 2017. Con la modificación dispuesta, dicha norma pasó a señalar: “</w:t>
      </w:r>
      <w:r w:rsidR="00744DCA" w:rsidRPr="00D66245">
        <w:rPr>
          <w:rFonts w:ascii="Palatino Linotype" w:eastAsia="Times New Roman" w:hAnsi="Palatino Linotype" w:cs="Arial"/>
          <w:i/>
          <w:iCs/>
          <w:lang w:eastAsia="es-ES"/>
        </w:rPr>
        <w:t>A la expiración de todo contrato de trabajo, la parte empleadora, a solicitud del trabajador o trabajadora, deberá darle un certificado que exprese: a) La fecha de su entrada y de su salida. /b) La clase de trabajo ejecutado./ Si el trabajador o trabajadora lo desea, el certificado determinará también:/ c) La manera como trabajó./ d) Las causas del retiro o de la cesación del contrato./ Si la expiración del contrato obedece a destitución por falta atribuida a la persona trabajadora, la entrega de la carta de despido será obligatoria; en ella se deben describir, de forma puntual, detallada y clara, el hecho o los hechos en que se funda el despido. […] Los hechos causales señalados en la carta de despido serán los únicos que se puedan alegar judicialmente, si se presentara contención.”.</w:t>
      </w:r>
      <w:r w:rsidR="00744DCA" w:rsidRPr="00D66245">
        <w:rPr>
          <w:rFonts w:ascii="Palatino Linotype" w:eastAsia="Times New Roman" w:hAnsi="Palatino Linotype" w:cs="Arial"/>
          <w:i/>
          <w:lang w:eastAsia="es-ES"/>
        </w:rPr>
        <w:t> Ahora bien, de la carta de despido entregada al actor se desprenden tres aspectos medulares para la resolución de esta litis. En primer lugar se colige que el cese se dispuso con responsabilidad patronal. En segundo lugar se infiere que se trató de una relación laboral por tiempo indefinido tal y como se consignó claramente en el contrato de trabajo. Finalmente se indica que el puesto desempeñado fue el de jornalero de agricultura sin entrar a detallar las tareas concretas que realizaba. Lo anterior desvirtúa la tesis sostenida por el recurrente consistente en que el actor formaba parte de una cuadrilla de trabajadores ocasionales que habían sido contratados para la actividad específica denominada “debunching” y que ésta solo se da durante ciertos períodos del año. En ese sentido cabe señalar que, si bien en la sentencia de primera instancia no se hizo referencia al instructivo y al documento emitido por CORBANA donde se apunta que esas prácticas son temporales, lo cierto es que del testimonio del señor [Nombre 007] y de la declaración de parte del accionante, se deduce que las funciones de don [Nombre 001] no se limitaban al “debunching”. Por el contrario, en el contrato suscrito se consignó: </w:t>
      </w:r>
      <w:r w:rsidR="00744DCA" w:rsidRPr="00D66245">
        <w:rPr>
          <w:rFonts w:ascii="Palatino Linotype" w:eastAsia="Times New Roman" w:hAnsi="Palatino Linotype" w:cs="Arial"/>
          <w:i/>
          <w:iCs/>
          <w:lang w:eastAsia="es-ES"/>
        </w:rPr>
        <w:t>“El trabajador servirá como jornalero de agricultura, por lo que en este acto se reconoce que es apto y posee las cualidades y capacidades físicas y mentales necesarias para desempeñar el cargo para el cual se ha contratado, aceptando cualquier otra función similar que sea del mismo género de la actividad normal del patrono”</w:t>
      </w:r>
      <w:r w:rsidR="00744DCA" w:rsidRPr="00D66245">
        <w:rPr>
          <w:rFonts w:ascii="Palatino Linotype" w:eastAsia="Times New Roman" w:hAnsi="Palatino Linotype" w:cs="Arial"/>
          <w:i/>
          <w:lang w:eastAsia="es-ES"/>
        </w:rPr>
        <w:t>. En relación con las múltiples contrataciones del actor desde el año 2005, se evidencia que la empresa constantemente requería de sus servicios. Finalmente, llama la atención que el recurrente califica como actuación premeditada y de mala fe la decisión del actor de afiliarse al sindicato </w:t>
      </w:r>
      <w:r w:rsidR="00744DCA" w:rsidRPr="00D66245">
        <w:rPr>
          <w:rFonts w:ascii="Palatino Linotype" w:eastAsia="Times New Roman" w:hAnsi="Palatino Linotype" w:cs="Arial"/>
          <w:i/>
          <w:iCs/>
          <w:lang w:eastAsia="es-ES"/>
        </w:rPr>
        <w:t>“aun a sabiendas de que era un trabajador ocasional”</w:t>
      </w:r>
      <w:r w:rsidR="00744DCA" w:rsidRPr="00D66245">
        <w:rPr>
          <w:rFonts w:ascii="Palatino Linotype" w:eastAsia="Times New Roman" w:hAnsi="Palatino Linotype" w:cs="Arial"/>
          <w:i/>
          <w:lang w:eastAsia="es-ES"/>
        </w:rPr>
        <w:t> . Dicha afirmación no resulta consecuente con las supuestas políticas de no discriminación de la empresa. Por el contrario es un indicio más de que efectivamente el despido del accionante tuvo que ver con su pertenencia a una organización sindical. En esta materia ha de ponderarse que la protección contra la discriminación debe considerar la mayor dificultad probatoria que tiene la parte trabajadora de procurarse la prueba de que el despido obedece a la condición por la cual se reclama la discriminación. Apartarse de esta premisa sería vaciar de contenido la protección especial que la ley ha dispuesto en tutela de derechos fundamentales reconocidos por el ordenamiento jurídico. En el caso que nos ocupa, no existen elementos que permitan tener por justificada la objetividad, racionalidad y proporcionalidad de la medida acusada como discriminatoria, en tanto la parte accionada no logró demostrar de manera categórica que el demandante fue contratado únicamente para realizar las labores temporales de debunching. Del contrato se extrae que su contrato fue como jornalero de agricultura y para realizar cualquier función del mismo género. En todo caso, al menos se desprende un margen de duda que debe favorecer al trabajador, conforme a la regla del in dubio pro</w:t>
      </w:r>
      <w:r w:rsidR="00311FAA" w:rsidRPr="00D66245">
        <w:rPr>
          <w:rFonts w:ascii="Palatino Linotype" w:eastAsia="Times New Roman" w:hAnsi="Palatino Linotype" w:cs="Arial"/>
          <w:i/>
          <w:lang w:eastAsia="es-ES"/>
        </w:rPr>
        <w:t xml:space="preserve"> </w:t>
      </w:r>
      <w:r w:rsidR="00744DCA" w:rsidRPr="00D66245">
        <w:rPr>
          <w:rFonts w:ascii="Palatino Linotype" w:eastAsia="Times New Roman" w:hAnsi="Palatino Linotype" w:cs="Arial"/>
          <w:i/>
          <w:lang w:eastAsia="es-ES"/>
        </w:rPr>
        <w:t>operario (artículo 17 del Código de Trabajo), aplicable en materia de valoración de la prueba. Por estas razones es que no se encuentra fundamento para variar lo que viene dispuesto en la sentencia que se recurre.</w:t>
      </w:r>
      <w:r w:rsidRPr="00D66245">
        <w:rPr>
          <w:rFonts w:ascii="Palatino Linotype" w:eastAsia="Times New Roman" w:hAnsi="Palatino Linotype" w:cs="Arial"/>
          <w:i/>
          <w:lang w:eastAsia="es-ES"/>
        </w:rPr>
        <w:t>”</w:t>
      </w:r>
    </w:p>
    <w:p w14:paraId="47C0C348" w14:textId="77777777" w:rsidR="00744DCA" w:rsidRPr="00D66245" w:rsidRDefault="00744DCA"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2018-002002</w:t>
      </w:r>
    </w:p>
    <w:p w14:paraId="49106F88" w14:textId="77777777" w:rsidR="00763374" w:rsidRPr="00D66245" w:rsidRDefault="00744DCA" w:rsidP="00B070CF">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diez horas treinta minutos del diecinueve de diciembre de dos mil dieciocho.</w:t>
      </w:r>
    </w:p>
    <w:p w14:paraId="16938E19" w14:textId="47584B38" w:rsidR="00744DCA" w:rsidRPr="00D66245" w:rsidRDefault="00B954BF"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w:t>
      </w:r>
      <w:r w:rsidR="00744DCA" w:rsidRPr="00D66245">
        <w:rPr>
          <w:rFonts w:ascii="Palatino Linotype" w:eastAsia="Times New Roman" w:hAnsi="Palatino Linotype" w:cs="Arial"/>
          <w:b/>
          <w:bCs/>
          <w:i/>
          <w:lang w:eastAsia="es-ES"/>
        </w:rPr>
        <w:t>III.- SOBRE EL CASO EN CONCRETO: </w:t>
      </w:r>
      <w:r w:rsidR="00744DCA" w:rsidRPr="00D66245">
        <w:rPr>
          <w:rFonts w:ascii="Palatino Linotype" w:eastAsia="Times New Roman" w:hAnsi="Palatino Linotype" w:cs="Arial"/>
          <w:i/>
          <w:lang w:eastAsia="es-ES"/>
        </w:rPr>
        <w:t>El numeral 404 del Código de Trabajo prohíbe toda dis</w:t>
      </w:r>
      <w:r w:rsidR="00763374" w:rsidRPr="00D66245">
        <w:rPr>
          <w:rFonts w:ascii="Palatino Linotype" w:eastAsia="Times New Roman" w:hAnsi="Palatino Linotype" w:cs="Arial"/>
          <w:i/>
          <w:lang w:eastAsia="es-ES"/>
        </w:rPr>
        <w:t>criminación en el trabajo por “</w:t>
      </w:r>
      <w:r w:rsidR="00744DCA" w:rsidRPr="00D66245">
        <w:rPr>
          <w:rFonts w:ascii="Palatino Linotype" w:eastAsia="Times New Roman" w:hAnsi="Palatino Linotype" w:cs="Arial"/>
          <w:i/>
          <w:iCs/>
          <w:lang w:eastAsia="es-ES"/>
        </w:rPr>
        <w:t>(…) razones de edad, etnia, sexo, religión, raza, orientación sexual, estado civil, opinión política, ascendencia nacional, origen social, filiación, discapacidad, afiliación sindical, situación económica o cualquier otra forma análoga de discriminación</w:t>
      </w:r>
      <w:r w:rsidR="00744DCA" w:rsidRPr="00D66245">
        <w:rPr>
          <w:rFonts w:ascii="Palatino Linotype" w:eastAsia="Times New Roman" w:hAnsi="Palatino Linotype" w:cs="Arial"/>
          <w:i/>
          <w:lang w:eastAsia="es-ES"/>
        </w:rPr>
        <w:t>”</w:t>
      </w:r>
      <w:r w:rsidR="00744DCA" w:rsidRPr="00D66245">
        <w:rPr>
          <w:rFonts w:ascii="Palatino Linotype" w:eastAsia="Times New Roman" w:hAnsi="Palatino Linotype" w:cs="Arial"/>
          <w:i/>
          <w:iCs/>
          <w:lang w:eastAsia="es-ES"/>
        </w:rPr>
        <w:t>. </w:t>
      </w:r>
      <w:r w:rsidR="00744DCA" w:rsidRPr="00D66245">
        <w:rPr>
          <w:rFonts w:ascii="Palatino Linotype" w:eastAsia="Times New Roman" w:hAnsi="Palatino Linotype" w:cs="Arial"/>
          <w:i/>
          <w:lang w:eastAsia="es-ES"/>
        </w:rPr>
        <w:t>Asimismo, en el artículo 406 se prohíben los despidos por cualquier causa discriminatoria. La sanción prevista por el quebranto de tal prohibición es la nulidad del despido y la consecuente reinstalación de la persona trabajadora en su puesto de trabajo, con el pleno goce de sus derechos, así como las consecuencias previstas para la sentencia de reinstalación (artículos 410 y 566 del Código supra citado). El numeral 409 de ese mismo Código estipula que “</w:t>
      </w:r>
      <w:r w:rsidR="00744DCA" w:rsidRPr="00D66245">
        <w:rPr>
          <w:rFonts w:ascii="Palatino Linotype" w:eastAsia="Times New Roman" w:hAnsi="Palatino Linotype" w:cs="Arial"/>
          <w:i/>
          <w:iCs/>
          <w:lang w:eastAsia="es-ES"/>
        </w:rPr>
        <w:t>(…) quien alegue la discriminación deberá señalar específicamente el sustento fáctico en el que funda su alegato y los términos de comparación que substancie su afirmación”. </w:t>
      </w:r>
      <w:r w:rsidR="00744DCA" w:rsidRPr="00D66245">
        <w:rPr>
          <w:rFonts w:ascii="Palatino Linotype" w:eastAsia="Times New Roman" w:hAnsi="Palatino Linotype" w:cs="Arial"/>
          <w:i/>
          <w:lang w:eastAsia="es-ES"/>
        </w:rPr>
        <w:t>En la demanda, la accionante alegó haber sido despedida once días después de que completó y entregó a la demandada la boleta de afiliación al sindicato SITRAP (véase boleta de afiliación adjunta al expediente administrativo e incorporada al expediente digital a las 17:11:31 del 4 de mayo de 2018), a pesar de que su contrato era por tiempo indefinido (véase documento agregado a las 14:11 horas del 6 de abril de 2018). También arguyó que el capataz de la planta no le quiso entregar la carta de despido, únicamente le indicó que el motivo del cese era por reducción de personal; sin embargo, señaló que otras compañeras contratadas en la misma fecha y que no se encontraban afiliadas al sindicato no fueron despedidas. Para esta Sala, la cercanía que se presentó entre la afiliación de la trabajadora al sindicato y la comunicación del despido, aunado al hecho de que su despido fuera sin justificación alguna, a pe</w:t>
      </w:r>
      <w:r w:rsidR="00763374" w:rsidRPr="00D66245">
        <w:rPr>
          <w:rFonts w:ascii="Palatino Linotype" w:eastAsia="Times New Roman" w:hAnsi="Palatino Linotype" w:cs="Arial"/>
          <w:i/>
          <w:lang w:eastAsia="es-ES"/>
        </w:rPr>
        <w:t>sar de que la contratación fue </w:t>
      </w:r>
      <w:r w:rsidR="00744DCA" w:rsidRPr="00D66245">
        <w:rPr>
          <w:rFonts w:ascii="Palatino Linotype" w:eastAsia="Times New Roman" w:hAnsi="Palatino Linotype" w:cs="Arial"/>
          <w:i/>
          <w:lang w:eastAsia="es-ES"/>
        </w:rPr>
        <w:t>pactada a plazo indefinido, constituyen un indicio grave para presumir la existencia de una actuación patronal discriminatoria por afiliación sindical de la trabajadora. Ante esa</w:t>
      </w:r>
      <w:r w:rsidR="00763374" w:rsidRPr="00D66245">
        <w:rPr>
          <w:rFonts w:ascii="Palatino Linotype" w:eastAsia="Times New Roman" w:hAnsi="Palatino Linotype" w:cs="Arial"/>
          <w:i/>
          <w:lang w:eastAsia="es-ES"/>
        </w:rPr>
        <w:t xml:space="preserve"> presunción, le correspondía a </w:t>
      </w:r>
      <w:r w:rsidR="00744DCA" w:rsidRPr="00D66245">
        <w:rPr>
          <w:rFonts w:ascii="Palatino Linotype" w:eastAsia="Times New Roman" w:hAnsi="Palatino Linotype" w:cs="Arial"/>
          <w:i/>
          <w:lang w:eastAsia="es-ES"/>
        </w:rPr>
        <w:t>la demandada acreditar el hecho objetivo que desplazara y excluyera el ánimo discriminatorio. Lo anterior, a tenor de lo dispuesto por el inciso 10), del artículo 478 del Código de Trabajo reformado</w:t>
      </w:r>
      <w:r w:rsidR="00744DCA" w:rsidRPr="00D66245">
        <w:rPr>
          <w:rFonts w:ascii="Palatino Linotype" w:eastAsia="Times New Roman" w:hAnsi="Palatino Linotype" w:cs="Arial"/>
          <w:i/>
          <w:iCs/>
          <w:lang w:eastAsia="es-ES"/>
        </w:rPr>
        <w:t>,</w:t>
      </w:r>
      <w:r w:rsidR="00311FAA" w:rsidRPr="00D66245">
        <w:rPr>
          <w:rFonts w:ascii="Palatino Linotype" w:eastAsia="Times New Roman" w:hAnsi="Palatino Linotype" w:cs="Arial"/>
          <w:i/>
          <w:iCs/>
          <w:lang w:eastAsia="es-ES"/>
        </w:rPr>
        <w:t xml:space="preserve"> </w:t>
      </w:r>
      <w:r w:rsidR="00744DCA" w:rsidRPr="00D66245">
        <w:rPr>
          <w:rFonts w:ascii="Palatino Linotype" w:eastAsia="Times New Roman" w:hAnsi="Palatino Linotype" w:cs="Arial"/>
          <w:i/>
          <w:lang w:eastAsia="es-ES"/>
        </w:rPr>
        <w:t>conforme al cual, a la empleadora le corresponde acreditar </w:t>
      </w:r>
      <w:r w:rsidR="00744DCA" w:rsidRPr="00D66245">
        <w:rPr>
          <w:rFonts w:ascii="Palatino Linotype" w:eastAsia="Times New Roman" w:hAnsi="Palatino Linotype" w:cs="Arial"/>
          <w:i/>
          <w:iCs/>
          <w:lang w:eastAsia="es-ES"/>
        </w:rPr>
        <w:t>“La justificación de la objetividad, racionalidad y proporcionalidad de las medidas o las conductas señaladas como discriminatorias en todas las demandas relacionadas con discriminaciones”</w:t>
      </w:r>
      <w:r w:rsidR="00744DCA" w:rsidRPr="00D66245">
        <w:rPr>
          <w:rFonts w:ascii="Palatino Linotype" w:eastAsia="Times New Roman" w:hAnsi="Palatino Linotype" w:cs="Arial"/>
          <w:i/>
          <w:lang w:eastAsia="es-ES"/>
        </w:rPr>
        <w:t>. Es de suma relevancia establecer que el artículo 363 del Código de Trabajo reformado, en forma clara establece una protección general para el ejercicio de los derechos  colectivos de las personas trabajadoras, en estos términos: “ </w:t>
      </w:r>
      <w:r w:rsidR="00744DCA" w:rsidRPr="00D66245">
        <w:rPr>
          <w:rFonts w:ascii="Palatino Linotype" w:eastAsia="Times New Roman" w:hAnsi="Palatino Linotype" w:cs="Arial"/>
          <w:i/>
          <w:iCs/>
          <w:lang w:eastAsia="es-ES"/>
        </w:rPr>
        <w:t>Prohíbanse las acciones u omisiones que tiendan a evitar, limitar, constreñir o impedir el libre ejercicio de los derechos colectivos de los trabajadores, sus sindicatos o las coaliciones de trabajadores./</w:t>
      </w:r>
      <w:r w:rsidR="00744DCA" w:rsidRPr="00D66245">
        <w:rPr>
          <w:rFonts w:ascii="Palatino Linotype" w:eastAsia="Times New Roman" w:hAnsi="Palatino Linotype" w:cs="Arial"/>
          <w:b/>
          <w:bCs/>
          <w:i/>
          <w:iCs/>
          <w:lang w:eastAsia="es-ES"/>
        </w:rPr>
        <w:t>Cualquier acto que de ellas se origine</w:t>
      </w:r>
      <w:r w:rsidR="00744DCA" w:rsidRPr="00D66245">
        <w:rPr>
          <w:rFonts w:ascii="Palatino Linotype" w:eastAsia="Times New Roman" w:hAnsi="Palatino Linotype" w:cs="Arial"/>
          <w:i/>
          <w:iCs/>
          <w:lang w:eastAsia="es-ES"/>
        </w:rPr>
        <w:t> </w:t>
      </w:r>
      <w:r w:rsidR="00744DCA" w:rsidRPr="00D66245">
        <w:rPr>
          <w:rFonts w:ascii="Palatino Linotype" w:eastAsia="Times New Roman" w:hAnsi="Palatino Linotype" w:cs="Arial"/>
          <w:b/>
          <w:bCs/>
          <w:i/>
          <w:iCs/>
          <w:lang w:eastAsia="es-ES"/>
        </w:rPr>
        <w:t>es absolutamente nulo e ineficaz </w:t>
      </w:r>
      <w:r w:rsidR="00744DCA" w:rsidRPr="00D66245">
        <w:rPr>
          <w:rFonts w:ascii="Palatino Linotype" w:eastAsia="Times New Roman" w:hAnsi="Palatino Linotype" w:cs="Arial"/>
          <w:i/>
          <w:iCs/>
          <w:lang w:eastAsia="es-ES"/>
        </w:rPr>
        <w:t>y se sancionará, en la forma y en las condiciones señaladas en el Código de Trabajo, sus leyes supletorias o conexas para la infracción de disposiciones prohibitivas”. </w:t>
      </w:r>
      <w:r w:rsidR="00744DCA" w:rsidRPr="00D66245">
        <w:rPr>
          <w:rFonts w:ascii="Palatino Linotype" w:eastAsia="Times New Roman" w:hAnsi="Palatino Linotype" w:cs="Arial"/>
          <w:i/>
          <w:lang w:eastAsia="es-ES"/>
        </w:rPr>
        <w:t>(El destacado no es del original). Esta tutela no es novedosa. Ya desde 1993, la Sala Constitucional había señalado claramente que el amparo en contra de actos de discriminación sindical cubre a cualquier persona trabajadora, cuando la medida adoptada por quien emplea resulte discriminatoria y transgresora del ejercicio del derecho fundamental de sindicalización; y no solamente a los representantes de los trabajadores. Así, en el voto 5000, de las 10:09 horas del 8 de octubre del año citado, se indicó: “</w:t>
      </w:r>
      <w:r w:rsidR="00744DCA" w:rsidRPr="00D66245">
        <w:rPr>
          <w:rFonts w:ascii="Palatino Linotype" w:eastAsia="Times New Roman" w:hAnsi="Palatino Linotype" w:cs="Arial"/>
          <w:i/>
          <w:iCs/>
          <w:lang w:eastAsia="es-ES"/>
        </w:rPr>
        <w:t>De acuerdo con todo lo expuesto, es evidente que el despido recaído en los representantes de los trabajadores, sindicales o no, es legalmente improcedente (aunque los patronos paguen las prestaciones sociales), pues viola el fuero especial de representación garantizado por la Constitución Política, los convenios internacionales y las leyes, en perjuicio personal de los representantes y de los trabajadores cuya representación ostentan y a quienes por el hecho mismo del despido también se les viola su derecho fundamental de asociación al verse privados de sus líderes y por ende de la adecuada y legítima defensa de sus intereses personales y gremiales. /Aunque hasta el momento se ha venido considerando la  situación de los representantes de los trabajadores, sindicalizados o no, cabe decir que </w:t>
      </w:r>
      <w:r w:rsidR="00744DCA" w:rsidRPr="00D66245">
        <w:rPr>
          <w:rFonts w:ascii="Palatino Linotype" w:eastAsia="Times New Roman" w:hAnsi="Palatino Linotype" w:cs="Arial"/>
          <w:b/>
          <w:bCs/>
          <w:i/>
          <w:iCs/>
          <w:lang w:eastAsia="es-ES"/>
        </w:rPr>
        <w:t>con igual sustento normativo y con igual criterio debe resolverse el despido de los simples trabajadores cuando la causal, expresa o tácita, sea su pertenencia a una asociación o sindicato, porque ello también viola sus derechos fundamentales, vale decir que la vinculación a dichas organizaciones, como simples afiliados, pone en juego valores superiores de convivencia y armonía social y laboral frente a los cuales el resarcimiento económico, representado por el pago de las prestaciones sociales, carece de validez legal, ello porque la voluntad patronal queda constitucional y legalmente inhibida o limitada desde la perspectiva general de los derechos humanos de los trabajadores y desde la perspectiva específica del derecho laboral</w:t>
      </w:r>
      <w:r w:rsidR="00744DCA" w:rsidRPr="00D66245">
        <w:rPr>
          <w:rFonts w:ascii="Palatino Linotype" w:eastAsia="Times New Roman" w:hAnsi="Palatino Linotype" w:cs="Arial"/>
          <w:i/>
          <w:iCs/>
          <w:lang w:eastAsia="es-ES"/>
        </w:rPr>
        <w:t>, que tutela el interés público general”. </w:t>
      </w:r>
      <w:r w:rsidR="00744DCA" w:rsidRPr="00D66245">
        <w:rPr>
          <w:rFonts w:ascii="Palatino Linotype" w:eastAsia="Times New Roman" w:hAnsi="Palatino Linotype" w:cs="Arial"/>
          <w:i/>
          <w:lang w:eastAsia="es-ES"/>
        </w:rPr>
        <w:t>(El énfasis no es del original). La supuesta limitación al ejercicio de la facultad patronal de libre despido no es una creación de la Reforma Procesal Laboral. Tal potestad permanece inalterada. Lo que la reforma introdujo fue un mecanismo procesal ágil y efectivo para la tutela efectiva contra actos discriminatorios, donde la obligación procesal del patrono es demostrar que su decisión es objetiva. Se trata de una ponderación -hecha por el legislador- en la que, frente a la facultad patronal del libre despido se impone el deber de acreditar la razón objetiva que sustenta la decisión patronal cuando la persona trabajadora ha logrado llevar el convencimiento de quien juzga, la existencia de indicios graves de una conducta patronal discriminatoria. En el recurso se afirma la falta de análisis y valoración de las pruebas, dado que no se indican las razones de desestimación de determinadas probanzas aportadas. Se alega que con las testimoniales evacuadas se demuestra la causal objetiva de despido. Al respecto, se observa que el juez a quo fundamentó de manera adecuada la sentencia al arribar a la conclusión de que el despido de la actora responde a una causa discriminatoria, según las razones que de seguido se exponen. Establece la parte demandada que a la actora se le despidió en virtud de que en la empresa no se requería de su puesto, el cual dependía de los pedidos de los clientes, y además cada año se contratan empleados. Ciertamente, en los autos quedó acreditado que previo a la contratación efectuada en febrero de 2018, la actora había sido contratada en varias ocasiones anteriormente, por tiempo indefinido, pero liquidada antes de superar los tres meses de prueba que autoriza la ley. Sin embargo, tal antecedente no es suficiente para entender que en la última ocasión, la demandada actuara por las mismas razones que en las ocasiones anteriores. Lo anterior es así, porque frente a la afiliación sindical y el despido, la parte patronal debió indicar y demostrar las razones objetivas que motivaron su decisión. No obstante, en la contestación únicamente señaló que el despido obedeció a que el puesto de la actora resultaba innecesario, en virtud de los requerimientos de su clientela. Sin embargo, no logró acreditar ni la supuesta baja en la producción, ni la disminución en las ventas, que tornaran innecesarios los servicios de selectora de fruta que prestaba la actora, como tampoco acreditó el hecho de los supuestos diecinueve despidos que se presentaron en ese momento. Si bien los testigos ofrecidos por la demandada afirmaron que así sucedió, no fueron capaces de indicar siquiera algunos de los nombres de las personas supuestamente despedidas. Además, ese es un hecho que la demandada bien estuvo en posibilidad de documentar y acreditar, con las respectivas liquidaciones. Aunque no lo alegó en la contestación, tampoco acreditó su dicho en torno a que la actora era la persona de más reciente contratación en el cargo de selectora de fruta y que por eso fue la seleccionada, al tener que prescindir de personal. En ese sentido, se debe señalar que la valoración de una alegada reducción de personal debe ser cuidadosa, porque por ese medio, los patronos podrían aprovechar la situación de necesidad de un despido masivo que deban realizar, para incluir dentro de éste el despido de personas trabajadoras en razón de su afiliación sindical. Por esa razón, resulta importante en cada caso valorar no sólo la objetividad de la decisión patronal de prescindir del grupo de trabajadores, sino particularmente, de la persona sindicalizada que alega la discriminación.  Las condiciones descritas conducen inexorablemente a confirmar  que la valoración de las pruebas y la conclusión a la que arribó  el juez a quo es acertada, pues la demandada no logró demostrar las razones en que sustenta su decisión, a fin de descartar la imputación discriminatoria que le atribuye la demandante a la decisión de despedirle, y que fue confirmada con las declaraciones de los testigos ofrecidos por la accionante, los cuales les resultan creíbles a esta Sala en tanto, respecto de los ofrecidos por la demandada se extraña que no hayan comparecido compañeros suyos, sino personal de mando, representantes de los intereses patronales. Como se indicó, los que comparecieron a nombre de la demandada no pudieron referir siquiera nombres de las otras personas supuestamente despedidas, y su declaración se sustenta únicamente en señalar que la actora fue despedida por ser la trabajadora que estaba en período de prueba y de más reciente contratación, lo que resulta insuficiente para justificar la escogencia de la trabajadora para prescindir de sus servicios, si no se cuenta con otra prueba que permita respaldar esa afirmación.  En conclusión, no logró acreditar la existencia de hechos objetivos, razonables y proporcionados, que desplazaran el ánimo discriminatorio que se le atribuyó. En todo caso, ante la duda debe favorecerse al trabajador, conforme la regla del </w:t>
      </w:r>
      <w:r w:rsidR="00744DCA" w:rsidRPr="00D66245">
        <w:rPr>
          <w:rFonts w:ascii="Palatino Linotype" w:eastAsia="Times New Roman" w:hAnsi="Palatino Linotype" w:cs="Arial"/>
          <w:i/>
          <w:iCs/>
          <w:lang w:eastAsia="es-ES"/>
        </w:rPr>
        <w:t>in dubio pro operario </w:t>
      </w:r>
      <w:r w:rsidR="00744DCA" w:rsidRPr="00D66245">
        <w:rPr>
          <w:rFonts w:ascii="Palatino Linotype" w:eastAsia="Times New Roman" w:hAnsi="Palatino Linotype" w:cs="Arial"/>
          <w:i/>
          <w:lang w:eastAsia="es-ES"/>
        </w:rPr>
        <w:t>(artículo 422, </w:t>
      </w:r>
      <w:r w:rsidR="00744DCA" w:rsidRPr="00D66245">
        <w:rPr>
          <w:rFonts w:ascii="Palatino Linotype" w:eastAsia="Times New Roman" w:hAnsi="Palatino Linotype" w:cs="Arial"/>
          <w:i/>
          <w:iCs/>
          <w:lang w:eastAsia="es-ES"/>
        </w:rPr>
        <w:t>Código de Trabajo</w:t>
      </w:r>
      <w:r w:rsidR="00744DCA" w:rsidRPr="00D66245">
        <w:rPr>
          <w:rFonts w:ascii="Palatino Linotype" w:eastAsia="Times New Roman" w:hAnsi="Palatino Linotype" w:cs="Arial"/>
          <w:i/>
          <w:lang w:eastAsia="es-ES"/>
        </w:rPr>
        <w:t>)</w:t>
      </w:r>
      <w:r w:rsidR="00744DCA" w:rsidRPr="00D66245">
        <w:rPr>
          <w:rFonts w:ascii="Palatino Linotype" w:eastAsia="Times New Roman" w:hAnsi="Palatino Linotype" w:cs="Arial"/>
          <w:i/>
          <w:iCs/>
          <w:lang w:eastAsia="es-ES"/>
        </w:rPr>
        <w:t>, </w:t>
      </w:r>
      <w:r w:rsidR="00744DCA" w:rsidRPr="00D66245">
        <w:rPr>
          <w:rFonts w:ascii="Palatino Linotype" w:eastAsia="Times New Roman" w:hAnsi="Palatino Linotype" w:cs="Arial"/>
          <w:i/>
          <w:lang w:eastAsia="es-ES"/>
        </w:rPr>
        <w:t>aplicable en materia de valoración de prueba. </w:t>
      </w:r>
    </w:p>
    <w:p w14:paraId="35BF18D1" w14:textId="214A8760" w:rsidR="00744DCA" w:rsidRPr="00D66245" w:rsidRDefault="00744DCA"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IV.- SOBRE EL PROCESO DE FUEROS ESPECIALES:</w:t>
      </w:r>
      <w:r w:rsidRPr="00D66245">
        <w:rPr>
          <w:rFonts w:ascii="Palatino Linotype" w:eastAsia="Times New Roman" w:hAnsi="Palatino Linotype" w:cs="Arial"/>
          <w:i/>
          <w:lang w:eastAsia="es-ES"/>
        </w:rPr>
        <w:t> Alega la parte demandada que la regulación del proceso de fueros especiales que se plasma con la nueva Reforma Procesal Laboral, limita la potestad patronal de dar por finalizado el contrato de trabajo sin responsabilidad patronal. Afirma que este proceso ha conllevado que se sustituya la estabilidad relativa regulada en el Código de Trabajo, por una estabilidad absoluta de los trabajadores, la cual debe ser la excepción. El proceso de fueros especiales de protección en materia laboral, se plasmó en la legislación costarricense en razón de un compromiso con el respeto de los derechos laborales establecidos en la Constitución Política de la República de Costa Rica, y a cuyo respeto el país se comprometió a través de una serie de instrumentos jurídicos de orden internacional,  con la finalidad de hacer efectivo el cumplimiento de estos derechos, por lo que, al contrario de lo que argumenta la demandada, no se establecieron para coartar la libertad de despido por parte del patrono; sino para crear un mecanismo procesal expedito, que propicie una tutela efectiva de tales derechos, habida cuenta de la mayor dificultad que tienen las personas trabajadoras de procurarse la prueba directa de actos vejatorios de derechos fundamentales. La Organización Internacional de Trabajo promulgó en el año 1958 el Convenio No. 111, relativo a la discriminación en materia de empleo y discriminación, el cual establece en el artículo 1 que discriminación se entiende como “</w:t>
      </w:r>
      <w:r w:rsidRPr="00D66245">
        <w:rPr>
          <w:rFonts w:ascii="Palatino Linotype" w:eastAsia="Times New Roman" w:hAnsi="Palatino Linotype" w:cs="Arial"/>
          <w:i/>
          <w:iCs/>
          <w:lang w:eastAsia="es-ES"/>
        </w:rPr>
        <w:t>cualquier distinción, exclusión o preferencia basada en motivos de raza, color, sexo, religión, opinión política, ascendencia nacional u origen social, que tenga por efecto anular o alterar la igualdad de oportunidades o de trato en el empleo y la ocupación; cualquier otra distinción, exclusión o preferencia que tenga por efecto anular o alterar la igualdad de oportunidades o de trato en el empleo u ocupación, que podrá ser especificada por el miembro interesado previa consulta con las organizaciones representativas de empleadores y de trabajadores, cuando dichas organizaciones existan, y con otros organismos apropiados</w:t>
      </w:r>
      <w:r w:rsidRPr="00D66245">
        <w:rPr>
          <w:rFonts w:ascii="Palatino Linotype" w:eastAsia="Times New Roman" w:hAnsi="Palatino Linotype" w:cs="Arial"/>
          <w:i/>
          <w:lang w:eastAsia="es-ES"/>
        </w:rPr>
        <w:t>”. Costa Rica ratificó en el año 1962 dicho Convenio y el numeral 2 del mismo determina que “</w:t>
      </w:r>
      <w:r w:rsidRPr="00D66245">
        <w:rPr>
          <w:rFonts w:ascii="Palatino Linotype" w:eastAsia="Times New Roman" w:hAnsi="Palatino Linotype" w:cs="Arial"/>
          <w:i/>
          <w:iCs/>
          <w:lang w:eastAsia="es-ES"/>
        </w:rPr>
        <w:t>todo Miembro para el cual este Convenio se halle en vigor se obliga a formular y llevar a cabo una política nacional que promueva, por métodos adecuados a las condiciones y a la práctica nacionales, la igualdad de oportunidad y de trato en materia de empleo y ocupación, con objeto de eliminar cualquier discriminación a este respecto”</w:t>
      </w:r>
      <w:r w:rsidRPr="00D66245">
        <w:rPr>
          <w:rFonts w:ascii="Palatino Linotype" w:eastAsia="Times New Roman" w:hAnsi="Palatino Linotype" w:cs="Arial"/>
          <w:i/>
          <w:lang w:eastAsia="es-ES"/>
        </w:rPr>
        <w:t>. De lo anterior deriva el compromiso existente en la lucha contra cualquier acto discriminatorio en el empleo, por lo que la regulación de este tipo de proceso es una respuesta ante ese compromiso constitucional e internacional que tiene el país de brindar protección a las personas víctimas de acciones discriminatorias en el empleo. En conclusión, el proceso de fueros especiales de protección responde a un compromiso en contra de la discriminación en el empleo, por el que se potencia la tutela efectiva, brindando un instrumento procesal que garantiza una respuesta judicial oportuna por lo cual se evita, que la violencia laboral afecte el derecho fundamental a tener un trabajo decente.</w:t>
      </w:r>
    </w:p>
    <w:p w14:paraId="7F27EB8E" w14:textId="77777777" w:rsidR="00744DCA" w:rsidRPr="00D66245" w:rsidRDefault="00744DCA"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V.- SOBRE LOS DAÑOS Y PERJUICIOS:</w:t>
      </w:r>
      <w:r w:rsidRPr="00D66245">
        <w:rPr>
          <w:rFonts w:ascii="Palatino Linotype" w:eastAsia="Times New Roman" w:hAnsi="Palatino Linotype" w:cs="Arial"/>
          <w:i/>
          <w:lang w:eastAsia="es-ES"/>
        </w:rPr>
        <w:t> Arguye la parte actora que al contrario de lo que indica la juzgadora de primera instancia, sí se estableció en qué consistían, el motivo y la estimación de los daños y perjuicios. En ese sentido, se debe especificar que los daños y perjuicios deben ser debidamente acreditados, y en el presente caso no se lograron demostrar, pues únicamente se hace referencia a estos en la demanda y en la declaración de la actora en la audiencia de pruebas; sin embargo, ninguna prueba apoya su pretensión para tenerlos por acreditados. Es relevante señalar que de conformidad con el numeral 477 del Código de Trabajo reformado, la parte actora tenía la obligación de ofrecer y presentar los elementos probatorios útiles para acreditar los daños y perjuicios que invoca. No cabe aquí aplicar la carga dinámica de la prueba que prevé el ordinal 478, dado que por la naturaleza de este extremo petitorio es la parte actora a quien le corresponde demostrar los hechos en que sustenta esa pretensión.</w:t>
      </w:r>
      <w:r w:rsidR="00B954BF" w:rsidRPr="00D66245">
        <w:rPr>
          <w:rFonts w:ascii="Palatino Linotype" w:eastAsia="Times New Roman" w:hAnsi="Palatino Linotype" w:cs="Arial"/>
          <w:i/>
          <w:lang w:eastAsia="es-ES"/>
        </w:rPr>
        <w:t>”</w:t>
      </w:r>
    </w:p>
    <w:p w14:paraId="2F251A8B" w14:textId="77777777" w:rsidR="00205E29" w:rsidRPr="00D66245" w:rsidRDefault="00205E29"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2019-000039</w:t>
      </w:r>
    </w:p>
    <w:p w14:paraId="3D782342" w14:textId="77777777" w:rsidR="00205E29" w:rsidRPr="00D66245" w:rsidRDefault="00205E29" w:rsidP="00B070CF">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nueve horas cuarenta minutos del dieciocho de enero de dos mil diecinueve.</w:t>
      </w:r>
    </w:p>
    <w:p w14:paraId="44ED6FDF" w14:textId="08EFAA7D" w:rsidR="00205E29" w:rsidRPr="00D66245" w:rsidRDefault="00B954BF"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w:t>
      </w:r>
      <w:r w:rsidR="00205E29" w:rsidRPr="00D66245">
        <w:rPr>
          <w:rFonts w:ascii="Palatino Linotype" w:eastAsia="Times New Roman" w:hAnsi="Palatino Linotype" w:cs="Arial"/>
          <w:b/>
          <w:bCs/>
          <w:i/>
          <w:lang w:eastAsia="es-ES"/>
        </w:rPr>
        <w:t>VI.-SOBRE EL FUERO SINDICAL. </w:t>
      </w:r>
      <w:r w:rsidR="00205E29" w:rsidRPr="00D66245">
        <w:rPr>
          <w:rFonts w:ascii="Palatino Linotype" w:eastAsia="Times New Roman" w:hAnsi="Palatino Linotype" w:cs="Arial"/>
          <w:i/>
          <w:lang w:eastAsia="es-ES"/>
        </w:rPr>
        <w:t>El derecho de asociación sindical, en el tanto constituye un derecho humano, ha sido tutelado expresamente por distintos instrumentos internacionales, así como por el artículo 25 de la Constitución Política. Ese derecho fundamental, en materia laboral, encuentra una tutela específica, que garantiza a los trabajadores y a los patronos su derecho a sindicalizarse libremente, con el fin exclusivo de obtener y conservar beneficios económicos, sociales o profesionales (artículo 60 de la Constitución Política). También, la Organización Internacional del Trabajo (O.I.T) se ha interesado por consagrar este derecho, adoptando Convenios y Recomendaciones, en procura de que los Estados lo reconozcan y, a su vez, pongan en práctica, mecanismos efectivos para su tutela. En ese orden de ideas, el Convenio 87 relativo a la libertad sindical y a la protección del derecho de sindicación, ratificado por Costa Rica por Ley número 2561, del 11 de mayo de 1960 y, por consiguiente, de rango superior a la ley (numeral 7 de la Constitución Política), en su artículo 11, obliga a todos los Estados miembros de la O.I.T para el cual esté en vigor el Convenio, adoptar todas las medidas necesarias y apropiadas para garantizar a las personas trabajadoras y a las empleadoras el libre ejercicio del derecho de sindicación. Por su parte, el Convenio 98, relativo a la aplicación de los principios del derecho de sindicación y de negociación colectiva, introducido al ordenamiento jurídico interno, mediante la Ley citada, en su artículo 1 dispone que los trabajadores deberán gozar de adecuada protección contra todo acto de discriminación tendiente a menoscabar la libertad sindical en relación con su empleo. El punto b), del inciso 2) de ese numeral, califica el despido de un trabajador o el hecho de causarle perjuicio de cualquier otra forma a causa de su afiliación sindical, o por su participación en actividades sindicales, como un acto típicamente discriminatorio. El Convenio 135, relativo a la protección y facilidades que deben otorgarse a los trabajadores en la empresa, se ocupa específicamente del denominado fuero sindical (ratificado por Ley número 5968 del 9 de noviembre de 1976). En el primer artículo se reafirma la tutela de los representantes de los trabajadores en la empresa, disponiendo que éstos deben gozar de protección eficaz contra todo acto que pueda perjudicarlos, incluido el despido por razón de su condición, de sus actividades como tales, de su afiliación al sindicato, o de su participación en la actividad sindical, siempre que dichos representantes actúen conforme a las leyes, contratos colectivos u otros acuerdos comunes en vigor. Tal y como lo señaló el voto de la Sala Constitucional, número 5000, de las 10:09 horas, del 8 de octubre de 1993, es un fuero especial en beneficio particular, de los representantes de los trabajadores (sindicalizados o no); pero, no sólo de éstos, sino, también de los simples trabajadores, en cuanto son despedidos o se les perjudique de algún modo, tácita o expresamente por su pertenencia a una asociación o sindicato. En ese fallo, se indicó que, con ese fuero, se protege el derecho de los representantes de los trabajadores y del resto de los trabajadores en general, “… </w:t>
      </w:r>
      <w:r w:rsidR="00205E29" w:rsidRPr="00D66245">
        <w:rPr>
          <w:rFonts w:ascii="Palatino Linotype" w:eastAsia="Times New Roman" w:hAnsi="Palatino Linotype" w:cs="Arial"/>
          <w:i/>
          <w:iCs/>
          <w:lang w:eastAsia="es-ES"/>
        </w:rPr>
        <w:t>quienes verían menoscabados sus derechos humanos fundamentales si sus líderes no fueran inamovibles mientras ostenten el mandato válidamente concedido y pudieran ser despedidos unilateralmente por decisión patronal, sin que mediara causa legal objetiva que justificara el rompimiento del contrato laboral.</w:t>
      </w:r>
      <w:r w:rsidR="00205E29" w:rsidRPr="00D66245">
        <w:rPr>
          <w:rFonts w:ascii="Palatino Linotype" w:eastAsia="Times New Roman" w:hAnsi="Palatino Linotype" w:cs="Arial"/>
          <w:i/>
          <w:lang w:eastAsia="es-ES"/>
        </w:rPr>
        <w:t>” En armonía con ese fallo, esta otra Sala, en su voto número 42, de las 10:50 horas, del 11 de febrero de 1998, con apoyo de la doctrina sobre la materia, sostuvo el criterio de que la libertad sindical puede considerarse desde distintas perspectivas. Por un lado, concierne al individuo (aspecto individual) y consiste en la libertad de constituir sindicatos o de afiliarse o no a ellos, o retirarse de los que pertenezcan y, por el otro, se refiere a estas mismas asociaciones, su organización, administración y funcionamiento, así como al ejercicio de la libertad sindical de segundo grado (autonomía sindical o colectiva). Por esa razón se dijo que la libertad de sindicalización, como derecho subjetivo que es, requiere, además del reconocimiento del derecho a asociarse de esa manera, que se asegure su efectividad. Dicho propósito quedó claramente expresado en la Recomendación 143 sobre la Protección y Facilidades que deben otorgarse a los representantes de los trabajadores en la empresa, según la cual, cuando no existan suficientes medidas apropiadas de protección aplicables a los trabajadores en general, deben adoptarse disposiciones específicas para garantizar la protección efectiva de los representantes de los trabajadores, tales como, reconocer la prioridad que ha de dárseles, respecto de su continuación en el empleo en caso de reducción de personal (numerales 5 y 6). La Ley número 7360, del 4 de noviembre de 1993, adicionó al Título V del Código de Trabajo el Capítulo III, titulado "De la Protección de los Derechos Sindicales", el cual introdujo una serie de normas tuitivas de ese derecho fundamental. De ellas, el artículo 363 reviste especial interés, pues, expresamente prohíbe las acciones u omisiones que tiendan a evitar, limitar, constreñir o impedir el libre ejercicio de los derechos colectivos de los trabajadores, sus sindicatos o las coaliciones de trabajadores, sancionando con la nulidad absoluta e ineficacia del acto que de ellas se origine, en la forma y en las condiciones señaladas en el Código de Trabajo, sus leyes supletorias o conexas para la infracción de disposiciones prohibitivas. Es decir, la norma establece una protección de orden general, proscribiendo las prácticas laborales desleales, entendidas como actos de discriminación. El artículo 368 del mismo cuerpo normativo sanciona con nulidad, el despido del trabajador protegido con el fuero especial, disponiendo</w:t>
      </w:r>
      <w:r w:rsidR="00205E29" w:rsidRPr="00D66245">
        <w:rPr>
          <w:rFonts w:ascii="Palatino Linotype" w:eastAsia="Times New Roman" w:hAnsi="Palatino Linotype" w:cs="Arial"/>
          <w:i/>
          <w:iCs/>
          <w:lang w:eastAsia="es-ES"/>
        </w:rPr>
        <w:t>: “Al despido sin justa causa de un trabajador amparado en virtud de la protección que establece la presente ley, no le será aplicable lo dispuesto en el artículo 28 de este Código. El juez laboral competente declarará nulo e ineficaz ese despido y, consecuentemente, ordenará la reinstalación del trabajador y el pago de los salarios caídos, además de las sanciones que corresponda imponer al empleador, de acuerdo con este Código y sus leyes supletorias y conexas. Si el trabajador manifiesta, expresamente, su deseo de no ser reinstalado, se le deberá reconocer, además de los derechos laborales correspondientes a un despido sin justa causa, una indemnización equivalente a los salarios que le hubiesen correspondido durante el plazo de la protección no disfrutada, de conformidad con el artículo anterior.”</w:t>
      </w:r>
      <w:r w:rsidR="00205E29" w:rsidRPr="00D66245">
        <w:rPr>
          <w:rFonts w:ascii="Palatino Linotype" w:eastAsia="Times New Roman" w:hAnsi="Palatino Linotype" w:cs="Arial"/>
          <w:i/>
          <w:lang w:eastAsia="es-ES"/>
        </w:rPr>
        <w:t> Esa norma hace referencia al numeral 367 ibídem, que en forma meramente enunciativa y no taxativa o limitante, contiene algunos supuestos específicos merecedores de tutela. Una vez precisado el marco normativo garante del fuero sindical, debemos establecer si éste fue infringido por la demandada, al despedir a la actora, quien fungía como representante sindical en la empresa.</w:t>
      </w:r>
    </w:p>
    <w:p w14:paraId="63E99022" w14:textId="77777777" w:rsidR="00205E29" w:rsidRPr="00D66245" w:rsidRDefault="00205E29"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VII.- SOBRE EL DESPIDO DISCRIMINATORIO. </w:t>
      </w:r>
      <w:r w:rsidRPr="00D66245">
        <w:rPr>
          <w:rFonts w:ascii="Palatino Linotype" w:eastAsia="Times New Roman" w:hAnsi="Palatino Linotype" w:cs="Arial"/>
          <w:i/>
          <w:lang w:eastAsia="es-ES"/>
        </w:rPr>
        <w:t>La actora señala en su recurso, que aún admitiendo que el nombramiento como dirigente sindical era prohibido por norma constitucional, lo cierto es que tal designación existió y tanto para el SITEPP, como para el Ministerio de Trabajo y la empresa demandada, ella era dirigente sindical, de tal forma que el despido fue sorpresivo e ilegal. La empresa demandada por su parte, ha sido enfática en el argumento de ilegalidad del nombramiento de la actora como representante sindical en el cargo de Presidenta de la Seccional del Sindicato de Trabajadores de la Empresa Pública y Privada (SITEPP) en la empresa Todo Natural, S.A. En la sentencia recurrida, la jueza de instancia declaró sin lugar la demanda porque consideró que efectivamente la actora no podía ocupar un puesto de representante sindical por ser extranjera; esto de conformidad con el artículo 60 constitucional y el numeral primero del Convenio 135 de la Organización Internacional de Trabajo. Al respecto señaló la juzgadora: </w:t>
      </w:r>
      <w:r w:rsidRPr="00D66245">
        <w:rPr>
          <w:rFonts w:ascii="Palatino Linotype" w:eastAsia="Times New Roman" w:hAnsi="Palatino Linotype" w:cs="Arial"/>
          <w:i/>
          <w:iCs/>
          <w:lang w:eastAsia="es-ES"/>
        </w:rPr>
        <w:t>"... Entonces, en dicho Convenio se establece la protección eficaz en favor de los representantes sindicales, pero somete a la legislación y decisiones judiciales internas de cada país la determinación sobre que clase o clases de representantes tendrán derecho a esa protección, es decir, justamente en ese convenio está expresamente autorizado lo que se está ocurriendo en nuestro país, en el cual tanto la normativa en su artículo 60 constitucional, como las decisiones judiciales con la jurisprudencia constitucional ya citada, han venido a establecer que las personas extranjeras no pueden ostentar el puesto de representantes de un sindicato. Razón por la cual, sin necesidad de ahondar más en el tema, es claro que la acá gestionante no podía jurídicamente hablando, ejercer la función de representante sindical, y por ello, ese fuero especial no le protege, por lo cual lo único procedente es el rechazo del presente proceso en todos sus extremos." </w:t>
      </w:r>
      <w:r w:rsidRPr="00D66245">
        <w:rPr>
          <w:rFonts w:ascii="Palatino Linotype" w:eastAsia="Times New Roman" w:hAnsi="Palatino Linotype" w:cs="Arial"/>
          <w:i/>
          <w:lang w:eastAsia="es-ES"/>
        </w:rPr>
        <w:t>La actora planteó en su demanda, que el 17 de marzo del 2016, en la Asamblea Seccional de trabajadores de la empresa del Sindicado del SITEPP, se le nombró como Presidenta de la Seccional por el plazo de un año, del 17 de marzo del 2016 al 17 de marzo del 2017; nombramiento que fue comunicado al patrono. De la prueba testimonial y documental aportada al proceso se desprende que efectivamente la parte actora ejercía las facultades de representante sindical, es más, que se le reconocía ampliamente en la empresa como Presidenta del comité seccional del Sindicato en el Departamento de Relaciones de Trabajo del Ministerio de Trabajo y Seguridad Social. Las testigos [Nombre 004] e [Nombre 005], de manera categórica afirmaron que la señora [Nombre 001] era reconocida dentro de la empresa Todo Natural como la Presidenta del Comité del Sindicato, encargada además de promover la afiliación sindical de sus compañeros y la que les resolvía cualquier gestión relacionada con el sindicato. La testigo García Rosales, declaró que trabajó para la empresa en dos períodos; del 2013 al 2015 y desde el mes de febrero del 2016 hasta abril del 2017, período último durante el cual la actora se desempeñó como dirigente sindical y Presidenta del Comité, hasta que fue despedida. La empresa demandada por su parte, se limitó a decir que la designación de la actora como dirigente sindical se encuentra viciada de nulidad absoluta. Esta Sala no comparte el razonamiento del </w:t>
      </w:r>
      <w:r w:rsidRPr="00D66245">
        <w:rPr>
          <w:rFonts w:ascii="Palatino Linotype" w:eastAsia="Times New Roman" w:hAnsi="Palatino Linotype" w:cs="Arial"/>
          <w:i/>
          <w:iCs/>
          <w:lang w:eastAsia="es-ES"/>
        </w:rPr>
        <w:t>A-quo</w:t>
      </w:r>
      <w:r w:rsidRPr="00D66245">
        <w:rPr>
          <w:rFonts w:ascii="Palatino Linotype" w:eastAsia="Times New Roman" w:hAnsi="Palatino Linotype" w:cs="Arial"/>
          <w:i/>
          <w:lang w:eastAsia="es-ES"/>
        </w:rPr>
        <w:t> para declarar sin lugar la demanda. Es un hecho debidamente acreditado y no controvertido por la parte demandada, que la actora fue nombrada como dirigente sindical, y como tal se presentaba ante sus compañeros de trabajo y frente al patrono, inclusive ejercía las funciones y actividades propias de tal designación. De la prueba se infiere con absoluta claridad que la actora era reconocida como dirigente sindical y Presidenta de la Seccional del Sindicato, por lo que no se puede presumir -tampoco lo alega el patrono- que esta fuera una situación ajena o desconocida. La empresa demandada tuvo la oportunidad de objetar tal nombramiento, ya sea ante la Oficina de Sindicatos del Ministerio de Trabajo y Seguridad Social o plantear la denuncia ante la Dirección Nacional de Inspección de dicho Ministerio; pues no le correspondía como Patrono, hacer una valoración sobre la legalidad o no del nombramiento de la actora, o de manera unilateral desconocer su validez, pues esa decisión no le compete. Frente al patrono, aquella era una decisión válida en tanto una decisión del órgano competente en la materia no declarara lo contrario. Como tal representante sindical, la demandada no podía obviar el fuero que le protegía y con ello pasar por alto la prohibición legal de despedirla sin causa justa. En todo caso, como simple sindicalizada a la luz del voto 5000 yla jurisprudencia de esta Sala, también estaba protegida contra el despido por ese motivo. En autos está acreditado que para la fecha del despido -el 03 de febrero del 2017- la actora fungía como dirigente sindical y tenía además, casi 11 meses de desempeñar el cargo. También es un hecho irrefutable que el día 3 de febrero del 2017, la empresa demandada la despidió sin responsabilidad patronal, alegando como causales del cese, falta de interés y pérdida de confianza por cuatro ausencias injustificadas; que se dieron los días 26 de octubre y 26 de diciembre, ambas del 2016; 5 y 23 de enero, ambas del 2017. El artículo 81 inciso g) del Código de Trabajo establece como causa justa que faculta al patrono dar por finalizado el contrato laboral</w:t>
      </w:r>
      <w:r w:rsidRPr="00D66245">
        <w:rPr>
          <w:rFonts w:ascii="Palatino Linotype" w:eastAsia="Times New Roman" w:hAnsi="Palatino Linotype" w:cs="Arial"/>
          <w:i/>
          <w:iCs/>
          <w:lang w:eastAsia="es-ES"/>
        </w:rPr>
        <w:t>, "cuando el trabajador deje de asistir al trabajo sin permiso del patrono, sin causa justificada durante dos días consecutivos o durante más de dos días alternos dentro del mismo mes calendario".</w:t>
      </w:r>
      <w:r w:rsidRPr="00D66245">
        <w:rPr>
          <w:rFonts w:ascii="Palatino Linotype" w:eastAsia="Times New Roman" w:hAnsi="Palatino Linotype" w:cs="Arial"/>
          <w:i/>
          <w:lang w:eastAsia="es-ES"/>
        </w:rPr>
        <w:t> Por su parte, el mandato 82 ibídem dispone</w:t>
      </w:r>
      <w:r w:rsidRPr="00D66245">
        <w:rPr>
          <w:rFonts w:ascii="Palatino Linotype" w:eastAsia="Times New Roman" w:hAnsi="Palatino Linotype" w:cs="Arial"/>
          <w:i/>
          <w:iCs/>
          <w:lang w:eastAsia="es-ES"/>
        </w:rPr>
        <w:t>, "el patrono que despida a un trabajador por alguna o algunas de las causas enumeradas en el artículo anterior no incurrirá en responsabilidad".</w:t>
      </w:r>
      <w:r w:rsidRPr="00D66245">
        <w:rPr>
          <w:rFonts w:ascii="Palatino Linotype" w:eastAsia="Times New Roman" w:hAnsi="Palatino Linotype" w:cs="Arial"/>
          <w:i/>
          <w:lang w:eastAsia="es-ES"/>
        </w:rPr>
        <w:t> Expuesto lo anterior, cabe mencionar que en el caso subexámine, está claro que las ausencias de la actora nunca pudieron justificar la decisión patronal de prescindir de sus servicios. El cargo que ostentaba la demandante dentro del sindicato le concedía un fuero especial que la empresa accionada debía respetar, y por esta razón, al no acreditar una causa justa de despido, su cese deviene en violatorio del fuero sindical y por ende discriminatorio. Lo anterior denota la mala fe del empleador y el ánimo discriminatorio en su actuación, quien abusando de su potestad de libre despido, intentó eludir la prohibición contenida en los artículos 367 y 368 del Código de Trabajo, incurriendo en una conducta violatoria del fuero sindical, lo que esta Sala no puede tutelar. Del documento visible en imagen 11 del escrito incorporado el día 6 de setiembre del 2017, se colige que el cese de la actora fue discriminatorio, pues consideró una falta grave el no acatar las directrices giradas respecto a la justificación de ausencias, lo que en palabras de la empresa demandada, constituyó </w:t>
      </w:r>
      <w:r w:rsidRPr="00D66245">
        <w:rPr>
          <w:rFonts w:ascii="Palatino Linotype" w:eastAsia="Times New Roman" w:hAnsi="Palatino Linotype" w:cs="Arial"/>
          <w:i/>
          <w:iCs/>
          <w:lang w:eastAsia="es-ES"/>
        </w:rPr>
        <w:t>“falta de interés y pérdida de confianza".</w:t>
      </w:r>
      <w:r w:rsidRPr="00D66245">
        <w:rPr>
          <w:rFonts w:ascii="Palatino Linotype" w:eastAsia="Times New Roman" w:hAnsi="Palatino Linotype" w:cs="Arial"/>
          <w:i/>
          <w:lang w:eastAsia="es-ES"/>
        </w:rPr>
        <w:t>Por ende, el despido es nulo, y en consecuencia, se debe ordenar la reinstalación definitiva de la petente y el pago de los salarios caídos desde el despido hasta la restitución,</w:t>
      </w:r>
    </w:p>
    <w:p w14:paraId="124B4531" w14:textId="77777777" w:rsidR="00205E29" w:rsidRPr="00D66245" w:rsidRDefault="00205E29"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VIII.- DECISIÓN DEL CASO: </w:t>
      </w:r>
      <w:r w:rsidRPr="00D66245">
        <w:rPr>
          <w:rFonts w:ascii="Palatino Linotype" w:eastAsia="Times New Roman" w:hAnsi="Palatino Linotype" w:cs="Arial"/>
          <w:i/>
          <w:lang w:eastAsia="es-ES"/>
        </w:rPr>
        <w:t>La demandante pretende que se declare la nulidad del despido, lo que resulta procedente con sustento en lo regulado en los artículos 363 y 368 del Código de Trabajo (vigente antes de la Reforma Procesal Laboral). Consecuentemente, debe ordenarse la reinstalación definitiva en su puesto de trabajo, con el pleno goce de sus derechos y el pago de salarios caídos, los cuales se determinarán en la etapa de ejecución de sentencia, toda vez que no existe claridad sobre la fecha en que efectivamente fue reinstalada cautelarmente la actora. Sobre este particular, el Juzgado ordenó su reinstalación provisional como medida precautoria mediante resolución de las catorce horas quince minutos del seis de setiembre del dos mil diecisiete; no obstante, no se infiere de la prueba que consta en autos, la fecha efectiva de la reincorporación, ya que según manifiesta la accionante, se presentó a trabajar el día 29 de setiembre del 2017, pero fue devuelta el día siguiente; versión que contradice el patrono, alegando que solicitó vacaciones. Los salarios que se reconocen como caídos son aquellos que debió haber percibido durante todo el período en que estuvo cesante efectivamente. Adicionalmente, no existe información suficiente que permita establecer cual era el salario de la actora. El Estudio de Salarios de la Caja Costarricense del Seguro Social, aportado por la petente solo refleja los salarios percibidos, sin que detalle si corresponde a una jornada ordinaria, o bien, si incluye jornada extraordinaria o pagos adicionales.</w:t>
      </w:r>
    </w:p>
    <w:p w14:paraId="6CAA1E4C" w14:textId="77777777" w:rsidR="00205E29" w:rsidRPr="00D66245" w:rsidRDefault="00205E29"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IX.- INDEXACIÓN E INTERESES. </w:t>
      </w:r>
      <w:r w:rsidRPr="00D66245">
        <w:rPr>
          <w:rFonts w:ascii="Palatino Linotype" w:eastAsia="Times New Roman" w:hAnsi="Palatino Linotype" w:cs="Arial"/>
          <w:i/>
          <w:lang w:eastAsia="es-ES"/>
        </w:rPr>
        <w:t>La demandante pretende intereses y que el importe de lo adeudado se indexe. Al respecto cabe indicar que el artículo 706 del Código Civil establece: </w:t>
      </w:r>
      <w:r w:rsidRPr="00D66245">
        <w:rPr>
          <w:rFonts w:ascii="Palatino Linotype" w:eastAsia="Times New Roman" w:hAnsi="Palatino Linotype" w:cs="Arial"/>
          <w:i/>
          <w:iCs/>
          <w:lang w:eastAsia="es-ES"/>
        </w:rPr>
        <w:t>“Si la obligación es de pagar una suma de dinero, los daños y perjuicios consisten siempre y únicamente en el pago de intereses sobre la suma debida, contados desde el vencimiento del plazo”.</w:t>
      </w:r>
      <w:r w:rsidRPr="00D66245">
        <w:rPr>
          <w:rFonts w:ascii="Palatino Linotype" w:eastAsia="Times New Roman" w:hAnsi="Palatino Linotype" w:cs="Arial"/>
          <w:i/>
          <w:lang w:eastAsia="es-ES"/>
        </w:rPr>
        <w:t> Resulta claro que al tenor de esa norma, los intereses corresponden al resarcimiento ocasionado por la falta de cumplimiento de una obligación en dinero y la consiguiente imposibilidad de disponer del capital. Es decir, los intereses compensan el costo de oportunidad, por no haberse podido disponer del dinero en forma oportuna. Eso significa que el demandado adeuda las rentas que se hubieran producido en esos períodos sobre los extremos otorgados. Por consiguiente, a la luz de lo regulado en el artículo 706 del Código Civil, procede reconocer el pago de los intereses legales sobre los salarios caídos, a partir del momento en que cada suma se hizo exigible con posterioridad al despido. Por su parte, la indexación ataca el problema inflacionario que se produce con el tiempo y que causa la depreciación y pérdida de rendimiento de la moneda, reduciendo el contenido de la obligación principal. En otras palabras, la indexación se prevé para compensar la pérdida del valor del dinero ocurrida por el transcurso del tiempo en relación con la inflación y, como se apuntó, los intereses compensan el costo de oportunidad, por no haberse podido disponer del dinero en forma oportuna; cabe agregar que la indexación únicamente procederá sobre obligaciones en dinero puras o de valor debidamente liquidadas. Así, la indexación lo que permite es actualizar los montos concedidos a valor presente </w:t>
      </w:r>
      <w:r w:rsidRPr="00D66245">
        <w:rPr>
          <w:rFonts w:ascii="Palatino Linotype" w:eastAsia="Times New Roman" w:hAnsi="Palatino Linotype" w:cs="Arial"/>
          <w:i/>
          <w:iCs/>
          <w:lang w:eastAsia="es-ES"/>
        </w:rPr>
        <w:t>“en el mismo porcentaje en que haya variado el índice de precios para los consumidores para el área metropolitana”</w:t>
      </w:r>
      <w:r w:rsidRPr="00D66245">
        <w:rPr>
          <w:rFonts w:ascii="Palatino Linotype" w:eastAsia="Times New Roman" w:hAnsi="Palatino Linotype" w:cs="Arial"/>
          <w:i/>
          <w:lang w:eastAsia="es-ES"/>
        </w:rPr>
        <w:t>, de manera que los montos adeudados por concepto de salarios caídos también deben ser indexados. Sin embargo, cabe hacer la aclaración que los intereses legales a reconocer se conceden sobre los montos sin indexar.</w:t>
      </w:r>
    </w:p>
    <w:p w14:paraId="55593DF9" w14:textId="77777777" w:rsidR="00205E29" w:rsidRPr="00D66245" w:rsidRDefault="00205E29"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X.- DAÑO MORAL:</w:t>
      </w:r>
      <w:r w:rsidRPr="00D66245">
        <w:rPr>
          <w:rFonts w:ascii="Palatino Linotype" w:eastAsia="Times New Roman" w:hAnsi="Palatino Linotype" w:cs="Arial"/>
          <w:i/>
          <w:lang w:eastAsia="es-ES"/>
        </w:rPr>
        <w:t> La parte actora solicitó el pago de daño moral, por </w:t>
      </w:r>
      <w:r w:rsidRPr="00D66245">
        <w:rPr>
          <w:rFonts w:ascii="Palatino Linotype" w:eastAsia="Times New Roman" w:hAnsi="Palatino Linotype" w:cs="Arial"/>
          <w:i/>
          <w:iCs/>
          <w:lang w:eastAsia="es-ES"/>
        </w:rPr>
        <w:t>"... cercenar el derecho al ejercicio de la representación sindical y a las demás personas que ejercía la presidencia de la seccional sindical, el daño consiste en la falta de sueño, dificultad para concentrarme, sentimiento de culpa y se cuantifica en la suma de tres millones de colones." </w:t>
      </w:r>
      <w:r w:rsidRPr="00D66245">
        <w:rPr>
          <w:rFonts w:ascii="Palatino Linotype" w:eastAsia="Times New Roman" w:hAnsi="Palatino Linotype" w:cs="Arial"/>
          <w:i/>
          <w:lang w:eastAsia="es-ES"/>
        </w:rPr>
        <w:t>(sic). En el voto de esta Sala n.° 481-2004 se expuso: </w:t>
      </w:r>
      <w:r w:rsidRPr="00D66245">
        <w:rPr>
          <w:rFonts w:ascii="Palatino Linotype" w:eastAsia="Times New Roman" w:hAnsi="Palatino Linotype" w:cs="Arial"/>
          <w:i/>
          <w:iCs/>
          <w:lang w:eastAsia="es-ES"/>
        </w:rPr>
        <w:t>“Que el precitado numeral 41 de nuestra Carta Política establece en su primera parte: “Ocurriendo a las leyes, todos han de encontrar reparación para las injurias o daños que hayan recibido en su persona, propiedad o intereses morales”, </w:t>
      </w:r>
      <w:r w:rsidRPr="00D66245">
        <w:rPr>
          <w:rFonts w:ascii="Palatino Linotype" w:eastAsia="Times New Roman" w:hAnsi="Palatino Linotype" w:cs="Arial"/>
          <w:i/>
          <w:lang w:eastAsia="es-ES"/>
        </w:rPr>
        <w:t>lo que denota que la reparación no se agota en las injurias o daños de naturaleza patrimonial (artículos 28, 29, 31 y 82 del Código de Trabajo), sino que trasciende a las alteraciones o menoscabos que afecten intereses morales. La terminación de la relación laboral por decisión unilateral del patrono, violentando un derecho constitucionalmente consagrado como aquel que protege a los dirigentes sindicales en el ejercicio de sus funciones, es incompatible con el derecho fundamental a la estabilidad en el empleo y su permanencia en él. Cuando el patrono, sin causa justificada, decide poner término a la relación obrero patronal, la indemnización tarifada compensa los menoscabos que representa la pérdida del empleo y consecuente transgresión de aquel derecho. Pero la indemnización por daño moral, se funda en la violación de derechos o bienes de naturaleza extra patrimonial, a causa de los motivos que determinaron el despido o por la forma en que éste se produjo. La nota característica de la indemnización, más que en la responsabilidad económica del patrono, está en la reparación del daño causado por actos que extralimitan el poder sancionador. Todo daño debe ser reparado. La atención se desplaza desde la óptica del patrono hacia la del ex trabajador, a quienes las normas, valores y principios del Derecho Laboral tienden a proteger desde siempre, y especialmente tratándose de una trabajadora protegida por el fuero sindical. Y si ese es el espíritu y finalidad de las normas que sancionan el daño, con mayor razón debe ser la fuerza motriz que oriente la labor del intérprete (artículo 10 del Código Civil, y Plá Rodríguez. “LOS PRINCIPIOS DEL DERECHO DEL TRABAJO”, 2º edición, Depalma, 1978, páginas 25 y 26). De manera que si el despido origina lesiones morales, estas también deben ser reparadas en la jurisdicción laboral (…). Que en materia de reparación de daño moral, se distingue entre daño moral objetivo y daño moral subjetivo o puro. El daño moral subjetivo o puro, es indemnizable, como también los quebrantos o menoscabos causados por necesaria consecuencia o conexión, en una relación de causalidad inmediata y directa, sin intervención de terceros, fuerza mayor o culpa de la víctima. La jurisprudencia de la Sala I de esta Corte, distingue entre daño moral subjetivo y daño moral objetivo. El primero se produce por la lesión de un bien no patrimonial, sin repercusión en éste, suponiendo generalmente una perturbación injusta de las condiciones anímicas de la persona, como disgustos, desánimo, desesperación, agravio contra el honor, dignidad, intimidad. El segundo -objetivo- se refiere a las ofensas al buen nombre, la reputación, prestigio (Cfr. Sala 1 de la Corte Suprema de Justicia, sentencias N° 112-92, considerando VIII; N° 65-93, y N° 131-F-98 de 14.10 horas de 18 de diciembre). Para dejar indemne el patrimonio dañado, la indemnización debe cubrir ambos tipos de quebrantos (…). Que en el precitado voto N° 117 de las 11.00 horas del 24 de mayo de 1994, esta Sala sostuvo que el daño moral procede si las circunstancias en que se da el despido son especialmente calificadas (Cfr. Considerandos X y XI)”. En el caso concreto se presentan las circunstancias especialmente calificadas que la jurisprudencia ha exigido para la procedencia del daño moral en sede laboral, pues el patrono abusó de su potestad de libre despido para discriminar a una trabajadora protegida por el fuero sindical, lo que sin duda le causó a esta un sufrimiento mayor al que genera un simple despido en condiciones normales, ante la angustia de ser cesada por ejercer un derecho que la ampara y no haberse acreditado en su contra una causa justa para despedirla. Por consiguiente, la Sala estima que en el</w:t>
      </w:r>
      <w:r w:rsidRPr="00D66245">
        <w:rPr>
          <w:rFonts w:ascii="Palatino Linotype" w:eastAsia="Times New Roman" w:hAnsi="Palatino Linotype" w:cs="Arial"/>
          <w:i/>
          <w:iCs/>
          <w:lang w:eastAsia="es-ES"/>
        </w:rPr>
        <w:t> sublitem</w:t>
      </w:r>
      <w:r w:rsidRPr="00D66245">
        <w:rPr>
          <w:rFonts w:ascii="Palatino Linotype" w:eastAsia="Times New Roman" w:hAnsi="Palatino Linotype" w:cs="Arial"/>
          <w:i/>
          <w:lang w:eastAsia="es-ES"/>
        </w:rPr>
        <w:t> se ha de indemnizar el daño moral, determinándose el mismo en </w:t>
      </w:r>
      <w:r w:rsidRPr="00D66245">
        <w:rPr>
          <w:rFonts w:ascii="Palatino Linotype" w:eastAsia="Times New Roman" w:hAnsi="Palatino Linotype" w:cs="Arial"/>
          <w:b/>
          <w:bCs/>
          <w:i/>
          <w:lang w:eastAsia="es-ES"/>
        </w:rPr>
        <w:t>un millón de colones.</w:t>
      </w:r>
    </w:p>
    <w:p w14:paraId="5BAB56BE" w14:textId="43383428" w:rsidR="00205E29" w:rsidRPr="00D66245" w:rsidRDefault="00205E29"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XI.- DAÑOS Y PERJUICIOS:</w:t>
      </w:r>
      <w:r w:rsidRPr="00D66245">
        <w:rPr>
          <w:rFonts w:ascii="Palatino Linotype" w:eastAsia="Times New Roman" w:hAnsi="Palatino Linotype" w:cs="Arial"/>
          <w:i/>
          <w:lang w:eastAsia="es-ES"/>
        </w:rPr>
        <w:t> Este rubro no se puede otorgar, pues la demandante omitió señalar en qué consistían. Nótese que no se está en el supuesto del numeral 82 del Código de Trabajo, ya que a la actora en ningún momento se le imputó una falta grave, aparte de que la trabajadora solicitó la reinstalación en su puesto.</w:t>
      </w:r>
      <w:r w:rsidR="00B954BF" w:rsidRPr="00D66245">
        <w:rPr>
          <w:rFonts w:ascii="Palatino Linotype" w:eastAsia="Times New Roman" w:hAnsi="Palatino Linotype" w:cs="Arial"/>
          <w:i/>
          <w:lang w:eastAsia="es-ES"/>
        </w:rPr>
        <w:t>”</w:t>
      </w:r>
    </w:p>
    <w:p w14:paraId="3E331684" w14:textId="77777777" w:rsidR="00BF40B0" w:rsidRPr="00D66245" w:rsidRDefault="00BF40B0"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2018-000491</w:t>
      </w:r>
    </w:p>
    <w:p w14:paraId="48F3A569" w14:textId="77777777" w:rsidR="00BF40B0" w:rsidRPr="00D66245" w:rsidRDefault="00BF40B0" w:rsidP="00B070CF">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doce horas treinta minutos del nueve de marzo de dos mil dieciocho.</w:t>
      </w:r>
    </w:p>
    <w:p w14:paraId="461D96B8" w14:textId="77777777" w:rsidR="00BF40B0" w:rsidRPr="00D66245" w:rsidRDefault="00B954BF"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w:t>
      </w:r>
      <w:r w:rsidR="00BF40B0" w:rsidRPr="00D66245">
        <w:rPr>
          <w:rFonts w:ascii="Palatino Linotype" w:eastAsia="Times New Roman" w:hAnsi="Palatino Linotype" w:cs="Arial"/>
          <w:b/>
          <w:bCs/>
          <w:i/>
          <w:lang w:eastAsia="es-ES"/>
        </w:rPr>
        <w:t>IV.- SOBRE EL FUERO DE PROTECCIÓN: </w:t>
      </w:r>
      <w:r w:rsidR="00BF40B0" w:rsidRPr="00D66245">
        <w:rPr>
          <w:rFonts w:ascii="Palatino Linotype" w:eastAsia="Times New Roman" w:hAnsi="Palatino Linotype" w:cs="Arial"/>
          <w:i/>
          <w:lang w:eastAsia="es-ES"/>
        </w:rPr>
        <w:t>El canon 404 del </w:t>
      </w:r>
      <w:r w:rsidR="00BF40B0" w:rsidRPr="00D66245">
        <w:rPr>
          <w:rFonts w:ascii="Palatino Linotype" w:eastAsia="Times New Roman" w:hAnsi="Palatino Linotype" w:cs="Arial"/>
          <w:i/>
          <w:iCs/>
          <w:lang w:eastAsia="es-ES"/>
        </w:rPr>
        <w:t>Código de Trabajo </w:t>
      </w:r>
      <w:r w:rsidR="00BF40B0" w:rsidRPr="00D66245">
        <w:rPr>
          <w:rFonts w:ascii="Palatino Linotype" w:eastAsia="Times New Roman" w:hAnsi="Palatino Linotype" w:cs="Arial"/>
          <w:i/>
          <w:lang w:eastAsia="es-ES"/>
        </w:rPr>
        <w:t>prohíbe toda discriminación en el trabajo por “…</w:t>
      </w:r>
      <w:r w:rsidR="00BF40B0" w:rsidRPr="00D66245">
        <w:rPr>
          <w:rFonts w:ascii="Palatino Linotype" w:eastAsia="Times New Roman" w:hAnsi="Palatino Linotype" w:cs="Arial"/>
          <w:i/>
          <w:iCs/>
          <w:lang w:eastAsia="es-ES"/>
        </w:rPr>
        <w:t>razones de edad, etnia, sexo, religión, raza, orientación sexual, estado civil, opinión política, ascendencia nacional, origen social, filiación, discapacidad, afiliación sindical, situación económica o cualquier otra forma análoga de discriminación</w:t>
      </w:r>
      <w:r w:rsidR="00BF40B0" w:rsidRPr="00D66245">
        <w:rPr>
          <w:rFonts w:ascii="Palatino Linotype" w:eastAsia="Times New Roman" w:hAnsi="Palatino Linotype" w:cs="Arial"/>
          <w:i/>
          <w:lang w:eastAsia="es-ES"/>
        </w:rPr>
        <w:t>”</w:t>
      </w:r>
      <w:r w:rsidR="00BF40B0" w:rsidRPr="00D66245">
        <w:rPr>
          <w:rFonts w:ascii="Palatino Linotype" w:eastAsia="Times New Roman" w:hAnsi="Palatino Linotype" w:cs="Arial"/>
          <w:i/>
          <w:iCs/>
          <w:lang w:eastAsia="es-ES"/>
        </w:rPr>
        <w:t>. </w:t>
      </w:r>
      <w:r w:rsidR="00BF40B0" w:rsidRPr="00D66245">
        <w:rPr>
          <w:rFonts w:ascii="Palatino Linotype" w:eastAsia="Times New Roman" w:hAnsi="Palatino Linotype" w:cs="Arial"/>
          <w:i/>
          <w:lang w:eastAsia="es-ES"/>
        </w:rPr>
        <w:t>En el artículo 406 siguiente se prohíben los despidos por cualquier causa discriminatoria. La sanción prevista por el quebranto de tal prohibición es la nulidad del acto del despido, con la consecuente reinstalación de la persona trabajadora en su puesto de trabajo, con el pleno goce de sus derechos y las consecuencias previstas para la sentencia de reinstalación (artículos 410 y 566 </w:t>
      </w:r>
      <w:r w:rsidR="00BF40B0" w:rsidRPr="00D66245">
        <w:rPr>
          <w:rFonts w:ascii="Palatino Linotype" w:eastAsia="Times New Roman" w:hAnsi="Palatino Linotype" w:cs="Arial"/>
          <w:i/>
          <w:iCs/>
          <w:lang w:eastAsia="es-ES"/>
        </w:rPr>
        <w:t>ídem</w:t>
      </w:r>
      <w:r w:rsidR="00BF40B0" w:rsidRPr="00D66245">
        <w:rPr>
          <w:rFonts w:ascii="Palatino Linotype" w:eastAsia="Times New Roman" w:hAnsi="Palatino Linotype" w:cs="Arial"/>
          <w:i/>
          <w:lang w:eastAsia="es-ES"/>
        </w:rPr>
        <w:t>). El numeral 409 del </w:t>
      </w:r>
      <w:r w:rsidR="00BF40B0" w:rsidRPr="00D66245">
        <w:rPr>
          <w:rFonts w:ascii="Palatino Linotype" w:eastAsia="Times New Roman" w:hAnsi="Palatino Linotype" w:cs="Arial"/>
          <w:i/>
          <w:iCs/>
          <w:lang w:eastAsia="es-ES"/>
        </w:rPr>
        <w:t>Código de Trabajo </w:t>
      </w:r>
      <w:r w:rsidR="00BF40B0" w:rsidRPr="00D66245">
        <w:rPr>
          <w:rFonts w:ascii="Palatino Linotype" w:eastAsia="Times New Roman" w:hAnsi="Palatino Linotype" w:cs="Arial"/>
          <w:i/>
          <w:lang w:eastAsia="es-ES"/>
        </w:rPr>
        <w:t>estipula que “…</w:t>
      </w:r>
      <w:r w:rsidR="00BF40B0" w:rsidRPr="00D66245">
        <w:rPr>
          <w:rFonts w:ascii="Palatino Linotype" w:eastAsia="Times New Roman" w:hAnsi="Palatino Linotype" w:cs="Arial"/>
          <w:i/>
          <w:iCs/>
          <w:lang w:eastAsia="es-ES"/>
        </w:rPr>
        <w:t>quien alegue la discriminación deberá señalar específicamente el sustento fáctico en el que funda su alegato y los términos de comparación que substancie su afirmación”. </w:t>
      </w:r>
      <w:r w:rsidR="00BF40B0" w:rsidRPr="00D66245">
        <w:rPr>
          <w:rFonts w:ascii="Palatino Linotype" w:eastAsia="Times New Roman" w:hAnsi="Palatino Linotype" w:cs="Arial"/>
          <w:i/>
          <w:lang w:eastAsia="es-ES"/>
        </w:rPr>
        <w:t>En la demanda, el accionante sostuvo que fue despedido el mismo día en que completó y entregó la boleta de afiliación a la organización gremial, a pesar de que había laborado varios años para la empresa accionada y cuando se estaba en el período de mayor producción. Al contestar, la representación de la sociedad empleadora manifestó que cuando se dispuso el despido no se tenía conocimiento de la afiliación del accionante al sindicato. Además, adujo que al trabajador no lo asistía ningún fuero de protección, pues este estaba previsto solamente para las personas trabajadoras reguladas en el numeral 367 del </w:t>
      </w:r>
      <w:r w:rsidR="00BF40B0" w:rsidRPr="00D66245">
        <w:rPr>
          <w:rFonts w:ascii="Palatino Linotype" w:eastAsia="Times New Roman" w:hAnsi="Palatino Linotype" w:cs="Arial"/>
          <w:i/>
          <w:iCs/>
          <w:lang w:eastAsia="es-ES"/>
        </w:rPr>
        <w:t>Código de Trabajo </w:t>
      </w:r>
      <w:r w:rsidR="00BF40B0" w:rsidRPr="00D66245">
        <w:rPr>
          <w:rFonts w:ascii="Palatino Linotype" w:eastAsia="Times New Roman" w:hAnsi="Palatino Linotype" w:cs="Arial"/>
          <w:i/>
          <w:lang w:eastAsia="es-ES"/>
        </w:rPr>
        <w:t>y que la destitución se había acordado por las constantes quejas de sus jefes por incumplimientos reiterados a sus obligaciones como operador de montacargas, insultos y cobro de horas no trabajadas, faltas todas de naturaleza grave, excluyentes de la discriminación acusada. La defensa basada en que el fuero de protección solo cubre a las personas trabajadoras contempladas en el numeral 367 del</w:t>
      </w:r>
      <w:r w:rsidR="00BF40B0" w:rsidRPr="00D66245">
        <w:rPr>
          <w:rFonts w:ascii="Palatino Linotype" w:eastAsia="Times New Roman" w:hAnsi="Palatino Linotype" w:cs="Arial"/>
          <w:i/>
          <w:iCs/>
          <w:lang w:eastAsia="es-ES"/>
        </w:rPr>
        <w:t>Código de Trabajo</w:t>
      </w:r>
      <w:r w:rsidR="00BF40B0" w:rsidRPr="00D66245">
        <w:rPr>
          <w:rFonts w:ascii="Palatino Linotype" w:eastAsia="Times New Roman" w:hAnsi="Palatino Linotype" w:cs="Arial"/>
          <w:i/>
          <w:lang w:eastAsia="es-ES"/>
        </w:rPr>
        <w:t> carece de cualquier sustento jurídico. El artículo 363 </w:t>
      </w:r>
      <w:r w:rsidR="00BF40B0" w:rsidRPr="00D66245">
        <w:rPr>
          <w:rFonts w:ascii="Palatino Linotype" w:eastAsia="Times New Roman" w:hAnsi="Palatino Linotype" w:cs="Arial"/>
          <w:i/>
          <w:iCs/>
          <w:lang w:eastAsia="es-ES"/>
        </w:rPr>
        <w:t>ídem</w:t>
      </w:r>
      <w:r w:rsidR="00BF40B0" w:rsidRPr="00D66245">
        <w:rPr>
          <w:rFonts w:ascii="Palatino Linotype" w:eastAsia="Times New Roman" w:hAnsi="Palatino Linotype" w:cs="Arial"/>
          <w:i/>
          <w:lang w:eastAsia="es-ES"/>
        </w:rPr>
        <w:t>, en forma clara, señala: “</w:t>
      </w:r>
      <w:r w:rsidR="00BF40B0" w:rsidRPr="00D66245">
        <w:rPr>
          <w:rFonts w:ascii="Palatino Linotype" w:eastAsia="Times New Roman" w:hAnsi="Palatino Linotype" w:cs="Arial"/>
          <w:i/>
          <w:iCs/>
          <w:lang w:eastAsia="es-ES"/>
        </w:rPr>
        <w:t>Prohíbense las acciones u omisiones que tiendan a evitar, limitar, constreñir o impedir el libre ejercicio de los derechos colectivos de los trabajadores, sus sindicatos o las coaliciones de trabajadores./</w:t>
      </w:r>
      <w:r w:rsidR="000556D4" w:rsidRPr="00D66245">
        <w:rPr>
          <w:rFonts w:ascii="Palatino Linotype" w:eastAsia="Times New Roman" w:hAnsi="Palatino Linotype" w:cs="Arial"/>
          <w:i/>
          <w:iCs/>
          <w:lang w:eastAsia="es-ES"/>
        </w:rPr>
        <w:t xml:space="preserve"> </w:t>
      </w:r>
      <w:r w:rsidR="00BF40B0" w:rsidRPr="00D66245">
        <w:rPr>
          <w:rFonts w:ascii="Palatino Linotype" w:eastAsia="Times New Roman" w:hAnsi="Palatino Linotype" w:cs="Arial"/>
          <w:b/>
          <w:bCs/>
          <w:i/>
          <w:iCs/>
          <w:lang w:eastAsia="es-ES"/>
        </w:rPr>
        <w:t>Cualquier acto que de ellas se originees absolutamente nulo e ineficaz </w:t>
      </w:r>
      <w:r w:rsidR="00BF40B0" w:rsidRPr="00D66245">
        <w:rPr>
          <w:rFonts w:ascii="Palatino Linotype" w:eastAsia="Times New Roman" w:hAnsi="Palatino Linotype" w:cs="Arial"/>
          <w:i/>
          <w:iCs/>
          <w:lang w:eastAsia="es-ES"/>
        </w:rPr>
        <w:t>y se sancionará, en la forma y en las condiciones señaladas en el Código de Trabajo, sus leyes supletorias o conexas para la infracción de disposiciones prohibitivas”. </w:t>
      </w:r>
      <w:r w:rsidR="00BF40B0" w:rsidRPr="00D66245">
        <w:rPr>
          <w:rFonts w:ascii="Palatino Linotype" w:eastAsia="Times New Roman" w:hAnsi="Palatino Linotype" w:cs="Arial"/>
          <w:i/>
          <w:lang w:eastAsia="es-ES"/>
        </w:rPr>
        <w:t>(El destacado se agregó). Además, desde 1993, la Sala Constitucional dejó claramente establecido que la tutela ampara a cualquier persona trabajadora, cuando la medida adoptada por quien emplea resulte discriminatoria y transgresora del ejercicio de un derecho fundamental. Así, en el voto 5000, de las 10:09 horas del 8 de octubre del año citado, se indicó: “</w:t>
      </w:r>
      <w:r w:rsidR="00BF40B0" w:rsidRPr="00D66245">
        <w:rPr>
          <w:rFonts w:ascii="Palatino Linotype" w:eastAsia="Times New Roman" w:hAnsi="Palatino Linotype" w:cs="Arial"/>
          <w:i/>
          <w:iCs/>
          <w:lang w:eastAsia="es-ES"/>
        </w:rPr>
        <w:t>De acuerdo con todo lo expuesto, es evidente que el despido recaído en los representantes de los trabajadores, sindicales o no, es legalmente improcedente (aunque los patronos paguen las prestaciones sociales), pues viola el fuero especial de representación garantizado por la Constitución Política, los convenios internacionales y las leyes, en perjuicio personal de los representantes y de los trabajadores cuya representación ostentan y a quienes por el hecho mismo del despido también se les viola su derecho fundamental de asociación al verse privados de sus líderes y por ende de la adecuada y legítima defensa de sus intereses personales y gremiales. /Aunque hasta el momento se ha venido considerando la situación de los representantes de los trabajadores, sindicalizados o no, cabe decir que </w:t>
      </w:r>
      <w:r w:rsidR="00BF40B0" w:rsidRPr="00D66245">
        <w:rPr>
          <w:rFonts w:ascii="Palatino Linotype" w:eastAsia="Times New Roman" w:hAnsi="Palatino Linotype" w:cs="Arial"/>
          <w:b/>
          <w:bCs/>
          <w:i/>
          <w:iCs/>
          <w:lang w:eastAsia="es-ES"/>
        </w:rPr>
        <w:t>con igual sustento normativo y con igual criterio debe resolverse el despido de los simples trabajadores cuando la causal, expresa o tácita, sea su pertenencia a una asociación o sindicato, porque ello también viola sus derechos fundamentales, vale decir que la vinculación a dichas organizaciones, como simples afiliados, pone en juego valores superiores de convivencia y armonía social y laboral frente a los cuales el resarcimiento económico, representado por el pago de las prestaciones sociales, carece de validez legal, ello porque la voluntad patronal queda constitucional y legalmente inhibida o limitada desde la perspectiva general de los derechos humanos de los trabajadores y desde la perspectiva específica del derecho laboral</w:t>
      </w:r>
      <w:r w:rsidR="00BF40B0" w:rsidRPr="00D66245">
        <w:rPr>
          <w:rFonts w:ascii="Palatino Linotype" w:eastAsia="Times New Roman" w:hAnsi="Palatino Linotype" w:cs="Arial"/>
          <w:i/>
          <w:iCs/>
          <w:lang w:eastAsia="es-ES"/>
        </w:rPr>
        <w:t>, que tutela el interés público general”. </w:t>
      </w:r>
      <w:r w:rsidR="00BF40B0" w:rsidRPr="00D66245">
        <w:rPr>
          <w:rFonts w:ascii="Palatino Linotype" w:eastAsia="Times New Roman" w:hAnsi="Palatino Linotype" w:cs="Arial"/>
          <w:i/>
          <w:lang w:eastAsia="es-ES"/>
        </w:rPr>
        <w:t>(La negrita se agregó). Así, de conformidad con las disposiciones trascritas, esas prácticas discriminatorias pueden igualmente ser alegadas dentro de este tipo de proceso, previsto como una vía expedita tendente a minimizar los efectos del acto discriminatorio. En este caso, el actor alega haber sido despedido por haberse afiliado a la agrupación sindical el mismo día en que se produjo la afiliación, lo que le faculta a acudir a esta vía.</w:t>
      </w:r>
    </w:p>
    <w:p w14:paraId="782BE80F" w14:textId="77777777" w:rsidR="00BF40B0" w:rsidRPr="00D66245" w:rsidRDefault="00BF40B0"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V.- LEGALIDAD DEL DESPIDO:</w:t>
      </w:r>
      <w:r w:rsidRPr="00D66245">
        <w:rPr>
          <w:rFonts w:ascii="Palatino Linotype" w:eastAsia="Times New Roman" w:hAnsi="Palatino Linotype" w:cs="Arial"/>
          <w:i/>
          <w:lang w:eastAsia="es-ES"/>
        </w:rPr>
        <w:t> Es un hecho no controvertido que, cuando el actor fue despedido, el 6 de septiembre de 2017, se le entregó una carta de despido. En ella se indicó que la finalización del contrato se hacía con responsabilidad patronal, señalando como causa la voluntad del patrono, según el inciso d) del artículo 85 del Código de Trabajo. En este proceso, el actor acusa que el despido se dio en razón de su afiliación a la organización sindical. En el voto de esta Sala número 899-17, de las 9:20 horas del 30 de junio de 2017, se dijo: “</w:t>
      </w:r>
      <w:r w:rsidRPr="00D66245">
        <w:rPr>
          <w:rFonts w:ascii="Palatino Linotype" w:eastAsia="Times New Roman" w:hAnsi="Palatino Linotype" w:cs="Arial"/>
          <w:i/>
          <w:iCs/>
          <w:lang w:eastAsia="es-ES"/>
        </w:rPr>
        <w:t>Por otro lado, en relación con la discriminación alegada por el trabajador, debe señalarse que, contrario a lo expuesto por el recurrente, esta Sala ha sostenido la tesis de que </w:t>
      </w:r>
      <w:r w:rsidRPr="00D66245">
        <w:rPr>
          <w:rFonts w:ascii="Palatino Linotype" w:eastAsia="Times New Roman" w:hAnsi="Palatino Linotype" w:cs="Arial"/>
          <w:b/>
          <w:bCs/>
          <w:i/>
          <w:iCs/>
          <w:lang w:eastAsia="es-ES"/>
        </w:rPr>
        <w:t>cuando la persona trabajadora alegue un motivo discriminatorio en la causa de despido y, además, presente indicios que permitan presumir que ese ha sido el motivo, corresponderá al empleador desvirtuar este hecho</w:t>
      </w:r>
      <w:r w:rsidRPr="00D66245">
        <w:rPr>
          <w:rFonts w:ascii="Palatino Linotype" w:eastAsia="Times New Roman" w:hAnsi="Palatino Linotype" w:cs="Arial"/>
          <w:i/>
          <w:iCs/>
          <w:lang w:eastAsia="es-ES"/>
        </w:rPr>
        <w:t>. Al respecto, en la sentencia n.° 1229, de las 11:20 horas del 2 de diciembre de 2009, se resolvió: “[…] En otras ocasiones, en las que representantes sindicales reclaman la nulidad de un despido por violación a la libertad sindical, la Sala ha establecido que razonablemente </w:t>
      </w:r>
      <w:r w:rsidRPr="00D66245">
        <w:rPr>
          <w:rFonts w:ascii="Palatino Linotype" w:eastAsia="Times New Roman" w:hAnsi="Palatino Linotype" w:cs="Arial"/>
          <w:b/>
          <w:bCs/>
          <w:i/>
          <w:iCs/>
          <w:lang w:eastAsia="es-ES"/>
        </w:rPr>
        <w:t>debe partirse de la presunción de verdad de la afirmación de persecución sindical</w:t>
      </w:r>
      <w:r w:rsidRPr="00D66245">
        <w:rPr>
          <w:rFonts w:ascii="Palatino Linotype" w:eastAsia="Times New Roman" w:hAnsi="Palatino Linotype" w:cs="Arial"/>
          <w:i/>
          <w:iCs/>
          <w:lang w:eastAsia="es-ES"/>
        </w:rPr>
        <w:t>, contenida en la demanda, en aras, precisamente, de brindar una tutela adecuada al indicado derecho fundamental. Interpretar lo contrario, implicaría dejar al trabajador/a en una situación de verdadera desventaja en el campo probatorio, haciendo nugatorio el derecho, pues es el patrono quien tiene a su disposición los medios suficientes para poder probar su tesis en juicio.</w:t>
      </w:r>
      <w:r w:rsidRPr="00D66245">
        <w:rPr>
          <w:rFonts w:ascii="Palatino Linotype" w:eastAsia="Times New Roman" w:hAnsi="Palatino Linotype" w:cs="Arial"/>
          <w:b/>
          <w:bCs/>
          <w:i/>
          <w:iCs/>
          <w:lang w:eastAsia="es-ES"/>
        </w:rPr>
        <w:t>Esa conclusión, además, pone en práctica la Recomendación 143 de la Organización Internacional del Trabajo, que en el inciso e) del numeral 6</w:t>
      </w:r>
      <w:r w:rsidRPr="00D66245">
        <w:rPr>
          <w:rFonts w:ascii="Palatino Linotype" w:eastAsia="Times New Roman" w:hAnsi="Palatino Linotype" w:cs="Arial"/>
          <w:i/>
          <w:iCs/>
          <w:lang w:eastAsia="es-ES"/>
        </w:rPr>
        <w:t> literalmente contempla como necesaria para lograr una protección eficaz: ‘e) imponer al empleador, cuando se alegue que el despido de un representante de los trabajadores o cualquier cambio desfavorable en sus condiciones de empleo tiene un carácter discriminatorio, la obligación de probar que dicho acto estaba justificado’. Claro está, que la aludida presunción no es absoluta, sino, relativa, de ahí que admita prueba en contrario. En ese supuesto, </w:t>
      </w:r>
      <w:r w:rsidRPr="00D66245">
        <w:rPr>
          <w:rFonts w:ascii="Palatino Linotype" w:eastAsia="Times New Roman" w:hAnsi="Palatino Linotype" w:cs="Arial"/>
          <w:b/>
          <w:bCs/>
          <w:i/>
          <w:iCs/>
          <w:lang w:eastAsia="es-ES"/>
        </w:rPr>
        <w:t>la parte patronal tiene la carga procesal de demostrar que el cese de la relación no es discriminatorio</w:t>
      </w:r>
      <w:r w:rsidRPr="00D66245">
        <w:rPr>
          <w:rFonts w:ascii="Palatino Linotype" w:eastAsia="Times New Roman" w:hAnsi="Palatino Linotype" w:cs="Arial"/>
          <w:i/>
          <w:iCs/>
          <w:lang w:eastAsia="es-ES"/>
        </w:rPr>
        <w:t>. Aunque ya esta Sala ha admitido que </w:t>
      </w:r>
      <w:r w:rsidRPr="00D66245">
        <w:rPr>
          <w:rFonts w:ascii="Palatino Linotype" w:eastAsia="Times New Roman" w:hAnsi="Palatino Linotype" w:cs="Arial"/>
          <w:b/>
          <w:bCs/>
          <w:i/>
          <w:iCs/>
          <w:lang w:eastAsia="es-ES"/>
        </w:rPr>
        <w:t>la protección de los Derechos Sindicales no solamente ampara a los representantes sindicales sino también a aquellos trabajadores y trabajadoras a quienes expresa o tácitamente se les limitan las libertades sindicales</w:t>
      </w:r>
      <w:r w:rsidRPr="00D66245">
        <w:rPr>
          <w:rFonts w:ascii="Palatino Linotype" w:eastAsia="Times New Roman" w:hAnsi="Palatino Linotype" w:cs="Arial"/>
          <w:i/>
          <w:iCs/>
          <w:lang w:eastAsia="es-ES"/>
        </w:rPr>
        <w:t>, persiste en estos casos la obligación del trabajador/a sindicalizado/a de demostrar, al menos mediante prueba indiciaria, que la afectación de sus derechos proviene de su pertenencia o de alguna actuación relacionada con el ejercicio de tales derechos. En este caso, el actor debió aportar al menos algún indicio de su postulación a delegado sindical, para revertir en la demandada la obligación de acreditar que el despido tuvo una razón objetiva y no discriminatoria” (en igual sentido, consúltese el voto n.° 822, de las 10:00 horas del 7 de octubre de 2011). </w:t>
      </w:r>
      <w:r w:rsidRPr="00D66245">
        <w:rPr>
          <w:rFonts w:ascii="Palatino Linotype" w:eastAsia="Times New Roman" w:hAnsi="Palatino Linotype" w:cs="Arial"/>
          <w:b/>
          <w:bCs/>
          <w:i/>
          <w:iCs/>
          <w:lang w:eastAsia="es-ES"/>
        </w:rPr>
        <w:t>La tesis sostenida por esta Sala ha sido la misma que mantienen los órganos de control de la Organización Internacional del Trabajo, específicamente el Comité de Libertad Sindical del Consejo de Administración</w:t>
      </w:r>
      <w:r w:rsidRPr="00D66245">
        <w:rPr>
          <w:rFonts w:ascii="Palatino Linotype" w:eastAsia="Times New Roman" w:hAnsi="Palatino Linotype" w:cs="Arial"/>
          <w:i/>
          <w:iCs/>
          <w:lang w:eastAsia="es-ES"/>
        </w:rPr>
        <w:t> que ha indicado: “Además de los mecanismos de protección preventiva contra actos de discriminación antisindical (como por ejemplo, la obtención de una autorización previa de la inspección del trabajo antes de proceder al despido de un dirigente sindical), otra forma de garantizar una protección eficaz podría consistir en obligar a los empleadores a aportar la prueba de que su decisión de despedir a un trabajador no está vinculada a las actividades sindicales del mismo” (OIT. </w:t>
      </w:r>
      <w:r w:rsidRPr="00D66245">
        <w:rPr>
          <w:rFonts w:ascii="Palatino Linotype" w:eastAsia="Times New Roman" w:hAnsi="Palatino Linotype" w:cs="Arial"/>
          <w:i/>
          <w:iCs/>
          <w:u w:val="single"/>
          <w:lang w:eastAsia="es-ES"/>
        </w:rPr>
        <w:t>Libertad sindical: Recopilación de decisiones y principios del Comité de Libertad Sindical del Consejo de Administración de la OIT</w:t>
      </w:r>
      <w:r w:rsidRPr="00D66245">
        <w:rPr>
          <w:rFonts w:ascii="Palatino Linotype" w:eastAsia="Times New Roman" w:hAnsi="Palatino Linotype" w:cs="Arial"/>
          <w:i/>
          <w:iCs/>
          <w:lang w:eastAsia="es-ES"/>
        </w:rPr>
        <w:t>. Ginebra, Oficina Internacional del Trabajo. Quinta edición (revisada). 2006. Página 177. Suiza). De modo que cuando existan indicios de la discriminación, la carga de la prueba de la existencia de razones objetivas que justifiquen el despido y que descarten la presencia de un acto discriminatorio por persecución sindical, una vez que ha quedado acreditada la condición de afiliado sindical, recae sobre el empleador.” </w:t>
      </w:r>
      <w:r w:rsidRPr="00D66245">
        <w:rPr>
          <w:rFonts w:ascii="Palatino Linotype" w:eastAsia="Times New Roman" w:hAnsi="Palatino Linotype" w:cs="Arial"/>
          <w:i/>
          <w:lang w:eastAsia="es-ES"/>
        </w:rPr>
        <w:t>Expresamente nuestra legislación laboral establece que corresponde a la parte patronal probar: </w:t>
      </w:r>
      <w:r w:rsidRPr="00D66245">
        <w:rPr>
          <w:rFonts w:ascii="Palatino Linotype" w:eastAsia="Times New Roman" w:hAnsi="Palatino Linotype" w:cs="Arial"/>
          <w:i/>
          <w:iCs/>
          <w:lang w:eastAsia="es-ES"/>
        </w:rPr>
        <w:t>“La justificación de la objetividad, racionalidad y proporcionalidad de las medidas o las conductas señaladas como discriminatorias en todas las demandas relacionadas con discriminaciones” </w:t>
      </w:r>
      <w:r w:rsidRPr="00D66245">
        <w:rPr>
          <w:rFonts w:ascii="Palatino Linotype" w:eastAsia="Times New Roman" w:hAnsi="Palatino Linotype" w:cs="Arial"/>
          <w:i/>
          <w:lang w:eastAsia="es-ES"/>
        </w:rPr>
        <w:t>(artículo 478, inciso 10, según ley n.° 9343 del 25 de enero de 2016, Reforma Procesal Laboral). En este caso, la demandada alegó desconocimiento de la afiliación del actor a la agrupación sindical; y que el despido fue motivado en los incumplimientos reiterados a sus obligaciones como operador de montacargas, insultos, así como cobro de horas no laboradas. En criterio del Juzgado la demandada efectivamente desconocía de la afiliación sindical. En el recurso se acusa una indebida valoración de las pruebas practicadas porque de la testimonial se extrae que el jefe directo –Marco Alvarado Coto- tenía conocimiento de la intención del actor y de su compañero de afiliarse a la organización gremial, en tanto no solo se lo habían manifestado, sino que en distintas ocasiones los observó hablando con el señor Pablo Rodríguez Ortiz, quien fungía como promotor sindical. Según las declaraciones de los testigos de la parte actora, el solo hecho de que se les viera conversando con dicho señor evidenciaba el interés de las personas trabajadoras por la organización sindical. En el presente asunto, los testigos ofrecidos por la empresa demandada negaron que hubieran tenido conocimiento de la voluntad del trabajador de afiliarse al sindicato. Los señores Marco Alvarado Coto, César Chinchilla Quesada y Gilberto Andrés Arrieta Solís manifestaron que no tenían conocimiento del interés del accionante por sumarse a la agrupación gremial. También negaron que lo hubieran visto en contacto con el promotor sindical –Pablo Rodríguez-. Todos fueron contestes en que el despido se produjo con motivo de la conducta inaceptable mostrada por el trabajador en el último mes de trabajo. Por su parte, los testigos ofrecidos por la parte actora refirieron que el señor Alvarado Coto fue informado de la pretensión de afiliarse al sindicato, que tenía conocimiento de las conversaciones que el demandante sostenía con el promotor sindical y que observó cuando le entregaron las boletas de afiliación al señor Pablo Rodríguez Ortiz. Resulta evidente que los testimonios son contrapuestos. No obstante, la Sala se decanta por conferirle valor a lo manifestado por los señores Rodríguez Ortiz y Junes Anchía, pues sus declaraciones resultan coherentes y se ajustan más a la situación valorada integralmente. El señor Rodríguez Ortiz informó que hacía como seis meses venía informándole al accionante acerca de las ventajas de pertenecer a la organización sindical, así como de la protección derivada de la reforma al Código de Trabajo mediante la Ley de Reforma Procesal Laboral. El testigo también le informó sobre la decisión de la empresa de respetar el ejercicio de la libertad sindical, debido al problema suscitado con la pérdida de una de las acreditaciones. Manifestó que no era secreto el interés del demandante por afiliarse al sindicato y que la simple decisión de buscar información al respecto constituye una manifestación del deseo de vincularse a la organización gremial. El testigo dio cuenta de que cuando el señor Sergio Junes le estaba entregando las boletas de afiliación debidamente completadas, el señor Marco Alvarado los vio. Refirió que cuando concluyó la reunión en la que estaba, el señor Andrés Arrieta –supervisor de Recursos Humanos- se ofreció a trasladarlo al portón principal, donde estaba esperándolo Marco Alvarado y ambos se fueron juntos, comportamiento valorado por el testigo como sospechoso, aparte de que fueron estos trabajadores –con cargos de jefatura- los que suscribieron la comunicación del despido. Aunado a lo anterior, el declarante dijo que él había hablado con el Gerente de Mercadeo –Ignacio Castillo, su jefe directo y jefe del área donde laboraba el accionante- acerca de una serie de disconformidades que este último le había manifestado. Tal circunstancia evidencia la intercesión del promotor sindical a favor del actor, lo que constituye un indicio del contacto entre uno y otro respecto a cuestiones de orden laboral. Lo manifestado por Rodríguez Ortiz coincide con las afirmaciones del señor Junes Anchía. Este relató que cuando le estaba entregando las boletas de afiliación suya y del accionante al promotor sindical, el jefe directo –Marco Alvarado- los vio. También sostuvo que él le había manifestado su deseo de afiliarse y que incluso, en un mensaje, este le había dicho que mejor no hiciera mención al sindicato. El testigo contó sobre el temor de los trabajadores en mostrar interés por la organización sindical, pues el simple hecho de verlos conversar con el promotor ocasionaba que le informaran a la jefatura y a veces se les despedía antes de que se afiliaran. Manifestó que muchos trabajadores estaban indispuestos con la organización gremial y con el señor Pablo Rodríguez, en tanto los veían como los culpables de la pérdida de la acreditación. Asimismo, explicó que tanto él como el demandante se animaron a afiliarse al sindicado, dado el comunicado hecho por la empresa, de que no habría persecución. Por su parte, el señor Leitón Valverde informó que la empresa ha opuesto resistencia a la organización sindical y que el Ministerio de Trabajo ha constatado las conductas anti-sindicales. De igual forma, resulta relevante que el propio testigo Marco Alvarado Coto, jefe del actor y quien supuestamente fue la persona que observó la entrega del documento al representante sindical, haya negado el conocimiento de ese hecho, pero en su declaración, sin que se le estuviera interrogando al respecto irrumpió, de manera espontánea, declarando que no había observado ningún acercamiento del compañero del actor hacia el representante sindical, hecho que sin lugar a dudas iba a ser una de los temas que se abordaría en su declaración. Además, este testigo expresamente admitió ser conocedor del contenido de la demanda, lo que sumado al hecho de ser el jefe del accionante y una de las personas que suscribió el despido, descarta la imparcialidad de su testimonio; y torna cuestionable la veracidad de su declaración. La circunstancia de que los testigos sostuvieran que el jefe directo no vio las boletas de afiliación propiamente tales, no es suficiente para desvirtuar el conocimiento de ese hecho porque la integración de los indicios referidos hace concluir que razonablemente pudo considerar que se trataba de la afiliación. El cúmulo de hechos descritos abona la conclusión de que la demandada sí tuvo conocimiento informal de la afiliación del trabajador el día en el que procedió a su despido, aun cuando el acto formal de entrega del documento se realizara un día después. De esta forma, el hecho de que la destitución se haya acordado el día en que el trabajador entregó la boleta de afiliación al sindicato y que el despido se haya adoptado con responsabilidad patronal, respecto de un trabajador con casi cinco años de antigüedad laboral, son indicios suficientes de una decisión patronal discriminatoria. El recurrente acusa la violación del artículo 35 del </w:t>
      </w:r>
      <w:r w:rsidRPr="00D66245">
        <w:rPr>
          <w:rFonts w:ascii="Palatino Linotype" w:eastAsia="Times New Roman" w:hAnsi="Palatino Linotype" w:cs="Arial"/>
          <w:i/>
          <w:iCs/>
          <w:lang w:eastAsia="es-ES"/>
        </w:rPr>
        <w:t>Código de Trabajo, </w:t>
      </w:r>
      <w:r w:rsidRPr="00D66245">
        <w:rPr>
          <w:rFonts w:ascii="Palatino Linotype" w:eastAsia="Times New Roman" w:hAnsi="Palatino Linotype" w:cs="Arial"/>
          <w:i/>
          <w:lang w:eastAsia="es-ES"/>
        </w:rPr>
        <w:t>en tanto el Juzgado admitió para su ponderación, los motivos justificantes del despido alegados al contestar la demanda</w:t>
      </w:r>
      <w:r w:rsidRPr="00D66245">
        <w:rPr>
          <w:rFonts w:ascii="Palatino Linotype" w:eastAsia="Times New Roman" w:hAnsi="Palatino Linotype" w:cs="Arial"/>
          <w:i/>
          <w:iCs/>
          <w:lang w:eastAsia="es-ES"/>
        </w:rPr>
        <w:t>. </w:t>
      </w:r>
      <w:r w:rsidRPr="00D66245">
        <w:rPr>
          <w:rFonts w:ascii="Palatino Linotype" w:eastAsia="Times New Roman" w:hAnsi="Palatino Linotype" w:cs="Arial"/>
          <w:i/>
          <w:lang w:eastAsia="es-ES"/>
        </w:rPr>
        <w:t>Respecto de esa decisión, la Sala ratifica el proceder del Juzgado por cuanto en un proceso de esta naturaleza no se discute si el despido fue o no justificado. La finalidad de esa norma, introducida con la reciente Reforma Procesal Laboral, es que, en los casos de </w:t>
      </w:r>
      <w:r w:rsidRPr="00D66245">
        <w:rPr>
          <w:rFonts w:ascii="Palatino Linotype" w:eastAsia="Times New Roman" w:hAnsi="Palatino Linotype" w:cs="Arial"/>
          <w:i/>
          <w:iCs/>
          <w:lang w:eastAsia="es-ES"/>
        </w:rPr>
        <w:t>despido sin responsabilidad patronal</w:t>
      </w:r>
      <w:r w:rsidRPr="00D66245">
        <w:rPr>
          <w:rFonts w:ascii="Palatino Linotype" w:eastAsia="Times New Roman" w:hAnsi="Palatino Linotype" w:cs="Arial"/>
          <w:i/>
          <w:lang w:eastAsia="es-ES"/>
        </w:rPr>
        <w:t> el empleador no pueda modificar en juicio, las causas aducidas al trabajador para justificar la sanción. Ese no es el supuesto que se presenta en este caso y en ese sentido lleva razón el a quo al indicar que en este asunto no se trata de definir si hubo o no causa motivadora del despido. Aquí, está claro que el despido fue acordado con responsabilidad patronal, conforme a la posibilidad regulada en el inciso d), del numeral 85, </w:t>
      </w:r>
      <w:r w:rsidRPr="00D66245">
        <w:rPr>
          <w:rFonts w:ascii="Palatino Linotype" w:eastAsia="Times New Roman" w:hAnsi="Palatino Linotype" w:cs="Arial"/>
          <w:i/>
          <w:iCs/>
          <w:lang w:eastAsia="es-ES"/>
        </w:rPr>
        <w:t>ídem, </w:t>
      </w:r>
      <w:r w:rsidRPr="00D66245">
        <w:rPr>
          <w:rFonts w:ascii="Palatino Linotype" w:eastAsia="Times New Roman" w:hAnsi="Palatino Linotype" w:cs="Arial"/>
          <w:i/>
          <w:lang w:eastAsia="es-ES"/>
        </w:rPr>
        <w:t>que establece “</w:t>
      </w:r>
      <w:r w:rsidRPr="00D66245">
        <w:rPr>
          <w:rFonts w:ascii="Palatino Linotype" w:eastAsia="Times New Roman" w:hAnsi="Palatino Linotype" w:cs="Arial"/>
          <w:i/>
          <w:iCs/>
          <w:lang w:eastAsia="es-ES"/>
        </w:rPr>
        <w:t>la mera voluntad del patrono” </w:t>
      </w:r>
      <w:r w:rsidRPr="00D66245">
        <w:rPr>
          <w:rFonts w:ascii="Palatino Linotype" w:eastAsia="Times New Roman" w:hAnsi="Palatino Linotype" w:cs="Arial"/>
          <w:i/>
          <w:lang w:eastAsia="es-ES"/>
        </w:rPr>
        <w:t>como causa de terminación del contrato de trabajo sin que la persona trabajadora pierda su derecho a las indemnizaciones laborales. En un proceso de esta naturaleza la parte demandada no está invocando causales de despido ni tampoco pretende que este se tenga como justificado. Su obligación procesal, ante la imputación discriminatoria que se le atribuye, es demostrar el sustento objetivo de su decisión. En ese tanto, esos hechos deben ser valorados a efecto de determinar si efectivamente hubo razones que objetiva y racionalmente respaldan su decisión. De manera expresa, al rendir el informe de ley, la demandada apuntó: </w:t>
      </w:r>
      <w:r w:rsidRPr="00D66245">
        <w:rPr>
          <w:rFonts w:ascii="Palatino Linotype" w:eastAsia="Times New Roman" w:hAnsi="Palatino Linotype" w:cs="Arial"/>
          <w:i/>
          <w:iCs/>
          <w:lang w:eastAsia="es-ES"/>
        </w:rPr>
        <w:t>“El despido del actor obedeció a las constantes quejas de sus jefes que constan en los correos que se adjuntan por incumplimientos reiterados a sus obligaciones como montacarguista e insultos, así como cobro de horas no laboradas, todo lo cual son faltas graves./ Estos antecedentes disciplinarios descarta cualquier discriminación contra el actor”. </w:t>
      </w:r>
      <w:r w:rsidRPr="00D66245">
        <w:rPr>
          <w:rFonts w:ascii="Palatino Linotype" w:eastAsia="Times New Roman" w:hAnsi="Palatino Linotype" w:cs="Arial"/>
          <w:i/>
          <w:lang w:eastAsia="es-ES"/>
        </w:rPr>
        <w:t>(Sic). El a quo tuvo por acreditadas tales imputaciones y justificada la actuación patronal, conclusión con la que esta Sala no concuerda. Tal y como se señaló, en casos como el que nos ocupa, en donde se acusa un posible despido discriminatorio, el objeto del proceso no es calificar la justificación de la decisión sino, si la misma fue adoptada por una razón objetiva que descarte el ánimo discriminatorio. Lo anterior no descarta la obligación de demostrar que los hechos motivantes del despido efectivamente existieron y tienen la suficiente entidad para que el patrono haya adoptado esa decisión, pues de lo contrario, se podría llegar al absurdo de considerar que cualquier falta es suficiente para tales efectos, tornando nugatoria la tutela legal prevista. Al amparo de las imputaciones realizadas al trabajador, resulta de fundamental relevancia señalar que el testigo Marco Vinicio Alvarado Coto, jefe del actor y quien supuestamente habría sido quien recibió los insultos, no se refirió de manera puntual a esta situación y solo, de manera general, indicó que recibía del accionante reiteradas faltas de respeto, pero al interrogársele sobre estas indicó que en una ocasión al ordenarle la realización de un trabajo, el demandante le contestó “</w:t>
      </w:r>
      <w:r w:rsidRPr="00D66245">
        <w:rPr>
          <w:rFonts w:ascii="Palatino Linotype" w:eastAsia="Times New Roman" w:hAnsi="Palatino Linotype" w:cs="Arial"/>
          <w:i/>
          <w:iCs/>
          <w:lang w:eastAsia="es-ES"/>
        </w:rPr>
        <w:t>diay que me queda</w:t>
      </w:r>
      <w:r w:rsidRPr="00D66245">
        <w:rPr>
          <w:rFonts w:ascii="Palatino Linotype" w:eastAsia="Times New Roman" w:hAnsi="Palatino Linotype" w:cs="Arial"/>
          <w:i/>
          <w:lang w:eastAsia="es-ES"/>
        </w:rPr>
        <w:t>”. Solo indica que una vez le dijo “</w:t>
      </w:r>
      <w:r w:rsidRPr="00D66245">
        <w:rPr>
          <w:rFonts w:ascii="Palatino Linotype" w:eastAsia="Times New Roman" w:hAnsi="Palatino Linotype" w:cs="Arial"/>
          <w:i/>
          <w:iCs/>
          <w:lang w:eastAsia="es-ES"/>
        </w:rPr>
        <w:t>váyase para la mierda</w:t>
      </w:r>
      <w:r w:rsidRPr="00D66245">
        <w:rPr>
          <w:rFonts w:ascii="Palatino Linotype" w:eastAsia="Times New Roman" w:hAnsi="Palatino Linotype" w:cs="Arial"/>
          <w:i/>
          <w:lang w:eastAsia="es-ES"/>
        </w:rPr>
        <w:t>”, mas no refirió en qué momento ni en qué circunstancia se dio ese hecho, lo que torna imposible considerar existente la constante actitud irrespetuosa que la demandada le pretende atribuir al promovente. Respecto de su desempeño laboral, resulta relevante que ese testigo, al ser interrogado por la jueza sobre si él como jefe inmediato </w:t>
      </w:r>
      <w:r w:rsidRPr="00D66245">
        <w:rPr>
          <w:rFonts w:ascii="Palatino Linotype" w:eastAsia="Times New Roman" w:hAnsi="Palatino Linotype" w:cs="Arial"/>
          <w:i/>
          <w:iCs/>
          <w:lang w:eastAsia="es-ES"/>
        </w:rPr>
        <w:t>“recibió ninguna (sic) información sobre alguna situación que estuviera atravesando don [Nombre001] en relación con sus labores?</w:t>
      </w:r>
      <w:r w:rsidRPr="00D66245">
        <w:rPr>
          <w:rFonts w:ascii="Palatino Linotype" w:eastAsia="Times New Roman" w:hAnsi="Palatino Linotype" w:cs="Arial"/>
          <w:i/>
          <w:lang w:eastAsia="es-ES"/>
        </w:rPr>
        <w:t>”, contestó que no, señalando de igual forma que era él a quien en primera instancia debía ponérsele en conocimiento de las situaciones que se presentaban, precisamente por su condición de jefe inmediato del actor. En todo caso, en relación con el supuesto incumplimiento de obligaciones en la contestación a la demanda la accionada no definió en qué consistieron tales faltas; y finalmente, en relación con el supuesto cobro de horas no laboradas, no existe prueba alguna en ese sentido, salvo una fotografía de la que no es posible inferir razonablemente, ese hecho. El único testigo que se refiere sobre el particular, es el supervisor de Recursos Humanos, Andrés Arrieta Solís, quien, a la postre, fue una de las personas que suscribió con el jefe inmediato del actor –Marco Vinicio Alvarado- la carta de despido, por lo cual, su declaración en relación con este tema no resulta enteramente creíble, pues se trata, en definitiva, de justificar una actuación suya. En el correo electrónico del 12 de agosto de 2017 se indicó: “</w:t>
      </w:r>
      <w:r w:rsidRPr="00D66245">
        <w:rPr>
          <w:rFonts w:ascii="Palatino Linotype" w:eastAsia="Times New Roman" w:hAnsi="Palatino Linotype" w:cs="Arial"/>
          <w:i/>
          <w:iCs/>
          <w:lang w:eastAsia="es-ES"/>
        </w:rPr>
        <w:t>El operador [Nombre001] golpeó con las uñas de linde </w:t>
      </w:r>
      <w:r w:rsidRPr="00D66245">
        <w:rPr>
          <w:rFonts w:ascii="Palatino Linotype" w:eastAsia="Times New Roman" w:hAnsi="Palatino Linotype" w:cs="Arial"/>
          <w:i/>
          <w:iCs/>
          <w:u w:val="single"/>
          <w:lang w:eastAsia="es-ES"/>
        </w:rPr>
        <w:t>por accidente</w:t>
      </w:r>
      <w:r w:rsidRPr="00D66245">
        <w:rPr>
          <w:rFonts w:ascii="Palatino Linotype" w:eastAsia="Times New Roman" w:hAnsi="Palatino Linotype" w:cs="Arial"/>
          <w:i/>
          <w:iCs/>
          <w:lang w:eastAsia="es-ES"/>
        </w:rPr>
        <w:t> el muro de entrada a cuarto número 6”. </w:t>
      </w:r>
      <w:r w:rsidRPr="00D66245">
        <w:rPr>
          <w:rFonts w:ascii="Palatino Linotype" w:eastAsia="Times New Roman" w:hAnsi="Palatino Linotype" w:cs="Arial"/>
          <w:i/>
          <w:lang w:eastAsia="es-ES"/>
        </w:rPr>
        <w:t>El 7 de julio de ese año también se informó: </w:t>
      </w:r>
      <w:r w:rsidRPr="00D66245">
        <w:rPr>
          <w:rFonts w:ascii="Palatino Linotype" w:eastAsia="Times New Roman" w:hAnsi="Palatino Linotype" w:cs="Arial"/>
          <w:i/>
          <w:iCs/>
          <w:lang w:eastAsia="es-ES"/>
        </w:rPr>
        <w:t>“Es muy preocupante el estado del montacargas Linde recién se pintó y pocas semanas ya está muy maltratado nuevamente, no es posible que Sergio y [Nombre001] no cuiden la máquina que es la herramienta de trabajo diaria. /Se les debe de llamar la atención por esto esa máquina es nueva y no la cuidan”.</w:t>
      </w:r>
      <w:r w:rsidRPr="00D66245">
        <w:rPr>
          <w:rFonts w:ascii="Palatino Linotype" w:eastAsia="Times New Roman" w:hAnsi="Palatino Linotype" w:cs="Arial"/>
          <w:i/>
          <w:lang w:eastAsia="es-ES"/>
        </w:rPr>
        <w:t> Según se advierte, el golpe al muro de entrada del cuarto número 6 se dio </w:t>
      </w:r>
      <w:r w:rsidRPr="00D66245">
        <w:rPr>
          <w:rFonts w:ascii="Palatino Linotype" w:eastAsia="Times New Roman" w:hAnsi="Palatino Linotype" w:cs="Arial"/>
          <w:i/>
          <w:iCs/>
          <w:lang w:eastAsia="es-ES"/>
        </w:rPr>
        <w:t>por accidente</w:t>
      </w:r>
      <w:r w:rsidRPr="00D66245">
        <w:rPr>
          <w:rFonts w:ascii="Palatino Linotype" w:eastAsia="Times New Roman" w:hAnsi="Palatino Linotype" w:cs="Arial"/>
          <w:i/>
          <w:lang w:eastAsia="es-ES"/>
        </w:rPr>
        <w:t> y en relación con la constatación del estado del montacargas era una situación verificada mucho antes de que se sucediera el despido -2 meses atrás-. En cuanto al reporte del golpe a la puerta del cuarto de pre-enfrío con la torre del montacargas linde, ocasionado por el actor y comunicado en correo del 2 de septiembre, en este se indicó que el accionante explicó que se produjo por encontrarse el piso mojado. Respecto de las fotografías que aparecen documentando supuestos maltratos a las estructuras de cámaras frías y paletas, estas solo cuentan con una leyenda de la accionada de que el maltrato fue causado por [Nombre001] o por “operadores de montacargas”, sin otra manifestación que así lo haya ratificado ni indicación del momento preciso en que sucedieron esos hechos. De lo anterior resulta que el único hecho relevante y más cercano a la fecha del despido fue que el 4 de agosto –más de un mes antes del despido- se hizo constar: </w:t>
      </w:r>
      <w:r w:rsidRPr="00D66245">
        <w:rPr>
          <w:rFonts w:ascii="Palatino Linotype" w:eastAsia="Times New Roman" w:hAnsi="Palatino Linotype" w:cs="Arial"/>
          <w:i/>
          <w:iCs/>
          <w:lang w:eastAsia="es-ES"/>
        </w:rPr>
        <w:t>“Reporto la caída de una paleta en racks el día 3-08-17, por como se ve fue un mal manejo. Se adjuntan fotografías para sus reportes. Se procedió a desechar las cajas y remplazar la paleta por otra. /Operador de montacargas [Nombre001] .”</w:t>
      </w:r>
      <w:r w:rsidRPr="00D66245">
        <w:rPr>
          <w:rFonts w:ascii="Palatino Linotype" w:eastAsia="Times New Roman" w:hAnsi="Palatino Linotype" w:cs="Arial"/>
          <w:i/>
          <w:lang w:eastAsia="es-ES"/>
        </w:rPr>
        <w:t> Sin embargo, es claro que esta es una manifestación subjetiva de quien la suscribe, respecto de una situación ocurrida con más de un mes de antelación y sobre de la cual la demandada no adoptó oportunamente una sanción disciplinaria, lo que impide pensar que se tratara de una falta del trabajador. En conclusión, con el cúmulo de probanzas descritas no es posible tener por acreditado un comportamiento laboral del trabajador que razonablemente justificara que en aquel preciso momento, posterior a la entrega del formulario de afiliación al sindicato y justo antes de que la boleta de afiliación fuera entregada formalmente a la representación sindical, la demandada decidiera prescindir de los servicios del actor.</w:t>
      </w:r>
    </w:p>
    <w:p w14:paraId="477271C6" w14:textId="77777777" w:rsidR="00BF40B0" w:rsidRPr="00D66245" w:rsidRDefault="00BF40B0"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VI.- DECISIÓN DEL CASO: </w:t>
      </w:r>
      <w:r w:rsidRPr="00D66245">
        <w:rPr>
          <w:rFonts w:ascii="Palatino Linotype" w:eastAsia="Times New Roman" w:hAnsi="Palatino Linotype" w:cs="Arial"/>
          <w:i/>
          <w:lang w:eastAsia="es-ES"/>
        </w:rPr>
        <w:t>El demandante pretende que se declare la nulidad del despido, lo que resulta procedente con sustento en lo regulado en los artículos 363 y 410 del </w:t>
      </w:r>
      <w:r w:rsidRPr="00D66245">
        <w:rPr>
          <w:rFonts w:ascii="Palatino Linotype" w:eastAsia="Times New Roman" w:hAnsi="Palatino Linotype" w:cs="Arial"/>
          <w:i/>
          <w:iCs/>
          <w:lang w:eastAsia="es-ES"/>
        </w:rPr>
        <w:t>Código de Trabajo. </w:t>
      </w:r>
      <w:r w:rsidRPr="00D66245">
        <w:rPr>
          <w:rFonts w:ascii="Palatino Linotype" w:eastAsia="Times New Roman" w:hAnsi="Palatino Linotype" w:cs="Arial"/>
          <w:i/>
          <w:lang w:eastAsia="es-ES"/>
        </w:rPr>
        <w:t>Consecuentemente, debe ordenarse la reinstalación definitiva al puesto, con el pleno goce de sus derechos, debiéndose tener la relación como inalterada para todos los efectos. El demandante reclama el pago de los salarios que dejó de percibir. Ha quedado demostrado que el despido le fue comunicado el día 7 de setiembre en horas de la noche. El Juzgado ordenó su reinstalación provisional como medida precautoria, la cual se hizo efectiva el día 21 de ese mes. Por consiguiente, la demandada adeuda al trabajador los salarios que no percibió entre el 8 y el 20 de setiembre, para un total de 13 días de salario, resultando evidente que el importe de esos no superaría el máximo a reconocer por tal concepto, de 24 veces el salario que tenga el puesto de la persona trabajadora a la firmerza del fallo. Los salarios que se reconocen como caídos son aquellos que debió haber percibido durante todo el período en que estuvo cesante, sin embargo el monto a reconocer no podría superar el máximo regulado en el canon 566 del </w:t>
      </w:r>
      <w:r w:rsidRPr="00D66245">
        <w:rPr>
          <w:rFonts w:ascii="Palatino Linotype" w:eastAsia="Times New Roman" w:hAnsi="Palatino Linotype" w:cs="Arial"/>
          <w:i/>
          <w:iCs/>
          <w:lang w:eastAsia="es-ES"/>
        </w:rPr>
        <w:t>Código de Trabajo, </w:t>
      </w:r>
      <w:r w:rsidRPr="00D66245">
        <w:rPr>
          <w:rFonts w:ascii="Palatino Linotype" w:eastAsia="Times New Roman" w:hAnsi="Palatino Linotype" w:cs="Arial"/>
          <w:i/>
          <w:lang w:eastAsia="es-ES"/>
        </w:rPr>
        <w:t>conforme al cual "... </w:t>
      </w:r>
      <w:r w:rsidRPr="00D66245">
        <w:rPr>
          <w:rFonts w:ascii="Palatino Linotype" w:eastAsia="Times New Roman" w:hAnsi="Palatino Linotype" w:cs="Arial"/>
          <w:i/>
          <w:iCs/>
          <w:lang w:eastAsia="es-ES"/>
        </w:rPr>
        <w:t>el pago de estos no podrá ser superior al importe de veinticuatro veces el salario mensual total de la parte trabajadora al momento de la firmeza del fallo</w:t>
      </w:r>
      <w:r w:rsidRPr="00D66245">
        <w:rPr>
          <w:rFonts w:ascii="Palatino Linotype" w:eastAsia="Times New Roman" w:hAnsi="Palatino Linotype" w:cs="Arial"/>
          <w:i/>
          <w:lang w:eastAsia="es-ES"/>
        </w:rPr>
        <w:t>,</w:t>
      </w:r>
      <w:r w:rsidRPr="00D66245">
        <w:rPr>
          <w:rFonts w:ascii="Palatino Linotype" w:eastAsia="Times New Roman" w:hAnsi="Palatino Linotype" w:cs="Arial"/>
          <w:i/>
          <w:iCs/>
          <w:lang w:eastAsia="es-ES"/>
        </w:rPr>
        <w:t> salvo disposición especial que establezca otra cosa, sin que en ningún momento pueda ser inferior al mínimo legal</w:t>
      </w:r>
      <w:r w:rsidRPr="00D66245">
        <w:rPr>
          <w:rFonts w:ascii="Palatino Linotype" w:eastAsia="Times New Roman" w:hAnsi="Palatino Linotype" w:cs="Arial"/>
          <w:i/>
          <w:lang w:eastAsia="es-ES"/>
        </w:rPr>
        <w:t>." De la prueba practicada se extrae que la remuneración era variable. La norma especial no prevé la solución para un caso así, por lo que se considera ajustado a los principios de justicia social y equidad (artículos 422 y 428, </w:t>
      </w:r>
      <w:r w:rsidRPr="00D66245">
        <w:rPr>
          <w:rFonts w:ascii="Palatino Linotype" w:eastAsia="Times New Roman" w:hAnsi="Palatino Linotype" w:cs="Arial"/>
          <w:i/>
          <w:iCs/>
          <w:lang w:eastAsia="es-ES"/>
        </w:rPr>
        <w:t>Código de Trabajo</w:t>
      </w:r>
      <w:r w:rsidRPr="00D66245">
        <w:rPr>
          <w:rFonts w:ascii="Palatino Linotype" w:eastAsia="Times New Roman" w:hAnsi="Palatino Linotype" w:cs="Arial"/>
          <w:i/>
          <w:lang w:eastAsia="es-ES"/>
        </w:rPr>
        <w:t>) que se tome en cuenta el promedio salarial de los últimos seis meses, para realizar el cálculo de lo adeudado. Dicho promedio asciende a la cantidad de ¢587.316,02 (suma de los salarios reportados de marzo a agosto de 2017, dividida entre seis) , la que es superior al mínimo de ley. Ese monto, dividido entre 30 días da como resultado ¢19.577,20, correspondiente al salario diario promedio, que multiplicado por los 13 días adeudados asciende a ¢254.503,60. El actor pretende que el importe de lo adeudado se indexe; sin embargo, el numeral 566 del </w:t>
      </w:r>
      <w:r w:rsidRPr="00D66245">
        <w:rPr>
          <w:rFonts w:ascii="Palatino Linotype" w:eastAsia="Times New Roman" w:hAnsi="Palatino Linotype" w:cs="Arial"/>
          <w:i/>
          <w:iCs/>
          <w:lang w:eastAsia="es-ES"/>
        </w:rPr>
        <w:t>Código de Trabajo, </w:t>
      </w:r>
      <w:r w:rsidRPr="00D66245">
        <w:rPr>
          <w:rFonts w:ascii="Palatino Linotype" w:eastAsia="Times New Roman" w:hAnsi="Palatino Linotype" w:cs="Arial"/>
          <w:i/>
          <w:lang w:eastAsia="es-ES"/>
        </w:rPr>
        <w:t>relativo a la sentencia de reinstalación y pago de salarios caídos, expresamente señala que </w:t>
      </w:r>
      <w:r w:rsidRPr="00D66245">
        <w:rPr>
          <w:rFonts w:ascii="Palatino Linotype" w:eastAsia="Times New Roman" w:hAnsi="Palatino Linotype" w:cs="Arial"/>
          <w:i/>
          <w:iCs/>
          <w:lang w:eastAsia="es-ES"/>
        </w:rPr>
        <w:t>“Esta fijación no admite adecuaciones o indexaciones”. </w:t>
      </w:r>
      <w:r w:rsidRPr="00D66245">
        <w:rPr>
          <w:rFonts w:ascii="Palatino Linotype" w:eastAsia="Times New Roman" w:hAnsi="Palatino Linotype" w:cs="Arial"/>
          <w:i/>
          <w:lang w:eastAsia="es-ES"/>
        </w:rPr>
        <w:t>Por consiguiente, respecto de la petitoria de indexación debe acogerse la excepción de falta de derecho. La parte actora reclamó el pago de los intereses legales a los cuales sí tiene derecho, según lo regulado en el canon 565 </w:t>
      </w:r>
      <w:r w:rsidRPr="00D66245">
        <w:rPr>
          <w:rFonts w:ascii="Palatino Linotype" w:eastAsia="Times New Roman" w:hAnsi="Palatino Linotype" w:cs="Arial"/>
          <w:i/>
          <w:iCs/>
          <w:lang w:eastAsia="es-ES"/>
        </w:rPr>
        <w:t>ídem. </w:t>
      </w:r>
      <w:r w:rsidRPr="00D66245">
        <w:rPr>
          <w:rFonts w:ascii="Palatino Linotype" w:eastAsia="Times New Roman" w:hAnsi="Palatino Linotype" w:cs="Arial"/>
          <w:i/>
          <w:lang w:eastAsia="es-ES"/>
        </w:rPr>
        <w:t>De conformidad con esta norma, estos proceden conforme a las regulaciones del </w:t>
      </w:r>
      <w:r w:rsidRPr="00D66245">
        <w:rPr>
          <w:rFonts w:ascii="Palatino Linotype" w:eastAsia="Times New Roman" w:hAnsi="Palatino Linotype" w:cs="Arial"/>
          <w:i/>
          <w:iCs/>
          <w:lang w:eastAsia="es-ES"/>
        </w:rPr>
        <w:t>Código de Comercio</w:t>
      </w:r>
      <w:r w:rsidRPr="00D66245">
        <w:rPr>
          <w:rFonts w:ascii="Palatino Linotype" w:eastAsia="Times New Roman" w:hAnsi="Palatino Linotype" w:cs="Arial"/>
          <w:i/>
          <w:lang w:eastAsia="es-ES"/>
        </w:rPr>
        <w:t> y deben concederse a partir de la exigibilidad de lo adeudado. El segundo párrafo del numeral 497 de ese </w:t>
      </w:r>
      <w:r w:rsidRPr="00D66245">
        <w:rPr>
          <w:rFonts w:ascii="Palatino Linotype" w:eastAsia="Times New Roman" w:hAnsi="Palatino Linotype" w:cs="Arial"/>
          <w:i/>
          <w:iCs/>
          <w:lang w:eastAsia="es-ES"/>
        </w:rPr>
        <w:t>Código</w:t>
      </w:r>
      <w:r w:rsidRPr="00D66245">
        <w:rPr>
          <w:rFonts w:ascii="Palatino Linotype" w:eastAsia="Times New Roman" w:hAnsi="Palatino Linotype" w:cs="Arial"/>
          <w:i/>
          <w:lang w:eastAsia="es-ES"/>
        </w:rPr>
        <w:t>, estipula: “</w:t>
      </w:r>
      <w:r w:rsidRPr="00D66245">
        <w:rPr>
          <w:rFonts w:ascii="Palatino Linotype" w:eastAsia="Times New Roman" w:hAnsi="Palatino Linotype" w:cs="Arial"/>
          <w:i/>
          <w:iCs/>
          <w:lang w:eastAsia="es-ES"/>
        </w:rPr>
        <w:t>Interés legal es el que se aplica supletoriamente a falta de acuerdo, y es igual a tasa básica pasiva del Banco Central de Costa Rica para operaciones en moneda nacional y a la tasa 'prime rate' para operaciones en dólares americanos</w:t>
      </w:r>
      <w:r w:rsidRPr="00D66245">
        <w:rPr>
          <w:rFonts w:ascii="Palatino Linotype" w:eastAsia="Times New Roman" w:hAnsi="Palatino Linotype" w:cs="Arial"/>
          <w:i/>
          <w:lang w:eastAsia="es-ES"/>
        </w:rPr>
        <w:t>” (sic). En el expediente no consta la periodicidad de pago del salario, razón por la cual se estima que la obligación de la demandada era cancelarlo a más tardar el último día del mes. Así, los intereses sobre el total de lo adeudado (¢254.503,60) se calcularán del 30 de setiembre al 20 de febrero de 2018, sin perjuicio de que la parte actora pueda demandar cualquier ajuste, en atención a la fecha del efectivo pago. Aplicada la tasa de interés dicha al monto adeudado durante el período indicado, el resultado es de ¢6.015,82, conforme se desprende del siguiente cuadro:</w:t>
      </w:r>
      <w:r w:rsidR="00B954BF" w:rsidRPr="00D66245">
        <w:rPr>
          <w:rFonts w:ascii="Palatino Linotype" w:eastAsia="Times New Roman" w:hAnsi="Palatino Linotype" w:cs="Arial"/>
          <w:i/>
          <w:lang w:eastAsia="es-ES"/>
        </w:rPr>
        <w:t>/ (…)</w:t>
      </w:r>
    </w:p>
    <w:p w14:paraId="0C83892E" w14:textId="77777777" w:rsidR="00BF40B0" w:rsidRPr="00D66245" w:rsidRDefault="00BF40B0"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i/>
          <w:lang w:eastAsia="es-ES"/>
        </w:rPr>
        <w:t>El actor reclama el pago de daños y perjuicios con sustento en el artículo 545 del </w:t>
      </w:r>
      <w:r w:rsidRPr="00D66245">
        <w:rPr>
          <w:rFonts w:ascii="Palatino Linotype" w:eastAsia="Times New Roman" w:hAnsi="Palatino Linotype" w:cs="Arial"/>
          <w:i/>
          <w:iCs/>
          <w:lang w:eastAsia="es-ES"/>
        </w:rPr>
        <w:t>Código de Trabajo</w:t>
      </w:r>
      <w:r w:rsidRPr="00D66245">
        <w:rPr>
          <w:rFonts w:ascii="Palatino Linotype" w:eastAsia="Times New Roman" w:hAnsi="Palatino Linotype" w:cs="Arial"/>
          <w:i/>
          <w:lang w:eastAsia="es-ES"/>
        </w:rPr>
        <w:t>; no obstante, omitió indicar en qué consistían, el motivo que los origina y su estimación, conforme a la obligación procesal que deriva de los numerales 542, último párrafo y 495, inciso 5), </w:t>
      </w:r>
      <w:r w:rsidRPr="00D66245">
        <w:rPr>
          <w:rFonts w:ascii="Palatino Linotype" w:eastAsia="Times New Roman" w:hAnsi="Palatino Linotype" w:cs="Arial"/>
          <w:i/>
          <w:iCs/>
          <w:lang w:eastAsia="es-ES"/>
        </w:rPr>
        <w:t>in fine </w:t>
      </w:r>
      <w:r w:rsidRPr="00D66245">
        <w:rPr>
          <w:rFonts w:ascii="Palatino Linotype" w:eastAsia="Times New Roman" w:hAnsi="Palatino Linotype" w:cs="Arial"/>
          <w:i/>
          <w:lang w:eastAsia="es-ES"/>
        </w:rPr>
        <w:t>del</w:t>
      </w:r>
      <w:r w:rsidRPr="00D66245">
        <w:rPr>
          <w:rFonts w:ascii="Palatino Linotype" w:eastAsia="Times New Roman" w:hAnsi="Palatino Linotype" w:cs="Arial"/>
          <w:i/>
          <w:iCs/>
          <w:lang w:eastAsia="es-ES"/>
        </w:rPr>
        <w:t> Código de Trabajo, </w:t>
      </w:r>
      <w:r w:rsidRPr="00D66245">
        <w:rPr>
          <w:rFonts w:ascii="Palatino Linotype" w:eastAsia="Times New Roman" w:hAnsi="Palatino Linotype" w:cs="Arial"/>
          <w:i/>
          <w:lang w:eastAsia="es-ES"/>
        </w:rPr>
        <w:t>sin que se adviertan otros distintos al pago de los salarios caídos y los intereses. En consecuencia, respecto de esta pretensión también habrá de acogerse la excepción formulada. En cuanto a las costas, el canon 562 </w:t>
      </w:r>
      <w:r w:rsidRPr="00D66245">
        <w:rPr>
          <w:rFonts w:ascii="Palatino Linotype" w:eastAsia="Times New Roman" w:hAnsi="Palatino Linotype" w:cs="Arial"/>
          <w:i/>
          <w:iCs/>
          <w:lang w:eastAsia="es-ES"/>
        </w:rPr>
        <w:t>ídem, </w:t>
      </w:r>
      <w:r w:rsidRPr="00D66245">
        <w:rPr>
          <w:rFonts w:ascii="Palatino Linotype" w:eastAsia="Times New Roman" w:hAnsi="Palatino Linotype" w:cs="Arial"/>
          <w:i/>
          <w:lang w:eastAsia="es-ES"/>
        </w:rPr>
        <w:t>en lo que resulta de interés, estipula: “</w:t>
      </w:r>
      <w:r w:rsidRPr="00D66245">
        <w:rPr>
          <w:rFonts w:ascii="Palatino Linotype" w:eastAsia="Times New Roman" w:hAnsi="Palatino Linotype" w:cs="Arial"/>
          <w:i/>
          <w:iCs/>
          <w:lang w:eastAsia="es-ES"/>
        </w:rPr>
        <w:t>En toda sentencia,… se condenará al vencido,…, al pago de las costas personales y procesales causadas./Si la sentencia resuelve el asunto por el fondo… las personales no podrán ser menores del quince por ciento (15%) ni mayores del veinticinco por ciento (25%) del importe líquido de la condenatoria o de la absolución, en su caso./ En los demás supuestos, así como </w:t>
      </w:r>
      <w:r w:rsidRPr="00D66245">
        <w:rPr>
          <w:rFonts w:ascii="Palatino Linotype" w:eastAsia="Times New Roman" w:hAnsi="Palatino Linotype" w:cs="Arial"/>
          <w:b/>
          <w:bCs/>
          <w:i/>
          <w:iCs/>
          <w:lang w:eastAsia="es-ES"/>
        </w:rPr>
        <w:t>cuando el proceso no fuera susceptible de estimación pecuniaria, la fijación se hará prudencialmente</w:t>
      </w:r>
      <w:r w:rsidRPr="00D66245">
        <w:rPr>
          <w:rFonts w:ascii="Palatino Linotype" w:eastAsia="Times New Roman" w:hAnsi="Palatino Linotype" w:cs="Arial"/>
          <w:i/>
          <w:iCs/>
          <w:lang w:eastAsia="es-ES"/>
        </w:rPr>
        <w:t>./ </w:t>
      </w:r>
      <w:r w:rsidRPr="00D66245">
        <w:rPr>
          <w:rFonts w:ascii="Palatino Linotype" w:eastAsia="Times New Roman" w:hAnsi="Palatino Linotype" w:cs="Arial"/>
          <w:b/>
          <w:bCs/>
          <w:i/>
          <w:iCs/>
          <w:lang w:eastAsia="es-ES"/>
        </w:rPr>
        <w:t>Para hacer la fijación del porcentaje o del monto prudencial se tomarán en cuenta la labor realizada, la cuantía de la cosa litigada y la posición económica del actor y demandado.</w:t>
      </w:r>
      <w:r w:rsidRPr="00D66245">
        <w:rPr>
          <w:rFonts w:ascii="Palatino Linotype" w:eastAsia="Times New Roman" w:hAnsi="Palatino Linotype" w:cs="Arial"/>
          <w:i/>
          <w:iCs/>
          <w:lang w:eastAsia="es-ES"/>
        </w:rPr>
        <w:t>/ En los asuntos inestimables en que hubiera trascendencia económica se hará la fijación con base en el monto resultante hasta la firmeza de la sentencia y, si a consecuencia del proceso se siguiera generando en el futuro el resultado económico, podrá agregarse al monto fijado, según criterio prudencial, hasta un cincuenta por ciento (50%). </w:t>
      </w:r>
      <w:r w:rsidRPr="00D66245">
        <w:rPr>
          <w:rFonts w:ascii="Palatino Linotype" w:eastAsia="Times New Roman" w:hAnsi="Palatino Linotype" w:cs="Arial"/>
          <w:b/>
          <w:bCs/>
          <w:i/>
          <w:iCs/>
          <w:lang w:eastAsia="es-ES"/>
        </w:rPr>
        <w:t>Si el resultado económico fuera intrascendente se hará la fijación de forma prudencial con fundamento en los criterios mencionados</w:t>
      </w:r>
      <w:r w:rsidRPr="00D66245">
        <w:rPr>
          <w:rFonts w:ascii="Palatino Linotype" w:eastAsia="Times New Roman" w:hAnsi="Palatino Linotype" w:cs="Arial"/>
          <w:i/>
          <w:iCs/>
          <w:lang w:eastAsia="es-ES"/>
        </w:rPr>
        <w:t>.” </w:t>
      </w:r>
      <w:r w:rsidRPr="00D66245">
        <w:rPr>
          <w:rFonts w:ascii="Palatino Linotype" w:eastAsia="Times New Roman" w:hAnsi="Palatino Linotype" w:cs="Arial"/>
          <w:i/>
          <w:lang w:eastAsia="es-ES"/>
        </w:rPr>
        <w:t>(La negrita no consta en el original). El presente asunto conlleva una pretensión inestimable, cual es la reinstalación del actor en su puesto de trabajo, con el pleno goce de sus derechos. Es de trascendencia en razón de la pretensión de reinstalación, pero realmente, el resultado económico por salarios caídos es mínimo, al haberse ejecutado la medida provisional de reinstalación en muy corto tiempo. Así las cosas, se estima que resulta de aplicación el último supuesto regulado en el numeral transcrito y la fijación de las costas personales debe realizarse de manera prudencial en atención a los parámetros del penúltimo párrafo de la norma. Así, ha de condenarse a la accionada a pagar ambas costas del proceso y las personales fijarlas en la cantidad de doscientos cincuenta mil colones. De conformidad con lo establecido en el artículo 567 del </w:t>
      </w:r>
      <w:r w:rsidRPr="00D66245">
        <w:rPr>
          <w:rFonts w:ascii="Palatino Linotype" w:eastAsia="Times New Roman" w:hAnsi="Palatino Linotype" w:cs="Arial"/>
          <w:i/>
          <w:iCs/>
          <w:lang w:eastAsia="es-ES"/>
        </w:rPr>
        <w:t>Código de Trabajo, </w:t>
      </w:r>
      <w:r w:rsidRPr="00D66245">
        <w:rPr>
          <w:rFonts w:ascii="Palatino Linotype" w:eastAsia="Times New Roman" w:hAnsi="Palatino Linotype" w:cs="Arial"/>
          <w:i/>
          <w:lang w:eastAsia="es-ES"/>
        </w:rPr>
        <w:t>la demandada deberá realizar las deducciones legales respectivas, incluyendo las cuotas obrero-patronales y todas las obligaciones correspondientes a la Seguridad Social.</w:t>
      </w:r>
      <w:r w:rsidR="00B954BF" w:rsidRPr="00D66245">
        <w:rPr>
          <w:rFonts w:ascii="Palatino Linotype" w:eastAsia="Times New Roman" w:hAnsi="Palatino Linotype" w:cs="Arial"/>
          <w:i/>
          <w:lang w:eastAsia="es-ES"/>
        </w:rPr>
        <w:t>”</w:t>
      </w:r>
    </w:p>
    <w:p w14:paraId="0344488C" w14:textId="77777777" w:rsidR="001B35D5" w:rsidRPr="00D66245" w:rsidRDefault="001B35D5" w:rsidP="008D025F">
      <w:pPr>
        <w:shd w:val="clear" w:color="auto" w:fill="FFFFFF"/>
        <w:spacing w:before="120" w:after="200" w:line="300" w:lineRule="atLeast"/>
        <w:jc w:val="center"/>
        <w:rPr>
          <w:rFonts w:ascii="Palatino Linotype" w:eastAsia="Times New Roman" w:hAnsi="Palatino Linotype" w:cs="Arial"/>
          <w:b/>
          <w:lang w:eastAsia="es-ES"/>
        </w:rPr>
      </w:pPr>
      <w:r w:rsidRPr="00D66245">
        <w:rPr>
          <w:rFonts w:ascii="Palatino Linotype" w:eastAsia="Times New Roman" w:hAnsi="Palatino Linotype" w:cs="Arial"/>
          <w:b/>
          <w:lang w:eastAsia="es-ES"/>
        </w:rPr>
        <w:t>FUERO POR TRATO DISCRIMINATORIO</w:t>
      </w:r>
    </w:p>
    <w:p w14:paraId="2A80B54D" w14:textId="77777777" w:rsidR="001B35D5" w:rsidRPr="00D66245" w:rsidRDefault="001B35D5"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2018-000640</w:t>
      </w:r>
    </w:p>
    <w:p w14:paraId="26B8245D" w14:textId="77777777" w:rsidR="001B35D5" w:rsidRPr="00D66245" w:rsidRDefault="001B35D5" w:rsidP="00B070CF">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diecisiete horas cuarenta y cinco minutos del diez de abril de dos mil dieciocho.</w:t>
      </w:r>
    </w:p>
    <w:p w14:paraId="0157D204" w14:textId="77777777" w:rsidR="001B35D5" w:rsidRPr="00D66245" w:rsidRDefault="00B954BF"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w:t>
      </w:r>
      <w:r w:rsidR="001B35D5" w:rsidRPr="00D66245">
        <w:rPr>
          <w:rFonts w:ascii="Palatino Linotype" w:eastAsia="Times New Roman" w:hAnsi="Palatino Linotype" w:cs="Arial"/>
          <w:b/>
          <w:bCs/>
          <w:i/>
          <w:lang w:eastAsia="es-ES"/>
        </w:rPr>
        <w:t>IV. CASACIÓN POR EL FONDO (ARTÍCULO 588 ÍDEM).</w:t>
      </w:r>
      <w:r w:rsidR="001B35D5" w:rsidRPr="00D66245">
        <w:rPr>
          <w:rFonts w:ascii="Palatino Linotype" w:eastAsia="Times New Roman" w:hAnsi="Palatino Linotype" w:cs="Arial"/>
          <w:i/>
          <w:lang w:eastAsia="es-ES"/>
        </w:rPr>
        <w:t> Los motivos restantes son de orden sustantivo, por lo que serán analizados conjuntamente. El gestionante alega una incorrecta aplicación del régimen probatorio, también que no se valoró el testimonio de Mariano Quesada Campos; reprocha que la jueza haya indicado que su traslado se debió a motivos personales y no laborales; también menciona la certificación ACT-ORDRH-84-2015 del 14 de julio de 2015, en la que se estableció una lista de funcionarios que actualmente reciben zonaje dentro del mismo cantón; todo con el fin de demostrar un trato desigual o discriminatorio en su contra. En primer lugar, lleva razón la accionada cuando afirma que el zonaje no es un derecho adquirido que ingresa de manera permanente al salario del funcionario</w:t>
      </w:r>
      <w:r w:rsidR="000556D4" w:rsidRPr="00D66245">
        <w:rPr>
          <w:rFonts w:ascii="Palatino Linotype" w:eastAsia="Times New Roman" w:hAnsi="Palatino Linotype" w:cs="Arial"/>
          <w:i/>
          <w:lang w:eastAsia="es-ES"/>
        </w:rPr>
        <w:t>. S</w:t>
      </w:r>
      <w:r w:rsidR="001B35D5" w:rsidRPr="00D66245">
        <w:rPr>
          <w:rFonts w:ascii="Palatino Linotype" w:eastAsia="Times New Roman" w:hAnsi="Palatino Linotype" w:cs="Arial"/>
          <w:i/>
          <w:lang w:eastAsia="es-ES"/>
        </w:rPr>
        <w:t>u otorgamiento depende del cumplimiento de ciertos requisitos, los cuales, deben ser estudiados por la Administración. En el caso que nos ocupa, ha quedado evidenciado que la procedencia del citado sobresueldo l o regula el Reglamento para el reconocimiento del incentivo por concepto de Zonaje para los funcionarios del SINAC, n.° 35622-MINAET. Este dispone a la letra y en lo de interés, lo siguiente:</w:t>
      </w:r>
    </w:p>
    <w:p w14:paraId="212088D8" w14:textId="77777777" w:rsidR="001B35D5" w:rsidRPr="00D66245" w:rsidRDefault="001B35D5"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i/>
          <w:lang w:eastAsia="es-ES"/>
        </w:rPr>
        <w:t>“</w:t>
      </w:r>
      <w:r w:rsidRPr="00D66245">
        <w:rPr>
          <w:rFonts w:ascii="Palatino Linotype" w:eastAsia="Times New Roman" w:hAnsi="Palatino Linotype" w:cs="Arial"/>
          <w:i/>
          <w:iCs/>
          <w:lang w:eastAsia="es-ES"/>
        </w:rPr>
        <w:t>Artículo 1. Para los efectos del presente Reglamento se entenderá por zonaje: aquella compensación adicional que reciban los servidores del SINAC que tengan que prestar sus servicios en lugar distintos al de su </w:t>
      </w:r>
      <w:r w:rsidRPr="00D66245">
        <w:rPr>
          <w:rFonts w:ascii="Palatino Linotype" w:eastAsia="Times New Roman" w:hAnsi="Palatino Linotype" w:cs="Arial"/>
          <w:i/>
          <w:iCs/>
          <w:u w:val="single"/>
          <w:lang w:eastAsia="es-ES"/>
        </w:rPr>
        <w:t>domicilio legal</w:t>
      </w:r>
      <w:r w:rsidRPr="00D66245">
        <w:rPr>
          <w:rFonts w:ascii="Palatino Linotype" w:eastAsia="Times New Roman" w:hAnsi="Palatino Linotype" w:cs="Arial"/>
          <w:i/>
          <w:iCs/>
          <w:lang w:eastAsia="es-ES"/>
        </w:rPr>
        <w:t>, siempre y cuando el lugar de prestación de servicios se encuentre a más de veinte kilómetros (20 km) de su domicilio legal (según tabla de kilometraje del Ministerio de Obras Públicas y Transportes), o que eventualmente permanezcan fuera de la circunscripción territorial de éste por más de un mes, en forma continua, siempre que la zona en donde realicen sus trabajos justifique tal compensación</w:t>
      </w:r>
      <w:r w:rsidRPr="00D66245">
        <w:rPr>
          <w:rFonts w:ascii="Palatino Linotype" w:eastAsia="Times New Roman" w:hAnsi="Palatino Linotype" w:cs="Arial"/>
          <w:i/>
          <w:lang w:eastAsia="es-ES"/>
        </w:rPr>
        <w:t>”.</w:t>
      </w:r>
    </w:p>
    <w:p w14:paraId="782E9272" w14:textId="77777777" w:rsidR="001B35D5" w:rsidRPr="00D66245" w:rsidRDefault="001B35D5"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i/>
          <w:lang w:eastAsia="es-ES"/>
        </w:rPr>
        <w:t>Es cierto que para conceder esta partida debe darse un traslado del domicilio legal (según el reglamento que rige en la institución empleadora n.°35622-MINAET) , al lugar donde se prestan los servicios. Empero, este debe ser en aras de satisfacer un interés público superior y por la voluntad administrativa. Por consiguiente, este plus no se integra al salario en forma permanente sino que resulta circunstancial o temporal, tal como sucede con el pago de horas extra o disponibilidad, cuya retribución también procede solo mientras se labora en las condiciones de hecho que esos pluses remuneran, de tal manera que en el momento en que la Administración constata que la persona servidora ha dejado de laborar bajo esos supuestos, está facultada a suspender el pago de esos pluses, aunque el funcionario los hubiera percibido durante un período prolongado (véase fallo de este órgano n.°1269-17 de las 12 horas 10 minutos del 23 de agosto de 2017). Así, en el acta n.° 06-2014 emitida por la Comisión de Incentivos del SINAC, visible en la imagen 332 del expediente completo del Juzgado, se tiene lo siguiente:</w:t>
      </w:r>
    </w:p>
    <w:p w14:paraId="2DB50BCD" w14:textId="77777777" w:rsidR="001B35D5" w:rsidRPr="00D66245" w:rsidRDefault="001B35D5"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i/>
          <w:lang w:eastAsia="es-ES"/>
        </w:rPr>
        <w:t>“</w:t>
      </w:r>
      <w:r w:rsidRPr="00D66245">
        <w:rPr>
          <w:rFonts w:ascii="Palatino Linotype" w:eastAsia="Times New Roman" w:hAnsi="Palatino Linotype" w:cs="Arial"/>
          <w:i/>
          <w:iCs/>
          <w:lang w:eastAsia="es-ES"/>
        </w:rPr>
        <w:t>Se conoce solicitud del señor [Nombre 001], según el traslado de oficio ACT-ORDRH-1650 de fecha 27 de noviembre de 2014, según la cual se traslada la solicitud de revisión de reajuste de zonaje, presentada, y con vista en la información aportada y lo manifestado por el funcionario, se resuelve rechazar la solicitud de zonaje por cuanto pese a que se desprende de la certificación que el domicilio legal del funcionario y su lugar de trabajo está a más de 20 kilómetros ambas ubicaciones se encuentran dentro de un mismo cantón, correspondiendo a la misma circunscripción territorial, razón por la cual corresponde el reconocimiento del incentivo de Regionalización</w:t>
      </w:r>
      <w:r w:rsidRPr="00D66245">
        <w:rPr>
          <w:rFonts w:ascii="Palatino Linotype" w:eastAsia="Times New Roman" w:hAnsi="Palatino Linotype" w:cs="Arial"/>
          <w:i/>
          <w:lang w:eastAsia="es-ES"/>
        </w:rPr>
        <w:t>”.</w:t>
      </w:r>
    </w:p>
    <w:p w14:paraId="15927464" w14:textId="77777777" w:rsidR="001B35D5" w:rsidRPr="00D66245" w:rsidRDefault="001B35D5" w:rsidP="00B070CF">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i/>
          <w:lang w:eastAsia="es-ES"/>
        </w:rPr>
        <w:t>Aunque la accionada motivó el acto denegatorio en que el domicilio legal del actor y su lugar de trabajo están dentro de un mismo cantón, es importante destacar que el accionante no ha logrado desvirtuar lo indicado por la Administración, en cuanto a que no ha existido de su parte disposición alguna que de origen al traslado de domicilio. Al respecto señaló, “</w:t>
      </w:r>
      <w:r w:rsidRPr="00D66245">
        <w:rPr>
          <w:rFonts w:ascii="Palatino Linotype" w:eastAsia="Times New Roman" w:hAnsi="Palatino Linotype" w:cs="Arial"/>
          <w:i/>
          <w:iCs/>
          <w:lang w:eastAsia="es-ES"/>
        </w:rPr>
        <w:t>sin que medie justificación ni disposición de la Administración que implique el cambio o traslado de domicilio</w:t>
      </w:r>
      <w:r w:rsidRPr="00D66245">
        <w:rPr>
          <w:rFonts w:ascii="Palatino Linotype" w:eastAsia="Times New Roman" w:hAnsi="Palatino Linotype" w:cs="Arial"/>
          <w:i/>
          <w:lang w:eastAsia="es-ES"/>
        </w:rPr>
        <w:t> […] </w:t>
      </w:r>
      <w:r w:rsidRPr="00D66245">
        <w:rPr>
          <w:rFonts w:ascii="Palatino Linotype" w:eastAsia="Times New Roman" w:hAnsi="Palatino Linotype" w:cs="Arial"/>
          <w:i/>
          <w:iCs/>
          <w:lang w:eastAsia="es-ES"/>
        </w:rPr>
        <w:t>sino que si existe algún cambio de su condición de domicilio es por propia voluntad del funcionario</w:t>
      </w:r>
      <w:r w:rsidRPr="00D66245">
        <w:rPr>
          <w:rFonts w:ascii="Palatino Linotype" w:eastAsia="Times New Roman" w:hAnsi="Palatino Linotype" w:cs="Arial"/>
          <w:i/>
          <w:lang w:eastAsia="es-ES"/>
        </w:rPr>
        <w:t>” (imagen 148 del expediente del Juzgado). Dicho sea de paso, al señor [Nombre 001] se le cancela el beneficio de regionalización, en razón de que su domicilio y su lugar de trabajo se encuentran dentro de un mismo cantón, correspondien tes a la misma circunscripción territorial. Además, el zonaje implica un desarraigo del funcionario de su domicilio habitual y de su centro de trabajo, lo cual conlleva incluso, alojarse en el nuevo sitio en que vendría a prestar sus servicios (puede consultarse el dictamen de la Contraloría General de la República FOE-SAF-0423 del 19 de octubre de 2007). Sobre ese punto, el actor no ha demostrado que el SINAC haya tenido la intención de trasladarle a una zona distinta de su lugar de residencia habitual por circunstancias excepcionales, por lo que no existe discriminación alguna en su contra con respecto de otros compañeros. Sobre el particular, se ha entendido que el zonaje es un plus que se concede en virtud de un traslado instado por la Administración, cuando un funcionario tenga que prestar sus servicios en un lugar distante al de contratación, justificándose así tal compensación por los gastos extraordinarios en que incurre en razón de su traslado. Dicha decisión debe ser de interés institucional y justificada técnicamente por el órgano competente, además de estar permitido por alguna fuente normativa. Resulta oportuno advertir que en el expediente existen pruebas de que un grupo de funcionarios del SINAC, residentes del mismo cantón, reciben beneficio de zonaje (véase oficio ACT-ORDRH-584-2015), sin embargo, como en el proceso no se aportó prueba idónea para tener por demostrado que entre esos funcionarios y el actor se dieron iguales circunstancias fácticas para la aplicación del Reglamento para el pago del plus por zonaje, esta Sala no tiene elementos suficientes para tener por demostrada la alegada discriminación , lo que impide variar lo resuelto. Además, esta no quedó acreditada y conviene advertir que no todo ejercicio de potestades públicas es discriminatoria, sino que debe partir se de la premisa de que todo acto administrativo es válido, salvo prueba en contrario. De ahí que acierte la jueza de instancia, la cual contrastó la recomendación n. °111 de la Organización Internacional del Trabajo sobre la discriminación en materia de empleo y ocupación, con la situación fáctica del caso en estudio, para comprender que el caso del actor no encuadra en una conducta de este tipo, descartándose acciones del empleador que tengan por efecto anular o alterar la igualdad de oportunidades o de trato en el empleo y la ocupación. Corolario de lo expuesto, no incurrió el A quo en una incorrecta aplicación del régimen probatorio, tampoco se valoró indebidamente la certificación ACT-ORDRH-84-2015 del 14 de julio de 2015, ni se equivocó al determinar que no existió trato discriminatorio alguno en contra del promovente. En cuanto a la preterición del testimonio del señor Mariano Quesada Campos, esta Sala no advierte yerro alguno. Este tipo de conductas jurisdiccionales se constituyen cuando el juez no le concede el valor respectivo a la prueba, ya sea porque la sobredimensione, la subestime, o desconozca del todo la existencia de ese elemento (preterición). En todo caso, dejar de valorar una probanza o desconocerla, no implica per se, un error capaz de generar la nulidad del fallo. Si bien es cierto este testigo, en criterio del recurrente, acreditaba que estando en condiciones idénticas a las del actor recibía el beneficio delzonaje, ello en nada cambiaría la decisión de este asunto y por lo tanto su exclusión no podría generarle ningún tipo de indefensión, pues nótese que a partir de este testigo no podría determinarse que el promovente se le dio un trato discriminatorio en situaciones de igualdad fáctica con otros funcionarios. En conclusión, no se observan conductas administrativas discriminatorias que hagan necesario acoger el presente proceso de protección en fueros especiales y tutela del debido proceso.</w:t>
      </w:r>
      <w:r w:rsidR="00B954BF" w:rsidRPr="00D66245">
        <w:rPr>
          <w:rFonts w:ascii="Palatino Linotype" w:eastAsia="Times New Roman" w:hAnsi="Palatino Linotype" w:cs="Arial"/>
          <w:i/>
          <w:lang w:eastAsia="es-ES"/>
        </w:rPr>
        <w:t>”</w:t>
      </w:r>
    </w:p>
    <w:p w14:paraId="2FB50AE4" w14:textId="1CCD5037" w:rsidR="001B35D5" w:rsidRPr="00D66245" w:rsidRDefault="001B35D5" w:rsidP="008D025F">
      <w:pPr>
        <w:shd w:val="clear" w:color="auto" w:fill="FFFFFF"/>
        <w:spacing w:before="120" w:after="200" w:line="300" w:lineRule="atLeast"/>
        <w:jc w:val="center"/>
        <w:rPr>
          <w:rFonts w:ascii="Palatino Linotype" w:eastAsia="Times New Roman" w:hAnsi="Palatino Linotype" w:cs="Arial"/>
          <w:b/>
          <w:lang w:eastAsia="es-ES"/>
        </w:rPr>
      </w:pPr>
      <w:r w:rsidRPr="00D66245">
        <w:rPr>
          <w:rFonts w:ascii="Palatino Linotype" w:eastAsia="Times New Roman" w:hAnsi="Palatino Linotype" w:cs="Arial"/>
          <w:b/>
          <w:lang w:eastAsia="es-ES"/>
        </w:rPr>
        <w:t xml:space="preserve">FUERO POR DISCRIMINACIÓN POR </w:t>
      </w:r>
      <w:r w:rsidR="00F17DFB" w:rsidRPr="00D66245">
        <w:rPr>
          <w:rFonts w:ascii="Palatino Linotype" w:eastAsia="Times New Roman" w:hAnsi="Palatino Linotype" w:cs="Arial"/>
          <w:b/>
          <w:lang w:eastAsia="es-ES"/>
        </w:rPr>
        <w:t xml:space="preserve">RAZONES DE </w:t>
      </w:r>
      <w:r w:rsidRPr="00D66245">
        <w:rPr>
          <w:rFonts w:ascii="Palatino Linotype" w:eastAsia="Times New Roman" w:hAnsi="Palatino Linotype" w:cs="Arial"/>
          <w:b/>
          <w:lang w:eastAsia="es-ES"/>
        </w:rPr>
        <w:t>SALUD</w:t>
      </w:r>
    </w:p>
    <w:p w14:paraId="08EF6495" w14:textId="77777777" w:rsidR="001B35D5" w:rsidRPr="00D66245" w:rsidRDefault="001B35D5"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2018-000413</w:t>
      </w:r>
    </w:p>
    <w:p w14:paraId="62F25A2E" w14:textId="77777777" w:rsidR="001B35D5" w:rsidRPr="00D66245" w:rsidRDefault="001B35D5" w:rsidP="00311FAA">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once horas y cero minutos del dos de marzo de dos mil dieciocho.</w:t>
      </w:r>
    </w:p>
    <w:p w14:paraId="067A7D71" w14:textId="26ACD657" w:rsidR="001B35D5" w:rsidRDefault="00B954BF" w:rsidP="00311FAA">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eastAsia="es-ES"/>
        </w:rPr>
        <w:t>“</w:t>
      </w:r>
      <w:r w:rsidR="001B35D5" w:rsidRPr="00D66245">
        <w:rPr>
          <w:rFonts w:ascii="Palatino Linotype" w:eastAsia="Times New Roman" w:hAnsi="Palatino Linotype" w:cs="Arial"/>
          <w:b/>
          <w:bCs/>
          <w:i/>
          <w:lang w:eastAsia="es-ES"/>
        </w:rPr>
        <w:t>IV.- RAZONES DE FONDO: </w:t>
      </w:r>
      <w:r w:rsidR="001B35D5" w:rsidRPr="00D66245">
        <w:rPr>
          <w:rFonts w:ascii="Palatino Linotype" w:eastAsia="Times New Roman" w:hAnsi="Palatino Linotype" w:cs="Arial"/>
          <w:i/>
          <w:lang w:eastAsia="es-ES"/>
        </w:rPr>
        <w:t>el numeral 404 del Código de Trabajo prohíbe toda discriminación en el trabajo por “… </w:t>
      </w:r>
      <w:r w:rsidR="001B35D5" w:rsidRPr="00D66245">
        <w:rPr>
          <w:rFonts w:ascii="Palatino Linotype" w:eastAsia="Times New Roman" w:hAnsi="Palatino Linotype" w:cs="Arial"/>
          <w:i/>
          <w:iCs/>
          <w:lang w:eastAsia="es-ES"/>
        </w:rPr>
        <w:t>razones de edad, etnia, sexo, religión, raza, orientación sexual, estado civil, opinión política, ascendencia nacional, origen social, filiación, discapacidad, afiliación sindical, situación económica o cualquier otra forma análoga de discriminación</w:t>
      </w:r>
      <w:r w:rsidR="001B35D5" w:rsidRPr="00D66245">
        <w:rPr>
          <w:rFonts w:ascii="Palatino Linotype" w:eastAsia="Times New Roman" w:hAnsi="Palatino Linotype" w:cs="Arial"/>
          <w:i/>
          <w:lang w:eastAsia="es-ES"/>
        </w:rPr>
        <w:t>”</w:t>
      </w:r>
      <w:r w:rsidR="001B35D5" w:rsidRPr="00D66245">
        <w:rPr>
          <w:rFonts w:ascii="Palatino Linotype" w:eastAsia="Times New Roman" w:hAnsi="Palatino Linotype" w:cs="Arial"/>
          <w:i/>
          <w:iCs/>
          <w:lang w:eastAsia="es-ES"/>
        </w:rPr>
        <w:t>. </w:t>
      </w:r>
      <w:r w:rsidR="001B35D5" w:rsidRPr="00D66245">
        <w:rPr>
          <w:rFonts w:ascii="Palatino Linotype" w:eastAsia="Times New Roman" w:hAnsi="Palatino Linotype" w:cs="Arial"/>
          <w:i/>
          <w:lang w:eastAsia="es-ES"/>
        </w:rPr>
        <w:t>En el ordinal 406 siguiente se prohíben los despidos por cualquier causa discriminatoria. La sanción prevista por el quebranto de tal prohibición es la nulidad del acto del despido, con la consecuente reinstalación de la persona trabajadora en su puesto de trabajo, con el pleno goce de sus derechos y las consecuencias previstas para la sentencia de reinstalación (artículos 410 y 566 </w:t>
      </w:r>
      <w:r w:rsidR="001B35D5" w:rsidRPr="00D66245">
        <w:rPr>
          <w:rFonts w:ascii="Palatino Linotype" w:eastAsia="Times New Roman" w:hAnsi="Palatino Linotype" w:cs="Arial"/>
          <w:i/>
          <w:iCs/>
          <w:lang w:eastAsia="es-ES"/>
        </w:rPr>
        <w:t>ídem</w:t>
      </w:r>
      <w:r w:rsidR="001B35D5" w:rsidRPr="00D66245">
        <w:rPr>
          <w:rFonts w:ascii="Palatino Linotype" w:eastAsia="Times New Roman" w:hAnsi="Palatino Linotype" w:cs="Arial"/>
          <w:i/>
          <w:lang w:eastAsia="es-ES"/>
        </w:rPr>
        <w:t>). El numeral 409 de dicho Código</w:t>
      </w:r>
      <w:r w:rsidR="001B35D5" w:rsidRPr="00D66245">
        <w:rPr>
          <w:rFonts w:ascii="Palatino Linotype" w:eastAsia="Times New Roman" w:hAnsi="Palatino Linotype" w:cs="Arial"/>
          <w:i/>
          <w:iCs/>
          <w:lang w:eastAsia="es-ES"/>
        </w:rPr>
        <w:t> </w:t>
      </w:r>
      <w:r w:rsidR="001B35D5" w:rsidRPr="00D66245">
        <w:rPr>
          <w:rFonts w:ascii="Palatino Linotype" w:eastAsia="Times New Roman" w:hAnsi="Palatino Linotype" w:cs="Arial"/>
          <w:i/>
          <w:lang w:eastAsia="es-ES"/>
        </w:rPr>
        <w:t>estipula que “… </w:t>
      </w:r>
      <w:r w:rsidR="001B35D5" w:rsidRPr="00D66245">
        <w:rPr>
          <w:rFonts w:ascii="Palatino Linotype" w:eastAsia="Times New Roman" w:hAnsi="Palatino Linotype" w:cs="Arial"/>
          <w:i/>
          <w:iCs/>
          <w:lang w:eastAsia="es-ES"/>
        </w:rPr>
        <w:t>quien alegue la discriminación deberá señalar específicamente el sustento fáctico en el que funda su alegato y los términos de comparación que substancie su afirmación”</w:t>
      </w:r>
      <w:r w:rsidR="001B35D5" w:rsidRPr="00D66245">
        <w:rPr>
          <w:rFonts w:ascii="Palatino Linotype" w:eastAsia="Times New Roman" w:hAnsi="Palatino Linotype" w:cs="Arial"/>
          <w:i/>
          <w:lang w:eastAsia="es-ES"/>
        </w:rPr>
        <w:t> y, el ordinal 478, inciso 10), </w:t>
      </w:r>
      <w:r w:rsidR="001B35D5" w:rsidRPr="00D66245">
        <w:rPr>
          <w:rFonts w:ascii="Palatino Linotype" w:eastAsia="Times New Roman" w:hAnsi="Palatino Linotype" w:cs="Arial"/>
          <w:i/>
          <w:iCs/>
          <w:lang w:eastAsia="es-ES"/>
        </w:rPr>
        <w:t>ibídem</w:t>
      </w:r>
      <w:r w:rsidR="001B35D5" w:rsidRPr="00D66245">
        <w:rPr>
          <w:rFonts w:ascii="Palatino Linotype" w:eastAsia="Times New Roman" w:hAnsi="Palatino Linotype" w:cs="Arial"/>
          <w:i/>
          <w:lang w:eastAsia="es-ES"/>
        </w:rPr>
        <w:t>, establece que cuando no exista acuerdo entre las partes, la empleadora deberá demostrar</w:t>
      </w:r>
      <w:r w:rsidR="001B35D5" w:rsidRPr="00D66245">
        <w:rPr>
          <w:rFonts w:ascii="Palatino Linotype" w:eastAsia="Times New Roman" w:hAnsi="Palatino Linotype" w:cs="Arial"/>
          <w:b/>
          <w:bCs/>
          <w:i/>
          <w:lang w:eastAsia="es-ES"/>
        </w:rPr>
        <w:t> </w:t>
      </w:r>
      <w:r w:rsidR="001B35D5" w:rsidRPr="00D66245">
        <w:rPr>
          <w:rFonts w:ascii="Palatino Linotype" w:eastAsia="Times New Roman" w:hAnsi="Palatino Linotype" w:cs="Arial"/>
          <w:i/>
          <w:iCs/>
          <w:lang w:eastAsia="es-ES"/>
        </w:rPr>
        <w:t>“La justificación de la objetividad, racionalidad y proporcionalidad de las medidas o las conductas señaladas como discriminatorias en todas las demandas relacionadas con discriminaciones”</w:t>
      </w:r>
      <w:r w:rsidR="001B35D5" w:rsidRPr="00D66245">
        <w:rPr>
          <w:rFonts w:ascii="Palatino Linotype" w:eastAsia="Times New Roman" w:hAnsi="Palatino Linotype" w:cs="Arial"/>
          <w:i/>
          <w:lang w:eastAsia="es-ES"/>
        </w:rPr>
        <w:t>. En relación con el tema de discriminación laboral por razones de salud, la Sala Constitucional en su resolución n.° 13205, de las 15:13 horas del 27 de setiembre de 2005, expuso: </w:t>
      </w:r>
      <w:r w:rsidR="001B35D5" w:rsidRPr="00D66245">
        <w:rPr>
          <w:rFonts w:ascii="Palatino Linotype" w:eastAsia="Times New Roman" w:hAnsi="Palatino Linotype" w:cs="Arial"/>
          <w:i/>
          <w:iCs/>
          <w:lang w:eastAsia="es-ES"/>
        </w:rPr>
        <w:t>“…Propiamente en materia de discriminación laboral, el Estado ha ratificado una serie de convenios sobre la materia, como el Convenio OIT 111 Sobre Discriminación en Materia de Empleo y Ocupación, la Convención Interamericana contra la Discriminación de Discapacitados, la Convención para la Eliminación de Todas las Formas de Discriminación contra la Mujer, entre otros. </w:t>
      </w:r>
      <w:r w:rsidR="001B35D5" w:rsidRPr="00D66245">
        <w:rPr>
          <w:rFonts w:ascii="Palatino Linotype" w:eastAsia="Times New Roman" w:hAnsi="Palatino Linotype" w:cs="Arial"/>
          <w:b/>
          <w:bCs/>
          <w:i/>
          <w:iCs/>
          <w:lang w:eastAsia="es-ES"/>
        </w:rPr>
        <w:t>Si bien ninguno de estos convenios contempla explícitamente la enfermedad</w:t>
      </w:r>
      <w:r w:rsidR="001B35D5" w:rsidRPr="00D66245">
        <w:rPr>
          <w:rFonts w:ascii="Palatino Linotype" w:eastAsia="Times New Roman" w:hAnsi="Palatino Linotype" w:cs="Arial"/>
          <w:i/>
          <w:iCs/>
          <w:lang w:eastAsia="es-ES"/>
        </w:rPr>
        <w:t> –término más amplio que la mera discapacidad, pues no toda persona enferma es discapacitada- como motivo de discriminación, no menos cierto es que, por una parte, </w:t>
      </w:r>
      <w:r w:rsidR="001B35D5" w:rsidRPr="00D66245">
        <w:rPr>
          <w:rFonts w:ascii="Palatino Linotype" w:eastAsia="Times New Roman" w:hAnsi="Palatino Linotype" w:cs="Arial"/>
          <w:b/>
          <w:bCs/>
          <w:i/>
          <w:iCs/>
          <w:lang w:eastAsia="es-ES"/>
        </w:rPr>
        <w:t>el inciso b) del primer artículo del Convenio 111 admite la posibilidad de especificar, a través de cierta vía, cualquier tipo de discriminación que anule o altere la igualdad de oportunidades o de trato en el empleo u ocupación</w:t>
      </w:r>
      <w:r w:rsidR="001B35D5" w:rsidRPr="00D66245">
        <w:rPr>
          <w:rFonts w:ascii="Palatino Linotype" w:eastAsia="Times New Roman" w:hAnsi="Palatino Linotype" w:cs="Arial"/>
          <w:i/>
          <w:iCs/>
          <w:lang w:eastAsia="es-ES"/>
        </w:rPr>
        <w:t> y, por otra parte, tanto la Declaración Universal de los Derechos Humanos como la Convención Americana sobre Derechos Humanos proscriben de manera expresa toda clase de trato discriminatorio. Esta concepción es recogida por el referido numeral 33 de nuestra Constitución Política que dispone que toda persona sea igual ante la ley y no pueda practicarse discriminación alguna contraria a la dignidad humana. En consecuencia, el Principio del Estado Social de Derecho, el derecho a no sufrir trato discriminatorio por cualesquiera motivos y el respeto a la dignidad humana son elementos de nuestro orden constitucional que coexisten pacíficamente, cuya tutela y fomento no solo le corresponde al Estado, sino también a todos los integrantes de la comunidad” </w:t>
      </w:r>
      <w:r w:rsidR="001B35D5" w:rsidRPr="00D66245">
        <w:rPr>
          <w:rFonts w:ascii="Palatino Linotype" w:eastAsia="Times New Roman" w:hAnsi="Palatino Linotype" w:cs="Arial"/>
          <w:i/>
          <w:lang w:eastAsia="es-ES"/>
        </w:rPr>
        <w:t>(el resaltado es agregado)</w:t>
      </w:r>
      <w:r w:rsidR="001B35D5" w:rsidRPr="00D66245">
        <w:rPr>
          <w:rFonts w:ascii="Palatino Linotype" w:eastAsia="Times New Roman" w:hAnsi="Palatino Linotype" w:cs="Arial"/>
          <w:i/>
          <w:iCs/>
          <w:lang w:eastAsia="es-ES"/>
        </w:rPr>
        <w:t>. </w:t>
      </w:r>
      <w:r w:rsidR="001B35D5" w:rsidRPr="00D66245">
        <w:rPr>
          <w:rFonts w:ascii="Palatino Linotype" w:eastAsia="Times New Roman" w:hAnsi="Palatino Linotype" w:cs="Arial"/>
          <w:i/>
          <w:lang w:eastAsia="es-ES"/>
        </w:rPr>
        <w:t>En esa sentencia se incluyen los principios que rigen las cargas probatorias en esta materia y que concuerdan con los artículos 409 y 478, inciso 10), citados. En ese sentido, se apuntó: </w:t>
      </w:r>
      <w:r w:rsidR="001B35D5" w:rsidRPr="00D66245">
        <w:rPr>
          <w:rFonts w:ascii="Palatino Linotype" w:eastAsia="Times New Roman" w:hAnsi="Palatino Linotype" w:cs="Arial"/>
          <w:i/>
          <w:iCs/>
          <w:lang w:eastAsia="es-ES"/>
        </w:rPr>
        <w:t>"...es ineludible traer a colación la importancia que tiene la distribución de la carga de la prueba para procurarle al trabajador resguardo frente a actuaciones patronales que constituyan discriminación. En este sentido, se plantea la necesidad de garantizar que los derechos fundamentales del trabajador no sean desconocidos por el patrono bajo la cobertura formal del ejercicio por parte de éste de los derechos y facultades reconocidos por las normas laborales para organizar las prestaciones de trabajo, aspecto en el que no se puede obviar la especial dificultad que caracteriza la operación de develar en los procedimientos judiciales correspondientes una lesión constitucional por discriminación, encubierta tras la aparente legalidad del acto patronal. Semejante necesidad es tanto más fuerte cuanto mayor es el margen de discrecionalidad con que operan en el contrato de trabajo las facultades organizativas y disciplinarias del empleador, como sucede con el despido, que no es ilimitado pues está sujeto a parámetros legales y constitucionales […] En consecuencia, prima facie, </w:t>
      </w:r>
      <w:r w:rsidR="001B35D5" w:rsidRPr="00D66245">
        <w:rPr>
          <w:rFonts w:ascii="Palatino Linotype" w:eastAsia="Times New Roman" w:hAnsi="Palatino Linotype" w:cs="Arial"/>
          <w:b/>
          <w:bCs/>
          <w:i/>
          <w:iCs/>
          <w:lang w:eastAsia="es-ES"/>
        </w:rPr>
        <w:t>el amparado que alega discriminación laboral debe desarrollar una actividad alegatoria suficientemente concreta y precisa, en torno a los indicios de que ha existido tal violación al derecho a la igualdad</w:t>
      </w:r>
      <w:r w:rsidR="001B35D5" w:rsidRPr="00D66245">
        <w:rPr>
          <w:rFonts w:ascii="Palatino Linotype" w:eastAsia="Times New Roman" w:hAnsi="Palatino Linotype" w:cs="Arial"/>
          <w:i/>
          <w:iCs/>
          <w:lang w:eastAsia="es-ES"/>
        </w:rPr>
        <w:t>. Esta condición ha sido ampliamente reiterada por la jurisprudencia de esta Sala (ver sentencia número 2004-11984 de las 10:10 horas del 29 de octubre de 2004 y 2004-11437 de las 9:53 horas del 15 de octubre de 2004). </w:t>
      </w:r>
      <w:r w:rsidR="001B35D5" w:rsidRPr="00D66245">
        <w:rPr>
          <w:rFonts w:ascii="Palatino Linotype" w:eastAsia="Times New Roman" w:hAnsi="Palatino Linotype" w:cs="Arial"/>
          <w:b/>
          <w:bCs/>
          <w:i/>
          <w:iCs/>
          <w:lang w:eastAsia="es-ES"/>
        </w:rPr>
        <w:t>Alcanzado, en su caso, un resultado probatorio suficiente por el accionante, sobre la parte recurrida recae la carga de probar la existencia de causas suficientes, reales y serias, para calificar de razonable y ajena a todo propósito discriminatorio la decisión o práctica patronal cuestionada, único medio de destruir la apariencia lesiva creada por los indicios</w:t>
      </w:r>
      <w:r w:rsidR="001B35D5" w:rsidRPr="00D66245">
        <w:rPr>
          <w:rFonts w:ascii="Palatino Linotype" w:eastAsia="Times New Roman" w:hAnsi="Palatino Linotype" w:cs="Arial"/>
          <w:i/>
          <w:iCs/>
          <w:lang w:eastAsia="es-ES"/>
        </w:rPr>
        <w:t>”</w:t>
      </w:r>
      <w:r w:rsidR="001B35D5" w:rsidRPr="00D66245">
        <w:rPr>
          <w:rFonts w:ascii="Palatino Linotype" w:eastAsia="Times New Roman" w:hAnsi="Palatino Linotype" w:cs="Arial"/>
          <w:i/>
          <w:lang w:eastAsia="es-ES"/>
        </w:rPr>
        <w:t> (sic. El resaltado es agregado. Este criterio se reiteró, entre otras sentencias, en las números 16038, de las 16:31 horas del 13 de octubre de 2015; 14504, de las 9:05 horas del 1° de noviembre de 2013; y 12857, de las 14:45 horas del 25 de setiembre de 2013). Esta otra Sala también ha abordado asuntos relacionados con despidos discriminatorios. En igual línea que la jurisprudencia constitucional, ha señalado: </w:t>
      </w:r>
      <w:r w:rsidR="001B35D5" w:rsidRPr="00D66245">
        <w:rPr>
          <w:rFonts w:ascii="Palatino Linotype" w:eastAsia="Times New Roman" w:hAnsi="Palatino Linotype" w:cs="Arial"/>
          <w:i/>
          <w:iCs/>
          <w:lang w:eastAsia="es-ES"/>
        </w:rPr>
        <w:t>“El tema principal en este proceso es determinar si existió o no un despido discriminatorio en contra del actor, por motivos de salud. Al respecto, ya la Sala ha abordado el tema indicando: ‘El artículo 33 de la Carta Magna establece un principio genérico de igualdad aplicable a las relaciones de empleo. Esta máxima dispone la equidad ante la ley y la imposibilidad de discriminación contraria a la dignidad de las personas. De tal modo, que se recubre a la persona trabajadora de una tutela efectiva frente a actuaciones del empresario que amenacen con menoscabar esa garantía, mediante tratos que condicionen el justo acceso al trabajo digno y bien remunerado. El Convenio 111 de 1985 de la Organización Internacional del Trabajo denominado ‘sobre la discriminación (empleo y ocupación)’ (debidamente ratificado por Costa Rica) define ese concepto en su artículo primero de la siguiente forma: ‘1. A los efectos de este Convenio, el término </w:t>
      </w:r>
      <w:r w:rsidR="001B35D5" w:rsidRPr="00D66245">
        <w:rPr>
          <w:rFonts w:ascii="Palatino Linotype" w:eastAsia="Times New Roman" w:hAnsi="Palatino Linotype" w:cs="Arial"/>
          <w:b/>
          <w:bCs/>
          <w:i/>
          <w:iCs/>
          <w:lang w:eastAsia="es-ES"/>
        </w:rPr>
        <w:t>discriminación </w:t>
      </w:r>
      <w:r w:rsidR="001B35D5" w:rsidRPr="00D66245">
        <w:rPr>
          <w:rFonts w:ascii="Palatino Linotype" w:eastAsia="Times New Roman" w:hAnsi="Palatino Linotype" w:cs="Arial"/>
          <w:i/>
          <w:iCs/>
          <w:lang w:eastAsia="es-ES"/>
        </w:rPr>
        <w:t>comprende: /a) cualquier distinción, exclusión o preferencia basada en motivos de raza, color, sexo, religión, opinión política, ascendencia nacional u origen social que tenga por efecto anular o alterar la igualdad de oportunidades o de trato en el empleo y la ocupación; /b) cualquier otra distinción, exclusión o preferencia que tenga por efecto anular o alterar la igualdad de oportunidades o de trato en el empleo u ocupación que podrá ser especificada por el Miembro interesado previa consulta con las organizaciones representativas de empleadores y de trabajadores, cuando dichas organizaciones existan, y con otros organismos apropiados’. La Sala Constitucional ha integrado esas dos normas junto a la Declaratoria Universal de los Derechos Humanos y la Convención Americana sobre Derechos Humanos, para razonar que el derecho a no sufrir trato discriminatorio y el respeto a la dignidad humana son pilares fundamentales del ordenamiento constitucional […] Como puede deducirse, la regla contemplada por el canon 63 de la Constitución Política encuentra su límite en los derechos fundamentales de la persona trabajadora, toda vez que la potestad patronal de libre despido se ve coartada a que se ejecute dentro de los parámetros de la razonabilidad y la proporcionalidad. En el mismo fallo recién citado, la Sala Constitucional ha recogido la tesitura del Tribunal Constitucional Español respecto al desplazamiento de la carga de la prueba en asuntos donde se debata la práctica de despidos discriminatorios. Según esta posición, </w:t>
      </w:r>
      <w:r w:rsidR="001B35D5" w:rsidRPr="00D66245">
        <w:rPr>
          <w:rFonts w:ascii="Palatino Linotype" w:eastAsia="Times New Roman" w:hAnsi="Palatino Linotype" w:cs="Arial"/>
          <w:b/>
          <w:bCs/>
          <w:i/>
          <w:iCs/>
          <w:lang w:eastAsia="es-ES"/>
        </w:rPr>
        <w:t>la actividad probatoria de la persona que alegue la discriminación se limitará a traer indicios claros y precisos de la violación del derecho de igualdad. De tal suerte, que recaerá sobre la entidad patronal la obligación de demostrar que su decisión fue basada en causas reales o verídicas ajenas a cualquier móvil subyacente discriminatorio</w:t>
      </w:r>
      <w:r w:rsidR="001B35D5" w:rsidRPr="00D66245">
        <w:rPr>
          <w:rFonts w:ascii="Palatino Linotype" w:eastAsia="Times New Roman" w:hAnsi="Palatino Linotype" w:cs="Arial"/>
          <w:i/>
          <w:iCs/>
          <w:lang w:eastAsia="es-ES"/>
        </w:rPr>
        <w:t> […]”</w:t>
      </w:r>
      <w:r w:rsidR="001B35D5" w:rsidRPr="00D66245">
        <w:rPr>
          <w:rFonts w:ascii="Palatino Linotype" w:eastAsia="Times New Roman" w:hAnsi="Palatino Linotype" w:cs="Arial"/>
          <w:i/>
          <w:lang w:eastAsia="es-ES"/>
        </w:rPr>
        <w:t> (El resaltado es agregado. Sentencia n.° 751, de las 10:00 horas del 15 de julio de 2015). Con base en lo expuesto y la normativa citada, el trabajador debió aportar indicios claros y precisos de la discriminación alegada y la parte accionada debió probar la causal objetiva que invocó al contestar, excluyente del trato discriminatorio acusado. En la demanda, el accionante sostuvo que fue objeto de un despido discriminatorio por motivos de salud, por cuanto en mayo de 2017 sufrió un riesgo de trabajo que le provocó una lesión en su espalda a nivel lumbar y el 7 de julio de ese mismo año –poco más de mes y medio después- fue cesado sin motivo alguno. La cercanía entre un hecho como el descrito (accidente o enfermedad) y el despido ha sido considerada como un indicio de la existencia de una actuación discriminatoria. Por consiguiente, le correspondía a la demandada acreditar el hecho objetivo invocado que, desplazara y excluyera el ánimo discriminatorio. El apoderado general de la empresa, al contestar la demanda alegó que desconocía cualquier padecimiento en la salud del actor, pero, en todo caso, que la ruptura del vínculo laboral se dio en razón de que la empresa se estaba trasladando de Global Park (Heredia) a Coyol (Alajuela), traslado que iba de la mano con una reestructuración de personal, la cual terminaría el 5 de enero de 2018. De la prueba documental allegada al expediente se comprueba el padecimiento alegado por el trabajador en su escrito inicial (lesión en la espalda), así como la atención recibida por parte de Láser Médica (imágenes 35-37 de la vista completa del expediente electrónico de la Sala); sin embargo, el indicio discriminatorio fue desvirtuado por la accionada, al acreditar que la ruptura del vínculo se dio por una causa objetiva y racional, derivada del proceso de traslado de oficinas y la reestructuración de la empresa, circunstancias que produjeron el despido de una cantidad importante de personas trabajadoras. Así, el 31 de octubre de 2017, la Gerente de Recursos Humanos, Johanna Salas Álvarez, suscribió un oficio indicando: </w:t>
      </w:r>
      <w:r w:rsidR="001B35D5" w:rsidRPr="00D66245">
        <w:rPr>
          <w:rFonts w:ascii="Palatino Linotype" w:eastAsia="Times New Roman" w:hAnsi="Palatino Linotype" w:cs="Arial"/>
          <w:i/>
          <w:iCs/>
          <w:lang w:eastAsia="es-ES"/>
        </w:rPr>
        <w:t>“Por este medio hacemos constar que la empresa se encuentra en un proceso de traslado de ubicación de Global Park/ Heredia a Coyol de Alajuela, Condominio centro logístico. Este proceso ha provocado que nuestra estructura organizacional/ Organigrama cambie por temas de espacio, reducción de costos y eficiencia en los procesos. / La mayoría de áreas han sido evaluadas desde Enero del 2017 proyectando el traslado en el 2do semestre del año en curso y teniendo como fecha límite el 5 de enero 2018 para aplicar los cambios. Parte de estos cambios ha sido el despido con responsabilidad patronal de 43 colaboradores y en los próximos meses hemos proyectado 25 colaboradores” </w:t>
      </w:r>
      <w:r w:rsidR="001B35D5" w:rsidRPr="00D66245">
        <w:rPr>
          <w:rFonts w:ascii="Palatino Linotype" w:eastAsia="Times New Roman" w:hAnsi="Palatino Linotype" w:cs="Arial"/>
          <w:i/>
          <w:lang w:eastAsia="es-ES"/>
        </w:rPr>
        <w:t>(sic. Imagen 219 ibídem). Lo anterior fue ratificado en su declaración como testigo, cuando además señaló que una las acciones llevadas a cabo por la empresa fue conversar con las personas colaboradoras para conocer los inconvenientes que les traía el traslado de las oficinas. Precisó que el demandante adujo que no tenía las posibilidades para movilizarse y que por más que se le dieron opciones para facilitarle el transporte no fueron bien recibas por parte de este; lo que llevó a prescindir de sus servicios. Mencionó que el accionante justificó el rechazo de la ayuda en motivos personales, el horario de los buses y su imposibilidad de adquirir algún tipo de vehículo. Asimismo, la ponente dejó claro que el actor no fue la única persona despedida y que el puesto desempeñado por él ya no existía; incluso enfatizó que pasaron de 12 o 13 operarios a 6 o 7 (archivo de multimedia incorporado el 16 de noviembre de 2017 alas 11:45:25 horas). En igual sentido declaró el señor Oviedo Villalobos, quien fuera el jefe del demandante. Este confirmó que el trabajador fue despedido al aducir que no podía trasladarse a las nuevas instalaciones de la empresa; a pesar de las opciones que le fueron ofrecidas. De igual manera, aseveró que el departamento en el que trabajaba el accionante fue reestructurado y que otras personas colaboradoras también fueron cesadas, entre ellas una de nombre Kattia, a quien se le despidió el mismo día que al actor (archivo de multimedia incluido el 16 de noviembre de 2017 a las 12:04:05 horas). Finalmente, el apoderado general de la demandada expuso que desde hacía 2 años se venía planificando el traslado de la planta a Coyol, por lo que empezaron a informarle al personal y a realizar averiguaciones sobre la forma como los afectaba. Dijo que la señora Salas Álvarez era quien se reunía con las personas trabajadoras y que aquellas que no quisieron trasladarse fueron despedidas (especificó que alrededor de 40), con el pago de todos sus derechos. Indicó que el demandante no quiso pasarse a Coyol, que su departamento fue reestructurado y se contrató a una persona para cubrir un tercer turno, mas no el puesto que este ocupaba. Por último, atestiguó que el 7 de julio de 2017, día en que se despidió al accionante, también fue cesada una persona más (archivo de multimedia agregado el 16 de noviembre de 2017 a las 11:10:08 horas). Estas manifestaciones resultan contestes, claras y precisas respecto de lo acaecido, por lo que merecen total credibilidad a esta Sala. En el recurso se plantean agravios relacionados directamente con el accidente de trabajo que alega haber sufrido el trabajador en el mes de mayo de 2017, así como la manipulación de la información brindada por parte de los profesionales en salud que prestan sus servicios a la empresa. Estos argumentos resultan inatendibles; toda vez que el objeto de esta </w:t>
      </w:r>
      <w:r w:rsidR="001B35D5" w:rsidRPr="00D66245">
        <w:rPr>
          <w:rFonts w:ascii="Palatino Linotype" w:eastAsia="Times New Roman" w:hAnsi="Palatino Linotype" w:cs="Arial"/>
          <w:i/>
          <w:iCs/>
          <w:lang w:eastAsia="es-ES"/>
        </w:rPr>
        <w:t>litis</w:t>
      </w:r>
      <w:r w:rsidR="001B35D5" w:rsidRPr="00D66245">
        <w:rPr>
          <w:rFonts w:ascii="Palatino Linotype" w:eastAsia="Times New Roman" w:hAnsi="Palatino Linotype" w:cs="Arial"/>
          <w:i/>
          <w:lang w:eastAsia="es-ES"/>
        </w:rPr>
        <w:t> es determinar si el despido fue discriminatorio por motivos de salud y no la comprobación de dicho riesgo laboral. Por otro lado, se reprocha que la jueza haya tomado como prueba una supuesta reunión celebrada entre su persona, su jefe inmediato y la trabajadora de Recursos Humanos, de la cual no se dejó constancia, no existe una minuta ni nada firmado por él. De las reuniones no consta prueba documental alguna que demuestre que estas se llevaron a cabo ni lo discutido en ellas, pero las declaraciones de las personas referidas líneas atrás resultan suficientes para tenerlas por probadas. Tómese en consideración que aquella no constituye el único medio probatorio válido en materia laboral, pues las partes también pueden ofrecer prueba testimonial, pericial, confesional, entre otras, para acreditar su dicho. Al respecto, el numeral 479 del Código de Trabajo reza: </w:t>
      </w:r>
      <w:r w:rsidR="001B35D5" w:rsidRPr="00D66245">
        <w:rPr>
          <w:rFonts w:ascii="Palatino Linotype" w:eastAsia="Times New Roman" w:hAnsi="Palatino Linotype" w:cs="Arial"/>
          <w:i/>
          <w:iCs/>
          <w:lang w:eastAsia="es-ES"/>
        </w:rPr>
        <w:t>“Puede ofrecerse todo medio probatorio que sirva a la convicción del tribunal, admisibles en derecho público y en derecho común, siempre que no esté expresamente prohibido ni sea contrario al orden público o a la moral […]” </w:t>
      </w:r>
      <w:r w:rsidR="001B35D5" w:rsidRPr="00D66245">
        <w:rPr>
          <w:rFonts w:ascii="Palatino Linotype" w:eastAsia="Times New Roman" w:hAnsi="Palatino Linotype" w:cs="Arial"/>
          <w:i/>
          <w:lang w:eastAsia="es-ES"/>
        </w:rPr>
        <w:t>También se objeta que no se aportó elemento probatorio alguno que demostrara los 40 despidos con responsabilidad patronal aludidos en la contestación de la demanda y en la testmonial. No lleva razón el recurrente; ese hecho sí fue probado. Como él mismo lo señala, la ponente Salas Álvarez refirió que aproximadamente 40 o 45 personas fueron despedidas; lo cual resulta conforme con lo expuesto en el documento visible a imagen 219 de la vista completa del expediente electrónico del Juzgado y lo manifestado por el señor Mora Vargas en su declaración. Se reprocha, además, que la sentencia se dictó sin contar con el resultado de la valoración médico forense que le fue realizada el 16 de noviembre de 2017. Este agravio tampoco resulta procedente. La prueba aludida en nada cambiaría la forma en la que se viene resolviendo. El objeto del dictamen es establecer si al actor le corresponde o no una incapacidad temporal o permanente, lo que no incide en la decisión de este asunto, pues –como se dijo- el aspecto en discusión es determinar si el despido fue discriminatorio y no su estado de salud. Igualmente se impugna la interpretación realizada por la juzgadora respecto del ordinal 543 del Código de Trabajo. Estima que este no se refiere a un grupo de empresas, sucursales o sedes sino a una empresa de orden privado; máxime que el párrafo que le antecede se refiere a procesos en contra de la Administración Pública. Lleva razón el recurrente porque la norma hace alusión a las empresas privadas en términos generales y no realiza una especificación como la aducida por la jueza. No obstante, dicha interpretación en nada afecta lo decidido y, por ende, no lleva a modificar lo resuelto.</w:t>
      </w:r>
      <w:r w:rsidRPr="00D66245">
        <w:rPr>
          <w:rFonts w:ascii="Palatino Linotype" w:eastAsia="Times New Roman" w:hAnsi="Palatino Linotype" w:cs="Arial"/>
          <w:i/>
          <w:lang w:eastAsia="es-ES"/>
        </w:rPr>
        <w:t>”</w:t>
      </w:r>
    </w:p>
    <w:p w14:paraId="4FA79BC0" w14:textId="6C0EEDEA" w:rsidR="00214F2D" w:rsidRDefault="00214F2D" w:rsidP="00311FAA">
      <w:pPr>
        <w:shd w:val="clear" w:color="auto" w:fill="FFFFFF"/>
        <w:spacing w:before="120" w:after="200" w:line="300" w:lineRule="atLeast"/>
        <w:ind w:left="851" w:right="851"/>
        <w:jc w:val="both"/>
        <w:rPr>
          <w:rFonts w:ascii="Palatino Linotype" w:eastAsia="Times New Roman" w:hAnsi="Palatino Linotype" w:cs="Arial"/>
          <w:i/>
          <w:lang w:eastAsia="es-ES"/>
        </w:rPr>
      </w:pPr>
    </w:p>
    <w:p w14:paraId="13CA09B2" w14:textId="48E2A37E" w:rsidR="00214F2D" w:rsidRDefault="00214F2D" w:rsidP="00311FAA">
      <w:pPr>
        <w:shd w:val="clear" w:color="auto" w:fill="FFFFFF"/>
        <w:spacing w:before="120" w:after="200" w:line="300" w:lineRule="atLeast"/>
        <w:ind w:left="851" w:right="851"/>
        <w:jc w:val="both"/>
        <w:rPr>
          <w:rFonts w:ascii="Palatino Linotype" w:eastAsia="Times New Roman" w:hAnsi="Palatino Linotype" w:cs="Arial"/>
          <w:i/>
          <w:lang w:eastAsia="es-ES"/>
        </w:rPr>
      </w:pPr>
    </w:p>
    <w:p w14:paraId="39A6EA99" w14:textId="77777777" w:rsidR="00214F2D" w:rsidRPr="00D66245" w:rsidRDefault="00214F2D" w:rsidP="00311FAA">
      <w:pPr>
        <w:shd w:val="clear" w:color="auto" w:fill="FFFFFF"/>
        <w:spacing w:before="120" w:after="200" w:line="300" w:lineRule="atLeast"/>
        <w:ind w:left="851" w:right="851"/>
        <w:jc w:val="both"/>
        <w:rPr>
          <w:rFonts w:ascii="Palatino Linotype" w:eastAsia="Times New Roman" w:hAnsi="Palatino Linotype" w:cs="Arial"/>
          <w:i/>
          <w:lang w:eastAsia="es-ES"/>
        </w:rPr>
      </w:pPr>
    </w:p>
    <w:p w14:paraId="229129C7" w14:textId="77777777" w:rsidR="00744DCA" w:rsidRPr="00D66245" w:rsidRDefault="00AD3EFA" w:rsidP="008D025F">
      <w:pPr>
        <w:spacing w:before="120" w:after="200"/>
        <w:jc w:val="center"/>
        <w:rPr>
          <w:rFonts w:ascii="Palatino Linotype" w:hAnsi="Palatino Linotype"/>
          <w:b/>
        </w:rPr>
      </w:pPr>
      <w:r w:rsidRPr="00D66245">
        <w:rPr>
          <w:rFonts w:ascii="Palatino Linotype" w:hAnsi="Palatino Linotype"/>
          <w:b/>
        </w:rPr>
        <w:t xml:space="preserve">FUERO POR </w:t>
      </w:r>
      <w:r w:rsidR="00BE476A" w:rsidRPr="00D66245">
        <w:rPr>
          <w:rFonts w:ascii="Palatino Linotype" w:hAnsi="Palatino Linotype"/>
          <w:b/>
        </w:rPr>
        <w:t xml:space="preserve">VIOLACION AL </w:t>
      </w:r>
      <w:r w:rsidRPr="00D66245">
        <w:rPr>
          <w:rFonts w:ascii="Palatino Linotype" w:hAnsi="Palatino Linotype"/>
          <w:b/>
        </w:rPr>
        <w:t>DEBIDO PROCESO</w:t>
      </w:r>
    </w:p>
    <w:p w14:paraId="35FC793B" w14:textId="77777777" w:rsidR="00AD3EFA" w:rsidRPr="00D66245" w:rsidRDefault="00AD3EFA"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2018-000641</w:t>
      </w:r>
    </w:p>
    <w:p w14:paraId="31C3A048" w14:textId="77777777" w:rsidR="00AD3EFA" w:rsidRPr="00D66245" w:rsidRDefault="00AD3EFA" w:rsidP="00311FAA">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diecisiete horas cincuenta minutos del diez de abril de dos mil dieciocho.</w:t>
      </w:r>
    </w:p>
    <w:p w14:paraId="506CB095" w14:textId="5B41925B" w:rsidR="00F17DFB" w:rsidRPr="00D66245" w:rsidRDefault="00B954BF" w:rsidP="00311FAA">
      <w:pPr>
        <w:shd w:val="clear" w:color="auto" w:fill="FFFFFF"/>
        <w:spacing w:before="120" w:after="200" w:line="300" w:lineRule="atLeast"/>
        <w:ind w:left="851" w:right="851"/>
        <w:jc w:val="both"/>
        <w:rPr>
          <w:rFonts w:ascii="Palatino Linotype" w:eastAsia="Times New Roman" w:hAnsi="Palatino Linotype" w:cs="Arial"/>
          <w:b/>
          <w:bCs/>
          <w:lang w:eastAsia="es-ES"/>
        </w:rPr>
      </w:pPr>
      <w:r w:rsidRPr="00D66245">
        <w:rPr>
          <w:rFonts w:ascii="Palatino Linotype" w:eastAsia="Times New Roman" w:hAnsi="Palatino Linotype" w:cs="Arial"/>
          <w:b/>
          <w:bCs/>
          <w:i/>
          <w:lang w:eastAsia="es-ES"/>
        </w:rPr>
        <w:t>“</w:t>
      </w:r>
      <w:r w:rsidR="00AD3EFA" w:rsidRPr="00D66245">
        <w:rPr>
          <w:rFonts w:ascii="Palatino Linotype" w:eastAsia="Times New Roman" w:hAnsi="Palatino Linotype" w:cs="Arial"/>
          <w:b/>
          <w:bCs/>
          <w:i/>
          <w:lang w:eastAsia="es-ES"/>
        </w:rPr>
        <w:t>III.- SOBRE EL CASO EN CONCRETO: </w:t>
      </w:r>
      <w:r w:rsidR="00AD3EFA" w:rsidRPr="00D66245">
        <w:rPr>
          <w:rFonts w:ascii="Palatino Linotype" w:eastAsia="Times New Roman" w:hAnsi="Palatino Linotype" w:cs="Arial"/>
          <w:i/>
          <w:lang w:eastAsia="es-ES"/>
        </w:rPr>
        <w:t>La Reforma Procesal Laboral , Ley número 9343, que entró en vigencia el 25 de julio de 2017, incorporó dentro de su Capítulo sétimo, Sección segunda, la Protección en fueros especiales y tutela del debido proceso, específicamente en el artículo 540 y , en lo que interesa para este asunto, prevé: “</w:t>
      </w:r>
      <w:r w:rsidR="00AD3EFA" w:rsidRPr="00D66245">
        <w:rPr>
          <w:rFonts w:ascii="Palatino Linotype" w:eastAsia="Times New Roman" w:hAnsi="Palatino Linotype" w:cs="Arial"/>
          <w:i/>
          <w:iCs/>
          <w:lang w:eastAsia="es-ES"/>
        </w:rPr>
        <w:t>Las personas trabajadoras, tanto del sector público como del privado, que en virtud de un fuero especial gocen de estabilidad en su empleo o de procedimientos especiales para ser afectados, podrán impugnar en la vía sumarísima prevista en esta sección, con motivo del despido o de cualquier otra medida disciplinaria o discriminatoria, la violación de fueros especiales de protección, de procedimientos a que tienen derecho, formalidades o autorizaciones especialmente previstas. Se encuentran dentro de esa previsión: …</w:t>
      </w:r>
      <w:r w:rsidR="00AD3EFA" w:rsidRPr="00D66245">
        <w:rPr>
          <w:rFonts w:ascii="Palatino Linotype" w:eastAsia="Times New Roman" w:hAnsi="Palatino Linotype" w:cs="Arial"/>
          <w:i/>
          <w:lang w:eastAsia="es-ES"/>
        </w:rPr>
        <w:t>2) </w:t>
      </w:r>
      <w:r w:rsidR="00AD3EFA" w:rsidRPr="00D66245">
        <w:rPr>
          <w:rFonts w:ascii="Palatino Linotype" w:eastAsia="Times New Roman" w:hAnsi="Palatino Linotype" w:cs="Arial"/>
          <w:i/>
          <w:iCs/>
          <w:lang w:eastAsia="es-ES"/>
        </w:rPr>
        <w:t>Las demás personas trabajadoras del sector público para la tutela del debido proceso o fueros semejantes, a que tengan derecho de acuerdo con el ordenamiento constitucional o legal.</w:t>
      </w:r>
      <w:r w:rsidR="00AD3EFA" w:rsidRPr="00D66245">
        <w:rPr>
          <w:rFonts w:ascii="Palatino Linotype" w:eastAsia="Times New Roman" w:hAnsi="Palatino Linotype" w:cs="Arial"/>
          <w:i/>
          <w:lang w:eastAsia="es-ES"/>
        </w:rPr>
        <w:t> </w:t>
      </w:r>
      <w:r w:rsidR="00AD3EFA" w:rsidRPr="00D66245">
        <w:rPr>
          <w:rFonts w:ascii="Palatino Linotype" w:eastAsia="Times New Roman" w:hAnsi="Palatino Linotype" w:cs="Arial"/>
          <w:i/>
          <w:iCs/>
          <w:lang w:eastAsia="es-ES"/>
        </w:rPr>
        <w:t>"</w:t>
      </w:r>
      <w:r w:rsidR="00AD3EFA" w:rsidRPr="00D66245">
        <w:rPr>
          <w:rFonts w:ascii="Palatino Linotype" w:eastAsia="Times New Roman" w:hAnsi="Palatino Linotype" w:cs="Arial"/>
          <w:i/>
          <w:lang w:eastAsia="es-ES"/>
        </w:rPr>
        <w:t> Por su parte el numeral 542 señala: “</w:t>
      </w:r>
      <w:r w:rsidR="00AD3EFA" w:rsidRPr="00D66245">
        <w:rPr>
          <w:rFonts w:ascii="Palatino Linotype" w:eastAsia="Times New Roman" w:hAnsi="Palatino Linotype" w:cs="Arial"/>
          <w:i/>
          <w:iCs/>
          <w:lang w:eastAsia="es-ES"/>
        </w:rPr>
        <w:t>Las personas indicadas en el artículo anterior tendrán derecho a un debido proceso, previo al despido, el cual se regirá por las siguientes disposiciones: </w:t>
      </w:r>
      <w:r w:rsidR="00AD3EFA" w:rsidRPr="00D66245">
        <w:rPr>
          <w:rFonts w:ascii="Palatino Linotype" w:eastAsia="Times New Roman" w:hAnsi="Palatino Linotype" w:cs="Arial"/>
          <w:i/>
          <w:lang w:eastAsia="es-ES"/>
        </w:rPr>
        <w:t>a) </w:t>
      </w:r>
      <w:r w:rsidR="00AD3EFA" w:rsidRPr="00D66245">
        <w:rPr>
          <w:rFonts w:ascii="Palatino Linotype" w:eastAsia="Times New Roman" w:hAnsi="Palatino Linotype" w:cs="Arial"/>
          <w:i/>
          <w:iCs/>
          <w:lang w:eastAsia="es-ES"/>
        </w:rPr>
        <w:t>El debido proceso de las personas indicadas en los incisos 1), 2) y 8) del artículo anterior se regulará por el procedimiento administrativo de la dependencia competente conforme a la norma de tutela correspondiente, salvo el caso del inciso 8) en que no esté previsto un debido proceso. </w:t>
      </w:r>
      <w:r w:rsidR="00AD3EFA" w:rsidRPr="00D66245">
        <w:rPr>
          <w:rFonts w:ascii="Palatino Linotype" w:eastAsia="Times New Roman" w:hAnsi="Palatino Linotype" w:cs="Arial"/>
          <w:i/>
          <w:lang w:eastAsia="es-ES"/>
        </w:rPr>
        <w:t>b) </w:t>
      </w:r>
      <w:r w:rsidR="00AD3EFA" w:rsidRPr="00D66245">
        <w:rPr>
          <w:rFonts w:ascii="Palatino Linotype" w:eastAsia="Times New Roman" w:hAnsi="Palatino Linotype" w:cs="Arial"/>
          <w:i/>
          <w:iCs/>
          <w:lang w:eastAsia="es-ES"/>
        </w:rPr>
        <w:t>El debido proceso para el despido de las personas indicadas en los incisos 3), 4), 5) y 6) del artículo anterior, deberá gestionarse ante la Dirección Nacional de Inspección General de Trabajo. </w:t>
      </w:r>
      <w:r w:rsidR="00AD3EFA" w:rsidRPr="00D66245">
        <w:rPr>
          <w:rFonts w:ascii="Palatino Linotype" w:eastAsia="Times New Roman" w:hAnsi="Palatino Linotype" w:cs="Arial"/>
          <w:i/>
          <w:lang w:eastAsia="es-ES"/>
        </w:rPr>
        <w:t>c) </w:t>
      </w:r>
      <w:r w:rsidR="00AD3EFA" w:rsidRPr="00D66245">
        <w:rPr>
          <w:rFonts w:ascii="Palatino Linotype" w:eastAsia="Times New Roman" w:hAnsi="Palatino Linotype" w:cs="Arial"/>
          <w:i/>
          <w:iCs/>
          <w:lang w:eastAsia="es-ES"/>
        </w:rPr>
        <w:t>El debido proceso de las personas indicadas en el inciso 7) del artículo anterior deberá gestionarse ante el juzgado de trabajo respectivo.</w:t>
      </w:r>
      <w:r w:rsidR="00AD3EFA" w:rsidRPr="00D66245">
        <w:rPr>
          <w:rFonts w:ascii="Palatino Linotype" w:eastAsia="Times New Roman" w:hAnsi="Palatino Linotype" w:cs="Arial"/>
          <w:i/>
          <w:lang w:eastAsia="es-ES"/>
        </w:rPr>
        <w:t>d) </w:t>
      </w:r>
      <w:r w:rsidR="00AD3EFA" w:rsidRPr="00D66245">
        <w:rPr>
          <w:rFonts w:ascii="Palatino Linotype" w:eastAsia="Times New Roman" w:hAnsi="Palatino Linotype" w:cs="Arial"/>
          <w:i/>
          <w:iCs/>
          <w:lang w:eastAsia="es-ES"/>
        </w:rPr>
        <w:t>Excepcionalmente, el órgano del debido proceso podrá ordenar la suspensión de la persona trabajadora mientras se resuelve la gestión de despido, en los casos en que las faltas alegadas sean de tal gravedad que imposibiliten el desarrollo normal de la relación laboral. </w:t>
      </w:r>
      <w:r w:rsidR="00AD3EFA" w:rsidRPr="00D66245">
        <w:rPr>
          <w:rFonts w:ascii="Palatino Linotype" w:eastAsia="Times New Roman" w:hAnsi="Palatino Linotype" w:cs="Arial"/>
          <w:i/>
          <w:lang w:eastAsia="es-ES"/>
        </w:rPr>
        <w:t>e) </w:t>
      </w:r>
      <w:r w:rsidR="00AD3EFA" w:rsidRPr="00D66245">
        <w:rPr>
          <w:rFonts w:ascii="Palatino Linotype" w:eastAsia="Times New Roman" w:hAnsi="Palatino Linotype" w:cs="Arial"/>
          <w:i/>
          <w:iCs/>
          <w:lang w:eastAsia="es-ES"/>
        </w:rPr>
        <w:t>Para que sea válido el despido, la parte empleadora deberá comprobar la falta ante el órgano del debido proceso correspondiente y obtener su autorización por resolución firme. </w:t>
      </w:r>
      <w:r w:rsidR="00AD3EFA" w:rsidRPr="00D66245">
        <w:rPr>
          <w:rFonts w:ascii="Palatino Linotype" w:eastAsia="Times New Roman" w:hAnsi="Palatino Linotype" w:cs="Arial"/>
          <w:i/>
          <w:lang w:eastAsia="es-ES"/>
        </w:rPr>
        <w:t>f) </w:t>
      </w:r>
      <w:r w:rsidR="00AD3EFA" w:rsidRPr="00D66245">
        <w:rPr>
          <w:rFonts w:ascii="Palatino Linotype" w:eastAsia="Times New Roman" w:hAnsi="Palatino Linotype" w:cs="Arial"/>
          <w:i/>
          <w:iCs/>
          <w:lang w:eastAsia="es-ES"/>
        </w:rPr>
        <w:t>Autorizado el despido por resolución firme, el empleador o la empleadora gozará de un plazo de un mes de caducidad para hacer uso de la autorización del despido, contado desde la firmeza”. </w:t>
      </w:r>
      <w:r w:rsidR="00AD3EFA" w:rsidRPr="00D66245">
        <w:rPr>
          <w:rFonts w:ascii="Palatino Linotype" w:eastAsia="Times New Roman" w:hAnsi="Palatino Linotype" w:cs="Arial"/>
          <w:i/>
          <w:lang w:eastAsia="es-ES"/>
        </w:rPr>
        <w:t>De acuerdo con estas normas, el legislador dispuso un control o tutela por medio del cual se busca determinar si en el procedimiento administrativo se ha seguido y respetado el debido proceso para la imposición de alguna sanción o como el despido en este caso . En el escrito inicial de este proceso sumarísimo, el accionante indicó que el Estado instruyó en su contra procedimiento disciplinario por ausencias injustificadas, pero se violentó el debido proceso y el derecho de defensa por haberle notificado la audiencia de comparecencia ocho días antes de su celebración y no quince días, tal y como lo establece la Ley General de la Administración Pública. Además, no fue recabada toda la prueba documental solicitada el 4 de octubre de 2016 y le otorgaron únicamente tres días para valorar la prueba aportada al expediente. También alegó que no le otorgaron tres días para rendir conclusiones. Adujo falta de fundamentación e indebida valoración de la prueba testimonial en la resolución administrativa que dispuso la revocatoria desu nombramiento. La jueza de instancia luego de revisar el expediente administrativo tuvo por constatado el cumplimiento del debido proceso y el derecho de defensa por parte de la Administración, en tanto señaló que la prueba documental solicitada por don Alex en sede administrativa relacionada con la </w:t>
      </w:r>
      <w:r w:rsidR="00AD3EFA" w:rsidRPr="00D66245">
        <w:rPr>
          <w:rFonts w:ascii="Palatino Linotype" w:eastAsia="Times New Roman" w:hAnsi="Palatino Linotype" w:cs="Arial"/>
          <w:i/>
          <w:iCs/>
          <w:lang w:eastAsia="es-ES"/>
        </w:rPr>
        <w:t>“Fotocopia autenticadas de los roles de servicios de los días 25, 26, 27, 28 y 29 de febrero 2016 y de los días 01 al 31 de marzo del 2016; Fotocopias autenticas de las entradas y salidas del libro de la oficiala de Delegación de Grecia; Fotocopia autenticada de la escuadra o grupo de trabajo donde laboraba él y Fotocopias autenticadas de cambios de escuadra o grupo de trabajo”,</w:t>
      </w:r>
      <w:r w:rsidR="00AD3EFA" w:rsidRPr="00D66245">
        <w:rPr>
          <w:rFonts w:ascii="Palatino Linotype" w:eastAsia="Times New Roman" w:hAnsi="Palatino Linotype" w:cs="Arial"/>
          <w:i/>
          <w:lang w:eastAsia="es-ES"/>
        </w:rPr>
        <w:t>fue debidamente incorporada al expediente administrativo según imágenes de la 84 al 116, 117 a la 194 y de la 296 al 314 (del expediente virtual completo del Juzgado) y puesta en conocimiento del trabajador y su abogada, quienes tuvieron acceso y fotocopiaron tal material probatorio, pero la recurrente invoca ante esta Sala un vicio por razones procesales, específicamente falta de fundamentación o fundamentación insuficiente del fallo, pues considera que los documentos agregados no fueron los solicitados para desacreditar los hechos atribuidos administrativamente. Ahora bien, al revisar con detalle las pruebas que fueron incorporad a s al expediente disciplinario,se observa que efectivamente la prueba analizada en sede administrativa fue la ofrecida por la apoderada del actor. En las imágenes 85 a 116 constan los roles de servicio del 24, 25, 26, 27, 28, 29, 30 y 31 de marzo del 2016. En las imágenes de 117 a la 194 encontramos las fotocopias del libro de control de salidas y entradas de la Oficialía de la Delegación de la Fuerza Pública de Grecia de los días 24 de febrero al 1° de abril del 2016. Por otro lado, las imágenes 296 a la 443 son fotocopias de los roles de servicio del 29 de febrero al 24 de marzo del 2016 (del expediente virtual completo del Juzgado). Todos estos documentos fueron debidamente incorporados al expediente administrativo y puestos a disposición del trabajador y de su abogada, pudiendo referirse en aquel momento procesal en sede administrativa. Además, fueron valorados en las diferentes resoluciones que recomendaron y dispusieron la revocatoria de l </w:t>
      </w:r>
      <w:r w:rsidR="00BE476A" w:rsidRPr="00D66245">
        <w:rPr>
          <w:rFonts w:ascii="Palatino Linotype" w:eastAsia="Times New Roman" w:hAnsi="Palatino Linotype" w:cs="Arial"/>
          <w:i/>
          <w:lang w:eastAsia="es-ES"/>
        </w:rPr>
        <w:t>nombramiento del actor al tener</w:t>
      </w:r>
      <w:r w:rsidR="00AD3EFA" w:rsidRPr="00D66245">
        <w:rPr>
          <w:rFonts w:ascii="Palatino Linotype" w:eastAsia="Times New Roman" w:hAnsi="Palatino Linotype" w:cs="Arial"/>
          <w:i/>
          <w:lang w:eastAsia="es-ES"/>
        </w:rPr>
        <w:t>se por acreditado que se ausentó sin justificación los días 1°, 2, 7, 13, 14, 23 y 24 de marzo del 2016 (ver imágenes de la 237 a la 244, 272 a la 276 y de la 284 al 287 (del expediente virtual completo del Juzgado). De acuerdo con esto, no es cierto que la juzgadora de instancia haya omitido analizar si la prueba documental requerida durante la tramitación del expediente administrativo fue o no solicitada, pues más bien, tuvo por acreditado que fue debidamente incorporada, lo cual avala esta Sala. Tampoco es atendible el reproche de que la juzgadora no se refirió a esa prueba, pues se constata que hizo referencia a la misma. En cuanto a si contenía o no los datos del trabajador, es un aspecto que no puede revisarse en este proceso sumarísimo, toda vez que este tipo de análisis es propio de un proceso ordinario en el cual por su naturaleza, se verifica si los hechos o faltas atribuidas a la persona trabajadora fue ron o no acreditadas. En cambio, este procedimiento sumarísimo no tiene como fin analizar o constatar la existencia de la falta atribuida y acreditada en sede administrativa, sino, tutelar si se violentó el debido proceso como parte del derecho de defensa, lo cual no ocurrió. En todo caso, tal y como ha sido detallado en este fallo, los documentos aportados al expediente administrativo, son los que en su momento el actor solicitó y que sirvieron de base para sustentar las resoluciones administrativas que dispusieron la revocatoria de nombramiento por haberse ausentado sin justificación los días 1°, 2, 7, 13, 14, 23 y 24 de marzo del 2016. Finalmente, cabe aclarar que no se han infringido los numerales 476 y 481 del Código de Trabajo, toda vez que el análisis realizado en la sentencia q ue se conoce es un fiel reflejo de los elementos probatorios incorporados a este proceso sumarísimo. Entonces, al haberse constatado que no se violentó el debido proceso ni el derecho de defensa al actor en sede administrativa, no encuentra la Sala que el fallo de instancia haya incurrido en el vicio de falta de fundamento o fundamento insuficiente y por eso lo que procede es declarar sin lugar el recurso.</w:t>
      </w:r>
      <w:r w:rsidRPr="00D66245">
        <w:rPr>
          <w:rFonts w:ascii="Palatino Linotype" w:eastAsia="Times New Roman" w:hAnsi="Palatino Linotype" w:cs="Arial"/>
          <w:i/>
          <w:lang w:eastAsia="es-ES"/>
        </w:rPr>
        <w:t>”</w:t>
      </w:r>
    </w:p>
    <w:p w14:paraId="74BF1ABE" w14:textId="77777777" w:rsidR="00AD3EFA" w:rsidRPr="00D66245" w:rsidRDefault="00AD3EFA" w:rsidP="00F53211">
      <w:pPr>
        <w:shd w:val="clear" w:color="auto" w:fill="FFFFFF"/>
        <w:spacing w:before="120" w:after="200" w:line="300" w:lineRule="atLeast"/>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Res: 2018-000671</w:t>
      </w:r>
    </w:p>
    <w:p w14:paraId="6271EA53" w14:textId="77777777" w:rsidR="00AD3EFA" w:rsidRPr="00D66245" w:rsidRDefault="00AD3EFA" w:rsidP="00311FAA">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b/>
          <w:bCs/>
          <w:lang w:eastAsia="es-ES"/>
        </w:rPr>
        <w:t>SALA SEGUNDA DE LA CORTE SUPREMA DE JUSTICIA</w:t>
      </w:r>
      <w:r w:rsidRPr="00D66245">
        <w:rPr>
          <w:rFonts w:ascii="Palatino Linotype" w:eastAsia="Times New Roman" w:hAnsi="Palatino Linotype" w:cs="Arial"/>
          <w:lang w:eastAsia="es-ES"/>
        </w:rPr>
        <w:t>. San José, a las once horas del dieciocho de abril de dos mil dieciocho.</w:t>
      </w:r>
    </w:p>
    <w:p w14:paraId="4737635E" w14:textId="77777777" w:rsidR="00AD3EFA" w:rsidRPr="00D66245" w:rsidRDefault="00B954BF" w:rsidP="00311FAA">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b/>
          <w:bCs/>
          <w:i/>
          <w:lang w:val="es-CR" w:eastAsia="es-ES"/>
        </w:rPr>
        <w:t>“</w:t>
      </w:r>
      <w:r w:rsidR="00AD3EFA" w:rsidRPr="00D66245">
        <w:rPr>
          <w:rFonts w:ascii="Palatino Linotype" w:eastAsia="Times New Roman" w:hAnsi="Palatino Linotype" w:cs="Arial"/>
          <w:b/>
          <w:bCs/>
          <w:i/>
          <w:lang w:val="es-CR" w:eastAsia="es-ES"/>
        </w:rPr>
        <w:t>IV.- RAZONES DE FONDO: </w:t>
      </w:r>
      <w:r w:rsidR="00AD3EFA" w:rsidRPr="00D66245">
        <w:rPr>
          <w:rFonts w:ascii="Palatino Linotype" w:eastAsia="Times New Roman" w:hAnsi="Palatino Linotype" w:cs="Arial"/>
          <w:i/>
          <w:lang w:val="es-CR" w:eastAsia="es-ES"/>
        </w:rPr>
        <w:t>la servidora considera que fue discriminada por motivos de salud, por cuanto, con base en una recomendación médica, gestionó su traslado a otro centro hospitalario y este le fue denegado. Ante esta Sala se alega que el juzgador debió verificar y ponderar en qué consistieron las conductas señaladas como discriminatorias y cuál fue la diferencia de trato en relación con las demás personas funcionarias. En cuanto a este aspecto, son acertadas las manifestaciones del recurrente. En la sentencia impugnada, a pesar de haberse declarado parcialmente con lugar la demanda, se omitió precisar cuál fue la acción discriminatoria llevada a cabo por la accionada en perjuicio de la actora; lo que resulta indispensable en este tipo de casos. El ordinal 409 del Código de Trabajo, a texto expreso, estipula: </w:t>
      </w:r>
      <w:r w:rsidR="00AD3EFA" w:rsidRPr="00D66245">
        <w:rPr>
          <w:rFonts w:ascii="Palatino Linotype" w:eastAsia="Times New Roman" w:hAnsi="Palatino Linotype" w:cs="Arial"/>
          <w:i/>
          <w:iCs/>
          <w:lang w:val="es-CR" w:eastAsia="es-ES"/>
        </w:rPr>
        <w:t>“…quien alegue la discriminación deberá señalar específicamente el sustento fáctico en el que funda su alegato y los términos de comparación que substancie su afirmación”</w:t>
      </w:r>
      <w:r w:rsidR="00AD3EFA" w:rsidRPr="00D66245">
        <w:rPr>
          <w:rFonts w:ascii="Palatino Linotype" w:eastAsia="Times New Roman" w:hAnsi="Palatino Linotype" w:cs="Arial"/>
          <w:i/>
          <w:lang w:val="es-CR" w:eastAsia="es-ES"/>
        </w:rPr>
        <w:t>. En estos procesos se deben enunciar -de manera clara y precisa- cuáles son las conductas que se consideran discriminatorias e indicar por qué se catalogan como tales, es decir, especificar el parámetro de comparación que evidencie que estando en igualdad de condiciones se brinda un trato desigual de forma injustificad a. No obstante, también pueden darse casos en los que la discriminación surge ante una condición particular de la persona trabajadora, como su estado de salud, creencia religiosa, opinión política, orientación sexual y edad, entre otras razone s; situación en la que lo procedente es verificar si efectivamente existe el acto o actuación discriminatoria. El paragón (términos de comparación) que echa de menos el recurrente no resulta necesario en este tipo de casos. En el </w:t>
      </w:r>
      <w:r w:rsidR="00AD3EFA" w:rsidRPr="00D66245">
        <w:rPr>
          <w:rFonts w:ascii="Palatino Linotype" w:eastAsia="Times New Roman" w:hAnsi="Palatino Linotype" w:cs="Arial"/>
          <w:i/>
          <w:iCs/>
          <w:lang w:val="es-CR" w:eastAsia="es-ES"/>
        </w:rPr>
        <w:t>sub litem</w:t>
      </w:r>
      <w:r w:rsidR="00AD3EFA" w:rsidRPr="00D66245">
        <w:rPr>
          <w:rFonts w:ascii="Palatino Linotype" w:eastAsia="Times New Roman" w:hAnsi="Palatino Linotype" w:cs="Arial"/>
          <w:i/>
          <w:lang w:val="es-CR" w:eastAsia="es-ES"/>
        </w:rPr>
        <w:t>, la demandante afirmó ser discriminada en razón de su estado de salud, por lo que procede analizar si la denegatoria de su solicitud de traslado constituyó o no un acto discriminatorio derivado de su condición de persona enferma. Concretado e l motivo de discriminació n (la salud), a la demandada le correspondía acredita r las razones objetivas, racionales y proporcionales invoca das en la contestación que excluyan el ánimo discriminatorio de la decisión de no autorizar el traslado de la plaza de la accionante a otro centro hospitalario. En el material probatorio allegado a los autos se encuentra el informe n.° SF.HSJD:1652-11-2017, rendido bajo fe de juramento por la doctora [Nombre 002], Directora a.i. del Servicio de Farmacia del Hospital San Juan de Dios, en el cual se consignó: </w:t>
      </w:r>
      <w:r w:rsidR="00AD3EFA" w:rsidRPr="00D66245">
        <w:rPr>
          <w:rFonts w:ascii="Palatino Linotype" w:eastAsia="Times New Roman" w:hAnsi="Palatino Linotype" w:cs="Arial"/>
          <w:i/>
          <w:iCs/>
          <w:lang w:val="es-CR" w:eastAsia="es-ES"/>
        </w:rPr>
        <w:t>“…el Servicio de Farmacia dispone de un número de plazas de farmacéuticos limitado para poder hacer frente a la creciente demanda de servicios y poder brindar una adecuada prestación de servicios farmacéuticos; además, es evidente el crecimiento presentado desde el año 2014, en el número de recetas despachadas; por consiguiente, el traslado de la plaza de la señora [Nombre 001] a otro Centro Hospitalario afectaría directamente la prestación del servicio brindado a los usuarios adscritos directa e indirectamente al Hospital San Juan de Dios; por tanto, y considerando que según se indicó la Directora del Servicio de Farmacia que fue demandada en sede judicial ya no labora para esta institución y que la necesidad de recurso humano es un hecho fácilmente constatable, esta Dirección de Farmacia no puede autorizar el traslado de plaza en los términos solicitados por la señora [Nombre 001] […] En razón de lo anterior, la limitada disponibilidad de personal farmacéutico, la creciente demanda de servicios farmacéuticos y de que la Dra. [Nombre 004], demandada en sede judicial por la Dra. [Nombre 001], ya no labora para esta institución, me veo imposibilitada a acceder a la petitoria de la señora [Nombre 001]…” </w:t>
      </w:r>
      <w:r w:rsidR="00AD3EFA" w:rsidRPr="00D66245">
        <w:rPr>
          <w:rFonts w:ascii="Palatino Linotype" w:eastAsia="Times New Roman" w:hAnsi="Palatino Linotype" w:cs="Arial"/>
          <w:i/>
          <w:lang w:val="es-CR" w:eastAsia="es-ES"/>
        </w:rPr>
        <w:t>(Sic. Imagen 43 de la vista completa del expediente electrónico del Juzgado). Con base en este informe, las razones objetivas invocadas por la CCSS se tienen por demostradas y, por ende, el ánimo discriminatorio en la denegatoria del traslado argüido por la servidora queda desvirtuado. A mayor abundamiento, la actora tiene la posibilidad de tramitar una permuta. Así lo aseveró la accionada al contestar la demanda (imagen 32 ídem) y se confirma con las pruebas aportadas. En el oficio n.° SF.HSJD:1036-07-2017, mediante el cual se dio respuesta a la gestión administrativa presentada por la demandante en junio de 2017, se apuntó: </w:t>
      </w:r>
      <w:r w:rsidR="00AD3EFA" w:rsidRPr="00D66245">
        <w:rPr>
          <w:rFonts w:ascii="Palatino Linotype" w:eastAsia="Times New Roman" w:hAnsi="Palatino Linotype" w:cs="Arial"/>
          <w:i/>
          <w:iCs/>
          <w:lang w:val="es-CR" w:eastAsia="es-ES"/>
        </w:rPr>
        <w:t>“…la limitada disponibilidad de personal farmacéutico y a la creciente demanda de servicios farmacéuticos me veo imposibilitada a acceder a su petitoria, sin embargo si autorizaría una permuta con un profesional bajo las mismas condiciones de su plaza, previo análisis de su propuesta” </w:t>
      </w:r>
      <w:r w:rsidR="00AD3EFA" w:rsidRPr="00D66245">
        <w:rPr>
          <w:rFonts w:ascii="Palatino Linotype" w:eastAsia="Times New Roman" w:hAnsi="Palatino Linotype" w:cs="Arial"/>
          <w:i/>
          <w:lang w:val="es-CR" w:eastAsia="es-ES"/>
        </w:rPr>
        <w:t>(sic. Imagen 18</w:t>
      </w:r>
      <w:r w:rsidR="00AD3EFA" w:rsidRPr="00D66245">
        <w:rPr>
          <w:rFonts w:ascii="Palatino Linotype" w:eastAsia="Times New Roman" w:hAnsi="Palatino Linotype" w:cs="Arial"/>
          <w:i/>
          <w:iCs/>
          <w:lang w:val="es-CR" w:eastAsia="es-ES"/>
        </w:rPr>
        <w:t>ibídem</w:t>
      </w:r>
      <w:r w:rsidR="00AD3EFA" w:rsidRPr="00D66245">
        <w:rPr>
          <w:rFonts w:ascii="Palatino Linotype" w:eastAsia="Times New Roman" w:hAnsi="Palatino Linotype" w:cs="Arial"/>
          <w:i/>
          <w:lang w:val="es-CR" w:eastAsia="es-ES"/>
        </w:rPr>
        <w:t>). Lo anterior fue ratificado por la Dra. [Nombre 002] al rendir -bajo fe de juramento- el informe n.° SF.HSJD:1652-11-2017, específicamente al contestar el hecho sétimo (imágenes 43-44 </w:t>
      </w:r>
      <w:r w:rsidR="00AD3EFA" w:rsidRPr="00D66245">
        <w:rPr>
          <w:rFonts w:ascii="Palatino Linotype" w:eastAsia="Times New Roman" w:hAnsi="Palatino Linotype" w:cs="Arial"/>
          <w:i/>
          <w:iCs/>
          <w:lang w:val="es-CR" w:eastAsia="es-ES"/>
        </w:rPr>
        <w:t>ibídem</w:t>
      </w:r>
      <w:r w:rsidR="00AD3EFA" w:rsidRPr="00D66245">
        <w:rPr>
          <w:rFonts w:ascii="Palatino Linotype" w:eastAsia="Times New Roman" w:hAnsi="Palatino Linotype" w:cs="Arial"/>
          <w:i/>
          <w:lang w:val="es-CR" w:eastAsia="es-ES"/>
        </w:rPr>
        <w:t> ). Esta opción, según se afirmó en el recurso, no ha sido agotada. Aunado a ello, debe destacarse que la recomendación brindada por el INS –de manera expresa- indicó: </w:t>
      </w:r>
      <w:r w:rsidR="00AD3EFA" w:rsidRPr="00D66245">
        <w:rPr>
          <w:rFonts w:ascii="Palatino Linotype" w:eastAsia="Times New Roman" w:hAnsi="Palatino Linotype" w:cs="Arial"/>
          <w:i/>
          <w:iCs/>
          <w:lang w:val="es-CR" w:eastAsia="es-ES"/>
        </w:rPr>
        <w:t>“De ser necesario para salvaguardar esta medida, se recomienda proceder con el traslado de la funcionaria a otra instancia laboral, misma que no modifique sus condiciones laborales actuales y que se contemple como se indicó anteriormente que la misma no mantenga relación laboral alguna, ni dependa directamente de las personas denunciadas en dicho proceso” </w:t>
      </w:r>
      <w:r w:rsidR="00AD3EFA" w:rsidRPr="00D66245">
        <w:rPr>
          <w:rFonts w:ascii="Palatino Linotype" w:eastAsia="Times New Roman" w:hAnsi="Palatino Linotype" w:cs="Arial"/>
          <w:i/>
          <w:lang w:val="es-CR" w:eastAsia="es-ES"/>
        </w:rPr>
        <w:t>(sic. Imagen 14 </w:t>
      </w:r>
      <w:r w:rsidR="00AD3EFA" w:rsidRPr="00D66245">
        <w:rPr>
          <w:rFonts w:ascii="Palatino Linotype" w:eastAsia="Times New Roman" w:hAnsi="Palatino Linotype" w:cs="Arial"/>
          <w:i/>
          <w:iCs/>
          <w:lang w:val="es-CR" w:eastAsia="es-ES"/>
        </w:rPr>
        <w:t>ibídem</w:t>
      </w:r>
      <w:r w:rsidR="00AD3EFA" w:rsidRPr="00D66245">
        <w:rPr>
          <w:rFonts w:ascii="Palatino Linotype" w:eastAsia="Times New Roman" w:hAnsi="Palatino Linotype" w:cs="Arial"/>
          <w:i/>
          <w:lang w:val="es-CR" w:eastAsia="es-ES"/>
        </w:rPr>
        <w:t> ). A este respecto, tanto en la contestación como en el informe n.° SF.HSJD:1652-11-2017, se aseguró que cuando la accionante se reintegre a su trabajo no tendrá contacto con las personas con quienes sostuvo un conflicto laboral. En ese último documento se dijo: </w:t>
      </w:r>
      <w:r w:rsidR="00AD3EFA" w:rsidRPr="00D66245">
        <w:rPr>
          <w:rFonts w:ascii="Palatino Linotype" w:eastAsia="Times New Roman" w:hAnsi="Palatino Linotype" w:cs="Arial"/>
          <w:i/>
          <w:iCs/>
          <w:lang w:val="es-CR" w:eastAsia="es-ES"/>
        </w:rPr>
        <w:t>“…vale aclarar que el proceso al cual se refiere dicho Informe, se trata de Procesos Judiciales por supuesto Hostigamiento Laboral en el cual figura como demandante la Dra. [Nombre 001] y como demandadas la Dra. [Nombre 004] y la Dra. [Nombre 006], ahora bien, lo recomendado por el Instituto Nacional de Seguros, es el ‘traslado de la funcionario a otra instancia laboral en la que no mantenga relación laboral alguna, ni dependencia directa con las personas denunciadas’, bajo lo anterior debo indicar que la Dra. [Nombre 004] se acogió a su pensión desde el 20 de febrero del 2016; por tanto, ya no labora en este Servicio, con relación a la Dra. [Nombre 006], la Dra. [Nombre 001] no posee una relación laboral directa, ya que dicha funcionaria es la Directora General del Hospital y la dependencia jerárquica suya lo es con la suscrita en mi condición de Directora del Servicio de Farmacia…” </w:t>
      </w:r>
      <w:r w:rsidR="00AD3EFA" w:rsidRPr="00D66245">
        <w:rPr>
          <w:rFonts w:ascii="Palatino Linotype" w:eastAsia="Times New Roman" w:hAnsi="Palatino Linotype" w:cs="Arial"/>
          <w:i/>
          <w:lang w:val="es-CR" w:eastAsia="es-ES"/>
        </w:rPr>
        <w:t>(Sic. Imagen 42 </w:t>
      </w:r>
      <w:r w:rsidR="00AD3EFA" w:rsidRPr="00D66245">
        <w:rPr>
          <w:rFonts w:ascii="Palatino Linotype" w:eastAsia="Times New Roman" w:hAnsi="Palatino Linotype" w:cs="Arial"/>
          <w:i/>
          <w:iCs/>
          <w:lang w:val="es-CR" w:eastAsia="es-ES"/>
        </w:rPr>
        <w:t>ibídem</w:t>
      </w:r>
      <w:r w:rsidR="00AD3EFA" w:rsidRPr="00D66245">
        <w:rPr>
          <w:rFonts w:ascii="Palatino Linotype" w:eastAsia="Times New Roman" w:hAnsi="Palatino Linotype" w:cs="Arial"/>
          <w:i/>
          <w:lang w:val="es-CR" w:eastAsia="es-ES"/>
        </w:rPr>
        <w:t>). Luego, lo recomendado resulta innecesario. Por otro lado, también lleva razón el recurrente al afirmar que la gestión de la servidora carece de interés actual; motivo suficiente para haber desestimado la demanda. En el </w:t>
      </w:r>
      <w:r w:rsidR="00AD3EFA" w:rsidRPr="00D66245">
        <w:rPr>
          <w:rFonts w:ascii="Palatino Linotype" w:eastAsia="Times New Roman" w:hAnsi="Palatino Linotype" w:cs="Arial"/>
          <w:i/>
          <w:iCs/>
          <w:lang w:val="es-CR" w:eastAsia="es-ES"/>
        </w:rPr>
        <w:t>sub litem</w:t>
      </w:r>
      <w:r w:rsidR="00AD3EFA" w:rsidRPr="00D66245">
        <w:rPr>
          <w:rFonts w:ascii="Palatino Linotype" w:eastAsia="Times New Roman" w:hAnsi="Palatino Linotype" w:cs="Arial"/>
          <w:i/>
          <w:lang w:val="es-CR" w:eastAsia="es-ES"/>
        </w:rPr>
        <w:t>, ha sido un hecho no controvertido que la actora se encuentra incapacitada desde agosto de 2014 y no se ha reincorporado a sus labores. Dicha circunstancia hace que su pretensión no revista interés actual y el traslado pedido no se ha evidenciado como una condición indispensable para que su reinserción sea posible. Tómese en consideración que mientras la demandante esté incapacitada, la relación laboral se encuentra suspendida, por lo que el traslado cobraría interés hasta tanto ella sea dada de alta por las instancias médicas y se reintegre a sus funciones. En otro orden de ideas, ante esta Sala se argumenta que el informe del INS ostenta un carácter recomendativo y no vinculante. Este tema no es debatible en esta vía. El proceso especial regulado a partir del artículo 540 del Código de Trabajo</w:t>
      </w:r>
      <w:r w:rsidR="00AD3EFA" w:rsidRPr="00D66245">
        <w:rPr>
          <w:rFonts w:ascii="Palatino Linotype" w:eastAsia="Times New Roman" w:hAnsi="Palatino Linotype" w:cs="Arial"/>
          <w:i/>
          <w:iCs/>
          <w:lang w:val="es-CR" w:eastAsia="es-ES"/>
        </w:rPr>
        <w:t>,</w:t>
      </w:r>
      <w:r w:rsidR="00AD3EFA" w:rsidRPr="00D66245">
        <w:rPr>
          <w:rFonts w:ascii="Palatino Linotype" w:eastAsia="Times New Roman" w:hAnsi="Palatino Linotype" w:cs="Arial"/>
          <w:i/>
          <w:lang w:val="es-CR" w:eastAsia="es-ES"/>
        </w:rPr>
        <w:t> denominado </w:t>
      </w:r>
      <w:r w:rsidR="00AD3EFA" w:rsidRPr="00D66245">
        <w:rPr>
          <w:rFonts w:ascii="Palatino Linotype" w:eastAsia="Times New Roman" w:hAnsi="Palatino Linotype" w:cs="Arial"/>
          <w:i/>
          <w:iCs/>
          <w:lang w:val="es-CR" w:eastAsia="es-ES"/>
        </w:rPr>
        <w:t>“Protección en fueros especiales y tutela del debido proceso” </w:t>
      </w:r>
      <w:r w:rsidR="00AD3EFA" w:rsidRPr="00D66245">
        <w:rPr>
          <w:rFonts w:ascii="Palatino Linotype" w:eastAsia="Times New Roman" w:hAnsi="Palatino Linotype" w:cs="Arial"/>
          <w:i/>
          <w:lang w:val="es-CR" w:eastAsia="es-ES"/>
        </w:rPr>
        <w:t>constituye una vía sumarísima para constatar la violación de los fueros especiales de protección ahí regulados, la infracción de los procedimientos a los que las personas trabajadoras tengan derecho, o bien, la de formalidades o autorizaciones previstas, con motivo del despido o cualquier medida disciplinaria. Este proceso especial también se previó para que las personas trabajadoras pudieran impugnar los casos de discriminación, por cualquier causa, que ocurrieran en el lugar de trabajo o con ocasión de este. La competencia del órgano jurisdiccional se reduce a determinar la violación del fuero, de los procedimientos, formalidades o autorizaciones y la existencia de un acto discriminatorio. Cualquier otra cuestión que pretenda debatirse en este proceso especial excede la competencia del órgano jurisdiccional y el objeto para el que fue creado. Así las cosas, aquí no puede discutirse si los criterios médicos del INS resultan vinculantes o no para la Administración. Lo único que puede analizarse es si la denegatoria del traslado solicitado por la accionante constituyó un acto discriminatorio en atención a su condición de salud ; pues, como se indicó anteriormente, este procedimiento es para verificar la violación de los fueros especiales de protección que se especifican en el numeral 540 </w:t>
      </w:r>
      <w:r w:rsidR="00AD3EFA" w:rsidRPr="00D66245">
        <w:rPr>
          <w:rFonts w:ascii="Palatino Linotype" w:eastAsia="Times New Roman" w:hAnsi="Palatino Linotype" w:cs="Arial"/>
          <w:i/>
          <w:iCs/>
          <w:lang w:val="es-CR" w:eastAsia="es-ES"/>
        </w:rPr>
        <w:t>ídem </w:t>
      </w:r>
      <w:r w:rsidR="00AD3EFA" w:rsidRPr="00D66245">
        <w:rPr>
          <w:rFonts w:ascii="Palatino Linotype" w:eastAsia="Times New Roman" w:hAnsi="Palatino Linotype" w:cs="Arial"/>
          <w:i/>
          <w:lang w:val="es-CR" w:eastAsia="es-ES"/>
        </w:rPr>
        <w:t>o si se violentó algún procedimiento, formalidad o autorización requerido para la validez del despido u otra medida disciplinaria y para debatir la existencia de algún acto discriminatorio, en perjuicio de la persona trabajadora. Por lo dicho líneas atrás, se estima innecesario emitir pronunciamiento respecto de los dos últimos agravios (ausencia de prueba y lesión al principio de la continuidad del servicio).</w:t>
      </w:r>
      <w:r w:rsidRPr="00D66245">
        <w:rPr>
          <w:rFonts w:ascii="Palatino Linotype" w:eastAsia="Times New Roman" w:hAnsi="Palatino Linotype" w:cs="Arial"/>
          <w:i/>
          <w:lang w:val="es-CR" w:eastAsia="es-ES"/>
        </w:rPr>
        <w:t>”</w:t>
      </w:r>
    </w:p>
    <w:p w14:paraId="21ACCB31" w14:textId="77777777" w:rsidR="0090618D" w:rsidRPr="00D66245" w:rsidRDefault="0090618D" w:rsidP="00F53211">
      <w:pPr>
        <w:shd w:val="clear" w:color="auto" w:fill="FFFFFF"/>
        <w:spacing w:before="120" w:after="200" w:line="300" w:lineRule="atLeast"/>
        <w:jc w:val="center"/>
        <w:rPr>
          <w:rFonts w:ascii="Palatino Linotype" w:eastAsia="Times New Roman" w:hAnsi="Palatino Linotype" w:cs="Arial"/>
          <w:b/>
          <w:lang w:val="es-CR" w:eastAsia="es-ES"/>
        </w:rPr>
      </w:pPr>
      <w:r w:rsidRPr="00D66245">
        <w:rPr>
          <w:rFonts w:ascii="Palatino Linotype" w:eastAsia="Times New Roman" w:hAnsi="Palatino Linotype" w:cs="Arial"/>
          <w:b/>
          <w:lang w:val="es-CR" w:eastAsia="es-ES"/>
        </w:rPr>
        <w:t>HUELGA</w:t>
      </w:r>
    </w:p>
    <w:p w14:paraId="66D30631" w14:textId="77777777" w:rsidR="0090618D" w:rsidRPr="00D66245" w:rsidRDefault="0090618D" w:rsidP="00311FAA">
      <w:pPr>
        <w:shd w:val="clear" w:color="auto" w:fill="FFFFFF"/>
        <w:spacing w:before="120" w:after="200" w:line="300" w:lineRule="atLeast"/>
        <w:ind w:right="851"/>
        <w:jc w:val="both"/>
        <w:rPr>
          <w:rFonts w:ascii="Palatino Linotype" w:eastAsia="Times New Roman" w:hAnsi="Palatino Linotype" w:cs="Arial"/>
          <w:lang w:eastAsia="es-ES"/>
        </w:rPr>
      </w:pPr>
      <w:r w:rsidRPr="00D66245">
        <w:rPr>
          <w:rFonts w:ascii="Palatino Linotype" w:eastAsia="Times New Roman" w:hAnsi="Palatino Linotype" w:cs="Arial"/>
          <w:lang w:eastAsia="es-ES"/>
        </w:rPr>
        <w:t>SENTENCIA DE SEGUNDA INSTANCIA No 1093 -2018</w:t>
      </w:r>
    </w:p>
    <w:p w14:paraId="723AE41C" w14:textId="7D57CD9F" w:rsidR="0090618D" w:rsidRPr="00D66245" w:rsidRDefault="0090618D" w:rsidP="00311FAA">
      <w:pPr>
        <w:shd w:val="clear" w:color="auto" w:fill="FFFFFF"/>
        <w:spacing w:before="120" w:after="200" w:line="300" w:lineRule="atLeast"/>
        <w:ind w:left="851" w:right="851"/>
        <w:jc w:val="both"/>
        <w:rPr>
          <w:rFonts w:ascii="Palatino Linotype" w:eastAsia="Times New Roman" w:hAnsi="Palatino Linotype" w:cs="Arial"/>
          <w:lang w:eastAsia="es-ES"/>
        </w:rPr>
      </w:pPr>
      <w:r w:rsidRPr="00D66245">
        <w:rPr>
          <w:rFonts w:ascii="Palatino Linotype" w:eastAsia="Times New Roman" w:hAnsi="Palatino Linotype" w:cs="Arial"/>
          <w:lang w:eastAsia="es-ES"/>
        </w:rPr>
        <w:t>TRIBUNAL LABORAL DE APELACIONES DEL PRIMER CIRCUITO</w:t>
      </w:r>
      <w:r w:rsidR="00311FAA" w:rsidRPr="00D66245">
        <w:rPr>
          <w:rFonts w:ascii="Palatino Linotype" w:eastAsia="Times New Roman" w:hAnsi="Palatino Linotype" w:cs="Arial"/>
          <w:lang w:eastAsia="es-ES"/>
        </w:rPr>
        <w:t xml:space="preserve"> </w:t>
      </w:r>
      <w:r w:rsidRPr="00D66245">
        <w:rPr>
          <w:rFonts w:ascii="Palatino Linotype" w:eastAsia="Times New Roman" w:hAnsi="Palatino Linotype" w:cs="Arial"/>
          <w:lang w:eastAsia="es-ES"/>
        </w:rPr>
        <w:t>JUDICIAL DE SAN JOSÉ. SECCIÓN PRIMERA. A las diez horas del día</w:t>
      </w:r>
      <w:r w:rsidR="00BE476A" w:rsidRPr="00D66245">
        <w:rPr>
          <w:rFonts w:ascii="Palatino Linotype" w:eastAsia="Times New Roman" w:hAnsi="Palatino Linotype" w:cs="Arial"/>
          <w:lang w:eastAsia="es-ES"/>
        </w:rPr>
        <w:t xml:space="preserve"> </w:t>
      </w:r>
      <w:r w:rsidRPr="00D66245">
        <w:rPr>
          <w:rFonts w:ascii="Palatino Linotype" w:eastAsia="Times New Roman" w:hAnsi="Palatino Linotype" w:cs="Arial"/>
          <w:lang w:eastAsia="es-ES"/>
        </w:rPr>
        <w:t>dieciocho del mes de Octubre del año dos mil dieciocho.</w:t>
      </w:r>
    </w:p>
    <w:p w14:paraId="584DF524" w14:textId="77777777" w:rsidR="0090618D" w:rsidRPr="00D66245" w:rsidRDefault="00A675CE" w:rsidP="00311FAA">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i/>
          <w:lang w:eastAsia="es-ES"/>
        </w:rPr>
        <w:t>“</w:t>
      </w:r>
      <w:r w:rsidR="0090618D" w:rsidRPr="00D66245">
        <w:rPr>
          <w:rFonts w:ascii="Palatino Linotype" w:eastAsia="Times New Roman" w:hAnsi="Palatino Linotype" w:cs="Arial"/>
          <w:i/>
          <w:lang w:eastAsia="es-ES"/>
        </w:rPr>
        <w:t>IX.- ANÁLISIS DEL CASO: En su demanda la empleadora alegó que</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durante los días 10 y 11 de setiembre del presente año, funcionarios de su</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institución han participado en un movimiento de huelga convocado por el</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Sindicato accionado, dicha premisa fue aceptada por la contraparte en el</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punto segundo de su contestación. Alega la improcedencia de la aplicación</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de la normas del Código de Trabajo relativas a la calificación de la huelga,</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pues este es un movimiento atípico. La Carta Magna costarricense define</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a la huelga como un derecho fundamental en su canon 61, esa garantía es</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instrumentalizada por el artículo 371 Código de Trabajo que de forma</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concreta lo define como: “suspensión concertada y pacífica del trabajo, en</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una empresa, institución, establecimiento o centro de trabajo, acordada y</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ejecutada por una pluralidad de tres personas trabajadoras, como mínimo,</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que represente más de la mitad de los votos emitidos conforme al artículo</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381, por los empleados o las empleadas involucrados en un conflicto</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colectivo de trabajo, para lo siguiente: / a) La defensa y promoción de sus</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intereses económicos y sociales. / b) La defensa de sus derechos en los</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conflictos jurídicos colectivos señalados en el artículo 386.” Ahora bien, es</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importante mencionar que la huelga como fenómeno del derecho laboral</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colectivo según su finalidad no posee una naturaleza unívoca, lo que da</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pie a que en la práctica existan diversas modalidades, tal como define el</w:t>
      </w:r>
      <w:r w:rsidR="00C64219" w:rsidRPr="00D66245">
        <w:rPr>
          <w:rFonts w:ascii="Palatino Linotype" w:eastAsia="Times New Roman" w:hAnsi="Palatino Linotype" w:cs="Arial"/>
          <w:i/>
          <w:lang w:eastAsia="es-ES"/>
        </w:rPr>
        <w:t xml:space="preserve"> </w:t>
      </w:r>
      <w:r w:rsidR="0090618D" w:rsidRPr="00D66245">
        <w:rPr>
          <w:rFonts w:ascii="Palatino Linotype" w:eastAsia="Times New Roman" w:hAnsi="Palatino Linotype" w:cs="Arial"/>
          <w:i/>
          <w:lang w:eastAsia="es-ES"/>
        </w:rPr>
        <w:t>precepto transcrito cuando hace referencia a la huelga clásica o</w:t>
      </w:r>
    </w:p>
    <w:p w14:paraId="41C2405E" w14:textId="77777777" w:rsidR="0090618D" w:rsidRPr="00D66245" w:rsidRDefault="0090618D" w:rsidP="00311FAA">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i/>
          <w:lang w:eastAsia="es-ES"/>
        </w:rPr>
        <w:t>contractual que se da entre patronos y asalariados con ocasión de la</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defensa y promoción de sus intereses económicos y sociales. La doctrina</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española nos explica sobre el tema lo siguiente: “Buena parte de las</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huelgas laborales de trabajadores responden al más elemental de los</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modelos, el contractual. Se trata de huelgas con ocasión de la negociación</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colectiva: iniciación de la negociación colectiva; presión durante la</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negociación en curso; modificación, enriquecimiento o interpretación de los</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pactos colectivos en vigor; creación de una nueva unidad de negociación,</w:t>
      </w:r>
    </w:p>
    <w:p w14:paraId="542C2B44" w14:textId="77777777" w:rsidR="0090618D" w:rsidRPr="00D66245" w:rsidRDefault="0090618D" w:rsidP="00311FAA">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i/>
          <w:lang w:eastAsia="es-ES"/>
        </w:rPr>
        <w:t>y un largo etcétera. Teniendo en cuenta, además, que la negociación</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colectiva tiene cada vez más productos: convenios colectivos estatutarios,</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convenios extraestatutarios, acuerdos marcos, acuerdos de empresa en</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defecto del convenio, acuerdos de descuelgue, acuerdos de</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reorganización empresarial...En estas huelgas contractuales es donde con</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mayor frecuencia se alcanza el acuerdo de fin de huelga y donde reviste</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enorme importancia la concreta eficacia jurídica que se le dé al</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mismo.”(Vivero Serrano, Juan et al. “La Eficacia de los Acuerdos de Fin de</w:t>
      </w:r>
    </w:p>
    <w:p w14:paraId="3D84B6BB" w14:textId="77777777" w:rsidR="0090618D" w:rsidRPr="00D66245" w:rsidRDefault="0090618D" w:rsidP="00311FAA">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i/>
          <w:lang w:eastAsia="es-ES"/>
        </w:rPr>
        <w:t>Huelga” en “Estudios sobre Negociación y Convenios Colectivos”, Madrid,</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Ramón Areces S.A., 2003, pp. 215). El caso de estudio no trata sobre este</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tipo de huelga, como bien lo punta la parte recurrente, sino que estamos</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frente a una huelga con connotaciones políticas y sociales en las que las</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organizaciones de trabajadores protestan por una política tributaria del</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Estado. El profesor Van der Laat Echevería explicaba sobre el tema:</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“Generalmente ha sido definida como una acción tendiente a ejercer</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presión sobre los poderes públicos y en la que las reinvindicaciones no se</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dirigen contra el patrono sino contra el Estado. Precisamente con base en</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el destinatario de la acción es que se establece las diferencias entre la</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huelga económica y la política, pues si las reivindicaciones perseguidas</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están en la esfera de decisión del patrón, se está ante la</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modalidad de la huelga económica, en tanto que si mediante la abstención</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se intenta presionar a los poderes públicos, será clasificada como política”</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(Van der Laat Echeverría, Bernardo. “La huelga y el paro en Costa Rica”,</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San José, Editorial Juricentro, pp. 99). En esta clase de movimientos</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confluyen otros aspectos que rebasan la libertad sindical, por cuanto están</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en juego por ejemplo la libertad de expresión y la defensa de los principios</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democráticos sobre los que se cierne el Estado de Derecho, es decir se</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trata de una protesta social ejercida por medio de las organizaciones</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gremiales. Dicho motivo ha sido catalogado como válido para el ejercicio</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del derecho a huelga por los órganos de control de la Organización</w:t>
      </w:r>
      <w:r w:rsidR="00C64219"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Internacional del Trabajo, veamos la posición del Comité de Libertad</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Sindical: “Si bien las huelgas de naturaleza puramente política no están</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cubiertas por los principios de la libertad sindical, los sindicatos deberían</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poder organizar huelgas de protesta, en particular para ejercer una crítica</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contra la política económica y social del gobierno. Las organizaciones</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sindicales deberían tener la posibilidad de recurrir a huelgas de protesta,</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en particular con miras a ejercer una crítica con respecto a la política</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económica y social de los gobiernos.” (Oficina Internacional del Trabajo.</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“La Libertad Sindical”, OIT, Ginebra, 2006, pp. 117). La redacción del</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Código de Trabajo no regula este tipo de huelga, pero tampoco la prohíbe</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y, en aplicación del Convenio 87 de la Organización Internacional del</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Trabajo denominado “sobre la libertad sindical y la protección del derecho</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de sindicación” que en su punto 3o da libertad a las organizaciones</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sindicales para establecer su plan de acción, debe entenderse que se trata</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de una razón justificada para ejercer esta modalidad de huelga. Por</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tratarse de una forma atípica de huelga, a nada conduce aplicarle los</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requisitos de las disposiciones 371, 377 y 381 del Código de Trabajo,</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porque en última instancia impediría la materialización del ejercicio del</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derecho de libertad de expresión, nótese que en casos como estos, el</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agotamiento de las vías de conciliación se torna virtualmente imposible y</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además, el ordenamiento jurídico no prevé mecanismos de solución, como</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sí lo dispone en la hipótesis de la huelga contractual. A partir de estas</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consideraciones, hemos de concluir que como consecuencia de nuestro</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sistema de gobierno y los principios democráticos que rigen las</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instituciones de nuestro país, el patrono está en la obligación de soportar</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que los trabajadores ejerzan el derecho a huelga en casos de protesta</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social, empero ese derecho que cobija a los asalariados no es irrestricto y</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se entiende agotado una vez que estos de forma concertada hayan</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transmitido su descontento a los entes gubernamentales, ya que pretender</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ir más allá de este límite constituiría un ejercicio abusivo del derecho de</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comentario (artículo 22 del Código Civil). Para poder establecer</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parámetros certeros respecto a los límites externos de la huelga que nos</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ocupa es necesario recurrir a los principios de razonabilidad y</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proporcionalidad. Lo razonable y proporcional no está librado a la voluntad</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subjetiva de quien aplica el derecho, ya que por el contrario, intervienen</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una serie de ejercicios mentales con base en tres criterios de</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interpretación. El primero de ellos es el de idoneidad, una medida será</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idónea cuando dentro del catálogo de posibles soluciones que puedan</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asignarse a un problema, sea la que brinde una respuesta con mayor</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eficacia. Por otro lado, se topa con el criterio de necesidad. No basta que</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una medida sea eficaz, sino que además debe ser la que menos</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afectación cause al bien jurídico que se vea potencialmente involucrado.</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Finalmente, interviene el juicio de proporcionalidad en sentido estricto, del</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cual habla Sapag de la siguiente manera: “de acuerdo con una concepción</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bastante extendida, se trata de una ponderación entre los principios en</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juego; Alexy diseñó, para este test, unas reglas de ponderación de</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carácter matemático, por las cuales se analiza y cuantifica el peso</w:t>
      </w:r>
    </w:p>
    <w:p w14:paraId="2762F469" w14:textId="77777777" w:rsidR="0090618D" w:rsidRPr="00D66245" w:rsidRDefault="0090618D" w:rsidP="00311FAA">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i/>
          <w:lang w:eastAsia="es-ES"/>
        </w:rPr>
        <w:t>abstracto de los principios en juego, y el peso concreto en el caso a los</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efectos de determinar la validez o inconstitucionalidad. Según la visión que</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se adapta aquí, este subprincipio requiere, en realidad, que la medida</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mantenga una “relación razonable” con la finalidad: se examina la relación</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costo-beneficio de la medida con respecto a su finalidad, es decir, entre lo</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obtenido mediante la medida y lo que se impide por ello. Sin</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embargo, y como ya se ha señalado, para un examen completo de</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razonabilidad debe insertarse aquí el juicio de alteración o afectación del</w:t>
      </w:r>
    </w:p>
    <w:p w14:paraId="1A4716C5" w14:textId="77777777" w:rsidR="0090618D" w:rsidRPr="00D66245" w:rsidRDefault="0090618D" w:rsidP="00311FAA">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i/>
          <w:lang w:eastAsia="es-ES"/>
        </w:rPr>
        <w:t>contenido esencial. / Los juicios del control de razonabilidad pueden ser</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desglosados en siete preguntas que el operador jurídico debe plantearse: /</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a) ¿Cuáles son las finalidades mediatas e inmediatas de la norma?/ b) La</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finalidad, ¿es constitucional?/ c) La finalidad, ¿es socialmente relevante?/</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d) ¿Es adecuado el medio empleado? / e) ¿Es necesario, o indispensable,</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el medio empleado? / f) ¿Es proporcionada la medida con respecto a los</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fines? g) ¿Respeta el contenido esencial de los derechos en juego?”</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(Sapag, Mariano.</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El principio de proporcionalidad y de razonablidad como límite</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constitucional al poder del Estado: un estudio comparado. Documento</w:t>
      </w:r>
      <w:r w:rsidR="006D0E28" w:rsidRPr="00D66245">
        <w:rPr>
          <w:rFonts w:ascii="Palatino Linotype" w:eastAsia="Times New Roman" w:hAnsi="Palatino Linotype" w:cs="Arial"/>
          <w:i/>
          <w:lang w:eastAsia="es-ES"/>
        </w:rPr>
        <w:t xml:space="preserve"> </w:t>
      </w:r>
    </w:p>
    <w:p w14:paraId="34414701" w14:textId="77777777" w:rsidR="0090618D" w:rsidRPr="00D66245" w:rsidRDefault="0090618D" w:rsidP="00311FAA">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i/>
          <w:lang w:eastAsia="es-ES"/>
        </w:rPr>
        <w:t>disponible en: “http://www.redalyc.org/articulo.oa?id=72011607008”). A</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juicio del Tribunal la acción del sindicato demandado inició con un fin</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amparable por el ordenamiento jurídico y fue ejecutado por medios</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pacíficos, sin embargo en su desarrollo vulneró el principio de</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proporcionalidad, porque el mensaje de descontento social fue transmitido</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de forma efectiva durante los primeros 3 días del movimiento, dado que</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fue un hecho público y notorio que durante ese período en la ciudad de</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San José y otros partes de Costa Rica se llevaron a cabo grandes</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concentraciones de personas que marcharon con consignas en contra del</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expediente legislativo n.o 20.580, en las que participó con gran presencia</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el sindicato ANEP. Bajo esta inteligencia, una vez agotado el derecho de</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protesta de la forma en que se hizo, las ulteriores conductas del Sindicato</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de implicaron un ejercicio abusivo del derecho que convierte en ilegal el</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movimiento de</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huelga, ya que se están violentando los legítimos intereses de los</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destinatarios del servicio público que brinda la Comisión Nacional de</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Emergencias (sean esenciales o no) y del empleador quien a pesar de ser</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parte del Estado, no tiene incidencia en el c</w:t>
      </w:r>
      <w:r w:rsidR="006D0E28" w:rsidRPr="00D66245">
        <w:rPr>
          <w:rFonts w:ascii="Palatino Linotype" w:eastAsia="Times New Roman" w:hAnsi="Palatino Linotype" w:cs="Arial"/>
          <w:i/>
          <w:lang w:eastAsia="es-ES"/>
        </w:rPr>
        <w:t xml:space="preserve">onflicto ni tampoco posibilidad </w:t>
      </w:r>
      <w:r w:rsidRPr="00D66245">
        <w:rPr>
          <w:rFonts w:ascii="Palatino Linotype" w:eastAsia="Times New Roman" w:hAnsi="Palatino Linotype" w:cs="Arial"/>
          <w:i/>
          <w:lang w:eastAsia="es-ES"/>
        </w:rPr>
        <w:t>alguna de solucionarlo.</w:t>
      </w:r>
    </w:p>
    <w:p w14:paraId="474DB71F" w14:textId="77777777" w:rsidR="0090618D" w:rsidRPr="00D66245" w:rsidRDefault="0090618D" w:rsidP="00311FAA">
      <w:pPr>
        <w:shd w:val="clear" w:color="auto" w:fill="FFFFFF"/>
        <w:spacing w:before="120" w:after="200" w:line="300" w:lineRule="atLeast"/>
        <w:ind w:left="851" w:right="851"/>
        <w:jc w:val="both"/>
        <w:rPr>
          <w:rFonts w:ascii="Palatino Linotype" w:eastAsia="Times New Roman" w:hAnsi="Palatino Linotype" w:cs="Arial"/>
          <w:i/>
          <w:lang w:eastAsia="es-ES"/>
        </w:rPr>
      </w:pPr>
      <w:r w:rsidRPr="00D66245">
        <w:rPr>
          <w:rFonts w:ascii="Palatino Linotype" w:eastAsia="Times New Roman" w:hAnsi="Palatino Linotype" w:cs="Arial"/>
          <w:i/>
          <w:lang w:eastAsia="es-ES"/>
        </w:rPr>
        <w:t>X.- CONSIDERACIONES FINALES: En mérito de lo que viene expuesto</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debe darse confirmatoria al fallo que se conoce, salvo en el aspecto de</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costas personales, toda vez que la imposición de sanciones económicas</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tan cuantiosas a las organizaciones sindicales desincentivaría su</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participación en la discusión democrática de asuntos de interés nacional.</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Debe recordarse al a-quo que este proceso no está dispuesto con la</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finalidad de penalizar a las organizaciones gremiales, sino para calificar el</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movimiento de huelga. Finalmente, es preciso señalar a la empleadora que la aplicación de sanciones disciplinarias y rebajos salariales de</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conformidad con el ordinal 379 y 385 del Código de Trabajo no podrán</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realizarse de forma retroactiva, únicamente a futuro y a partir de la firmeza</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de esta sentencia, una vez operado el aviso de 24 horas previsto por la</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legislación procesal para efectos de concertar el reinicio de las actividades</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(en este mismo sentido consúltese también la resolución 10.832-2011 de</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las 14:30 horas del 12 de agosto de 2011 de la Sala Constitucional de la</w:t>
      </w:r>
      <w:r w:rsidR="006D0E28" w:rsidRPr="00D66245">
        <w:rPr>
          <w:rFonts w:ascii="Palatino Linotype" w:eastAsia="Times New Roman" w:hAnsi="Palatino Linotype" w:cs="Arial"/>
          <w:i/>
          <w:lang w:eastAsia="es-ES"/>
        </w:rPr>
        <w:t xml:space="preserve"> </w:t>
      </w:r>
      <w:r w:rsidRPr="00D66245">
        <w:rPr>
          <w:rFonts w:ascii="Palatino Linotype" w:eastAsia="Times New Roman" w:hAnsi="Palatino Linotype" w:cs="Arial"/>
          <w:i/>
          <w:lang w:eastAsia="es-ES"/>
        </w:rPr>
        <w:t>Corte Suprema de Justicia).</w:t>
      </w:r>
      <w:r w:rsidR="00A675CE" w:rsidRPr="00D66245">
        <w:rPr>
          <w:rFonts w:ascii="Palatino Linotype" w:eastAsia="Times New Roman" w:hAnsi="Palatino Linotype" w:cs="Arial"/>
          <w:i/>
          <w:lang w:eastAsia="es-ES"/>
        </w:rPr>
        <w:t>”</w:t>
      </w:r>
    </w:p>
    <w:p w14:paraId="6F03A200" w14:textId="77777777" w:rsidR="00D42793" w:rsidRPr="00D66245" w:rsidRDefault="00BF4AC8" w:rsidP="00311FAA">
      <w:pPr>
        <w:spacing w:before="120" w:after="200"/>
        <w:ind w:left="851" w:right="851"/>
        <w:jc w:val="both"/>
        <w:rPr>
          <w:rFonts w:ascii="Palatino Linotype" w:hAnsi="Palatino Linotype"/>
        </w:rPr>
      </w:pPr>
      <w:r w:rsidRPr="00D66245">
        <w:rPr>
          <w:rFonts w:ascii="Palatino Linotype" w:hAnsi="Palatino Linotype"/>
        </w:rPr>
        <w:t xml:space="preserve">AUTO SENTENCIA DE SEGUNDA INSTANCIA N° 039. TRIBUNAL DE APELACIÓN DE TRABAJO II CIRCUITO JUDICIAL SAN JOSÉ. SECCIÓN TERCERA, a las diez horas del diecinueve de febrero de dos mil diecinueve.- </w:t>
      </w:r>
    </w:p>
    <w:p w14:paraId="3EF19350" w14:textId="77777777" w:rsidR="00CE03BC" w:rsidRDefault="00A675CE" w:rsidP="00CE03BC">
      <w:pPr>
        <w:spacing w:before="120" w:after="200"/>
        <w:ind w:left="851" w:right="851"/>
        <w:jc w:val="both"/>
        <w:rPr>
          <w:rFonts w:ascii="Palatino Linotype" w:hAnsi="Palatino Linotype"/>
          <w:i/>
        </w:rPr>
        <w:sectPr w:rsidR="00CE03BC" w:rsidSect="00BA1B42">
          <w:headerReference w:type="even" r:id="rId61"/>
          <w:headerReference w:type="default" r:id="rId62"/>
          <w:type w:val="nextColumn"/>
          <w:pgSz w:w="12242" w:h="15842" w:code="1"/>
          <w:pgMar w:top="1474" w:right="2098" w:bottom="1021" w:left="2778" w:header="851" w:footer="2835" w:gutter="0"/>
          <w:cols w:space="708"/>
          <w:titlePg/>
          <w:docGrid w:linePitch="360"/>
        </w:sectPr>
      </w:pPr>
      <w:r w:rsidRPr="00D66245">
        <w:rPr>
          <w:rFonts w:ascii="Palatino Linotype" w:hAnsi="Palatino Linotype"/>
          <w:i/>
        </w:rPr>
        <w:t>“</w:t>
      </w:r>
      <w:r w:rsidR="00BF4AC8" w:rsidRPr="00D66245">
        <w:rPr>
          <w:rFonts w:ascii="Palatino Linotype" w:hAnsi="Palatino Linotype"/>
          <w:i/>
        </w:rPr>
        <w:t>X. Legalidad. Dicho lo anterior, teniendo claro que no se ha demostrado que el movimiento objeto de análisis, no fuese pacífico y que se haya afectado servicios esenciales, resta por establecer si se reúnen los restantes requisitos para declarar la legalidad del movimiento. Se coincide con el A Quo, atendiendo, además a otros precedentes desarrollados por este y otros tribunales en la materia, en que, según los antecedentes del caso, estamos ante una huelga atípica -no contractual-, por lo que no procede aplicar, con rigor, los requisitos que el Código establece para las huelgas contractuales típicas, lo cual no excluye que deba satisfacer ciertos requerimientos. En esencia, además del carácter pacífico que se debe cumplir, obviamente atendiendo a lo preceptuado en el 61 constitucional, es esperable que se hayan agotado las vías de conciliación previas y se haya contado con el respaldo suficiente para el movimiento. Ambos requerimientos son satisfechos a cabalidad, según se tuvo por acreditado en los hechos probados tercero y quinto. Según se aprecia en la relación que se hace al incorporar el primero de esos hechos probados, hubo de previo a la iniciación del movimiento, el intercambio de una serie de misivas entre los sindicatos contradictores y las autoridades del Ministerio de Educación Pública y otras autoridades del Poder Ejecutivo y Legislativo, así como una serie de reuniones entre las diversas partes de esta compleja relación, tendentes a acercar posiciones y conciliar las discrepancias suscitadas a partir de los señalamientos que el movimiento sindical, le realizaban al proyecto que estaban cuestionando. De lo que se sigue que, como concluye el Juzgador de Primera Instancia, los sindicatos accionados sí realizaron esfuerzos para llegar a un acuerdo conciliatorio, cuyo resultado no fue satisfactorio al punto que se detonó el movimiento de huelga. En lo que se refiere al respaldo al movimiento, aquí si cabe acudir al concepto de hecho público y notorio, pues resulta particularmente obvio para todos que el movimiento de los educadores alcanzó un importante porcentaje de apoyo de los afiliados a los sindicatos contradictores. También da cuenta de lo anterior, como, atinadamente, rescata la sentencia objeto de estudio, las actas de las inspecciones efectuadas a los efectos del proceso, las cuales reflejan que, efectivamente, el movimiento que nos ocupa, tuvo un amplio apoyo de los miembros de los gremios involucrados. También se observa a imágenes 17 y 18 del documento registrado 14/09/2018 16:10:18 49 y 50 del documento registrado 14/09/2018 16:38:39 36 a 43 del documento registrado 14/09/2018 13:36:02 , sendas actas notariales que dan cuenta de la realización de asambleas de los sindicatos involucrados, aprobando la convocatoria a huelga. XI. Corolario. Conforme lo anterior en el contexto normativo actual, por las razones expuestos, en relación con los motivos invocados, no es factible declarar la ilegalidad del movimiento de huelga que se analiza y, dentro del mismo marco, se concluye que dicho movimiento sí cumple con los requerimientos para que se declare su legalidad. Son con lugar, en consecuencia, las defensas de falta de derecho planteadas por los accionados. Por la manera que se resuelve se impone revisar lo acordado sobre costas. Según la regla aplicable, son ambas costas personales y procesales, a cargo del promovente. Se fijan los honorarios de abogado, prudencialmente, en la suma de trescientos mil colones, por cada una de las relaciones procesales instauradas entre quien promueve las diligencias y los sindicatos contradictores. Sea el Estado deberá satisfacer a la representación de cada uno de los sindicatos accionados, por concepto, de honorarios de abogado, la suma de trescientos mil colones exactos.</w:t>
      </w:r>
      <w:r w:rsidRPr="00D66245">
        <w:rPr>
          <w:rFonts w:ascii="Palatino Linotype" w:hAnsi="Palatino Linotype"/>
          <w:i/>
        </w:rPr>
        <w:t>”</w:t>
      </w:r>
      <w:r w:rsidR="00BF4AC8" w:rsidRPr="00D66245">
        <w:rPr>
          <w:rFonts w:ascii="Palatino Linotype" w:hAnsi="Palatino Linotype"/>
          <w:i/>
        </w:rPr>
        <w:t xml:space="preserve"> </w:t>
      </w:r>
      <w:bookmarkStart w:id="67" w:name="_Hlk8652227"/>
    </w:p>
    <w:p w14:paraId="7539712A" w14:textId="5E13F6D8" w:rsidR="00D95FD2" w:rsidRDefault="00D95FD2" w:rsidP="00CE03BC">
      <w:pPr>
        <w:spacing w:before="120" w:after="200"/>
        <w:ind w:left="851" w:right="851"/>
        <w:jc w:val="both"/>
        <w:rPr>
          <w:rFonts w:ascii="Palatino Linotype" w:hAnsi="Palatino Linotype"/>
          <w:b/>
        </w:rPr>
      </w:pPr>
    </w:p>
    <w:p w14:paraId="7AC012EC" w14:textId="3DA81BA5" w:rsidR="00B377B2" w:rsidRPr="00D66245" w:rsidRDefault="000256DD" w:rsidP="00F53211">
      <w:pPr>
        <w:spacing w:before="120" w:after="200" w:line="240" w:lineRule="auto"/>
        <w:jc w:val="center"/>
        <w:rPr>
          <w:rFonts w:ascii="Palatino Linotype" w:hAnsi="Palatino Linotype"/>
          <w:b/>
        </w:rPr>
      </w:pPr>
      <w:r w:rsidRPr="00D66245">
        <w:rPr>
          <w:rFonts w:ascii="Palatino Linotype" w:hAnsi="Palatino Linotype"/>
          <w:b/>
        </w:rPr>
        <w:t>TÉCNICA DE LA APELACIÓN AGRARIA CONFORME AL NUEVO CÓDIGO PROCESAL AGRARIO DE COSTA RICA</w:t>
      </w:r>
    </w:p>
    <w:p w14:paraId="4466C26B" w14:textId="77777777" w:rsidR="00B377B2" w:rsidRPr="00D66245" w:rsidRDefault="00B377B2" w:rsidP="007224AD">
      <w:pPr>
        <w:spacing w:before="120" w:after="200" w:line="240" w:lineRule="auto"/>
        <w:ind w:left="3540" w:firstLine="708"/>
        <w:jc w:val="center"/>
        <w:rPr>
          <w:rFonts w:ascii="Palatino Linotype" w:hAnsi="Palatino Linotype"/>
          <w:b/>
        </w:rPr>
      </w:pPr>
      <w:r w:rsidRPr="00D66245">
        <w:rPr>
          <w:rFonts w:ascii="Palatino Linotype" w:hAnsi="Palatino Linotype"/>
          <w:b/>
        </w:rPr>
        <w:t>Dr. Enrique N. Ulate Chacón</w:t>
      </w:r>
      <w:bookmarkEnd w:id="67"/>
      <w:r w:rsidRPr="00D66245">
        <w:rPr>
          <w:rStyle w:val="Refdenotaalpie"/>
          <w:rFonts w:ascii="Palatino Linotype" w:hAnsi="Palatino Linotype"/>
          <w:b/>
        </w:rPr>
        <w:footnoteReference w:id="291"/>
      </w:r>
    </w:p>
    <w:p w14:paraId="353D646E" w14:textId="77777777" w:rsidR="00B377B2" w:rsidRPr="00D66245" w:rsidRDefault="00B377B2" w:rsidP="00F53211">
      <w:pPr>
        <w:spacing w:before="120" w:after="200" w:line="240" w:lineRule="auto"/>
        <w:jc w:val="center"/>
        <w:rPr>
          <w:rFonts w:ascii="Palatino Linotype" w:hAnsi="Palatino Linotype"/>
          <w:b/>
        </w:rPr>
      </w:pPr>
    </w:p>
    <w:p w14:paraId="0F429679"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1.- Tipos y forma de las resoluciones judiciales: 1.1. Providencias y autos; 1.2. Sentencias.</w:t>
      </w:r>
      <w:r w:rsidRPr="00D66245">
        <w:rPr>
          <w:rFonts w:ascii="Palatino Linotype" w:hAnsi="Palatino Linotype"/>
          <w:b/>
          <w:lang w:val="es-ES_tradnl"/>
        </w:rPr>
        <w:t xml:space="preserve">  </w:t>
      </w:r>
      <w:r w:rsidRPr="00D66245">
        <w:rPr>
          <w:rFonts w:ascii="Palatino Linotype" w:hAnsi="Palatino Linotype"/>
          <w:lang w:val="es-ES_tradnl"/>
        </w:rPr>
        <w:t xml:space="preserve">2.- Efectos de las resoluciones judiciales. 3.- </w:t>
      </w:r>
      <w:r w:rsidRPr="00D66245">
        <w:rPr>
          <w:rFonts w:ascii="Palatino Linotype" w:hAnsi="Palatino Linotype"/>
          <w:spacing w:val="-3"/>
          <w:lang w:val="es-ES_tradnl"/>
        </w:rPr>
        <w:t xml:space="preserve">Requisitos de la sentencia. 4.- </w:t>
      </w:r>
      <w:r w:rsidRPr="00D66245">
        <w:rPr>
          <w:rFonts w:ascii="Palatino Linotype" w:hAnsi="Palatino Linotype"/>
          <w:lang w:val="es-ES_tradnl"/>
        </w:rPr>
        <w:t>Pronunciamiento oficioso sobre los presupuestos de fondo y cuestiones debatidas. 5.- Las sentencias condenatorias. 6.- Generalidades de la impugnación en materia agraria: 6.1. Aclaración y adición, errores materiales. 6.2. Taxatividad impugnaticia. 6.3.- Del recurso de revocatoria. 7.- El recurso de apelación: 7.1.- Resoluciones y plazo en que procede la apelación.- 7.2- Trámite en primera instancia.- 7.3.- Autos apelables.- 7.4.- Apelación diferida.- 7.5.- Efectos de la apelación.- 7.6.- Trámite en segunda instancia.- 7.7.- Apelación por inadmisión.- 8.- Conclusiones. Bibliografía.</w:t>
      </w:r>
    </w:p>
    <w:p w14:paraId="08935084" w14:textId="77777777" w:rsidR="00B377B2" w:rsidRPr="00D66245" w:rsidRDefault="00B377B2" w:rsidP="00F53211">
      <w:pPr>
        <w:autoSpaceDE w:val="0"/>
        <w:autoSpaceDN w:val="0"/>
        <w:adjustRightInd w:val="0"/>
        <w:spacing w:before="120" w:after="200" w:line="240" w:lineRule="auto"/>
        <w:jc w:val="both"/>
        <w:textAlignment w:val="center"/>
        <w:rPr>
          <w:rFonts w:ascii="Palatino Linotype" w:hAnsi="Palatino Linotype"/>
          <w:b/>
          <w:bCs/>
          <w:lang w:val="es-ES_tradnl"/>
        </w:rPr>
      </w:pPr>
    </w:p>
    <w:p w14:paraId="1684800B" w14:textId="77777777" w:rsidR="00B377B2" w:rsidRPr="00D66245" w:rsidRDefault="00B377B2" w:rsidP="00F53211">
      <w:pPr>
        <w:autoSpaceDE w:val="0"/>
        <w:autoSpaceDN w:val="0"/>
        <w:adjustRightInd w:val="0"/>
        <w:spacing w:before="120" w:after="200" w:line="240" w:lineRule="auto"/>
        <w:jc w:val="both"/>
        <w:textAlignment w:val="center"/>
        <w:rPr>
          <w:rFonts w:ascii="Palatino Linotype" w:hAnsi="Palatino Linotype"/>
          <w:b/>
          <w:bCs/>
          <w:lang w:val="es-ES_tradnl"/>
        </w:rPr>
      </w:pPr>
      <w:r w:rsidRPr="00D66245">
        <w:rPr>
          <w:rFonts w:ascii="Palatino Linotype" w:hAnsi="Palatino Linotype"/>
          <w:b/>
          <w:bCs/>
          <w:lang w:val="es-ES_tradnl"/>
        </w:rPr>
        <w:t xml:space="preserve">RESÚMEN: </w:t>
      </w:r>
      <w:r w:rsidRPr="00D66245">
        <w:rPr>
          <w:rFonts w:ascii="Palatino Linotype" w:hAnsi="Palatino Linotype"/>
          <w:lang w:val="es-ES_tradnl"/>
        </w:rPr>
        <w:t>El presente trabajo pretende distinguir los distintos tipos de resoluciones judiciales en materia agraria, sus medios de impugnación, en particular el recurso de apelación, las condiciones de admisibilidad, la técnica del recurso, así como sus requisitos de forma y de fondo, para lograr una correcta aplicación del ordenamiento procesal agrario, evitando nulidades o estados de indefensión</w:t>
      </w:r>
      <w:r w:rsidRPr="00D66245">
        <w:rPr>
          <w:rFonts w:ascii="Palatino Linotype" w:hAnsi="Palatino Linotype"/>
          <w:b/>
          <w:bCs/>
          <w:lang w:val="es-ES_tradnl"/>
        </w:rPr>
        <w:t>.</w:t>
      </w:r>
    </w:p>
    <w:p w14:paraId="12195CDD" w14:textId="77777777" w:rsidR="00B377B2" w:rsidRPr="00D66245" w:rsidRDefault="00B377B2" w:rsidP="00F53211">
      <w:pPr>
        <w:autoSpaceDE w:val="0"/>
        <w:autoSpaceDN w:val="0"/>
        <w:adjustRightInd w:val="0"/>
        <w:spacing w:before="120" w:after="200" w:line="240" w:lineRule="auto"/>
        <w:ind w:left="360" w:hanging="360"/>
        <w:jc w:val="both"/>
        <w:textAlignment w:val="center"/>
        <w:rPr>
          <w:rFonts w:ascii="Palatino Linotype" w:hAnsi="Palatino Linotype"/>
          <w:b/>
          <w:bCs/>
          <w:lang w:val="es-ES_tradnl"/>
        </w:rPr>
      </w:pPr>
      <w:r w:rsidRPr="00D66245">
        <w:rPr>
          <w:rFonts w:ascii="Palatino Linotype" w:hAnsi="Palatino Linotype"/>
          <w:b/>
          <w:bCs/>
          <w:lang w:val="es-ES_tradnl"/>
        </w:rPr>
        <w:t>1.</w:t>
      </w:r>
      <w:r w:rsidRPr="00D66245">
        <w:rPr>
          <w:rFonts w:ascii="Palatino Linotype" w:hAnsi="Palatino Linotype"/>
          <w:b/>
          <w:bCs/>
          <w:lang w:val="es-ES_tradnl"/>
        </w:rPr>
        <w:tab/>
        <w:t>Tipos y forma de las resoluciones judiciales</w:t>
      </w:r>
    </w:p>
    <w:p w14:paraId="5BE66549"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Las resoluciones judiciales son las declaraciones dictadas por los juzgadores, destinadas a producir consecuencias jurídicas dentro del proceso, a las cuales las partes deben ajustar su conducta. La actividad jurisdiccional encuentra en las resoluciones judiciales su máxima expresión, porque a través de ellas se dictan pautas de procedimientos y, fundamentalmente, se dicta el derecho en cada caso concreto, es decir la solución de los conflictos sometidos al conocimiento de los tribunales.</w:t>
      </w:r>
    </w:p>
    <w:p w14:paraId="30C881F4"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En materia agraria, se ha indicado que el Tribunal decisor, sea un órgano unipersonal o colegiado,  dirige el proceso, lo impulsa de oficio y toma las medidas necesarias para llevarlo adelante, hasta el dictado de la sentencia. En efecto, el tribunal debe dictar una serie de actos jurídicos, entre los cuales están las resoluciones judiciales.</w:t>
      </w:r>
    </w:p>
    <w:p w14:paraId="172E3EB7"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 personas juzgadoras, que hayan asistido a una audiencia, deberán resolver, previa deliberación y votación, según corresponda, y asumir la redacción o formulación de su contenido”</w:t>
      </w:r>
      <w:r w:rsidRPr="00D66245">
        <w:rPr>
          <w:rStyle w:val="Refdenotaalpie"/>
          <w:rFonts w:ascii="Palatino Linotype" w:hAnsi="Palatino Linotype"/>
          <w:lang w:val="es-ES_tradnl"/>
        </w:rPr>
        <w:footnoteReference w:id="292"/>
      </w:r>
      <w:r w:rsidRPr="00D66245">
        <w:rPr>
          <w:rFonts w:ascii="Palatino Linotype" w:hAnsi="Palatino Linotype"/>
          <w:lang w:val="es-ES_tradnl"/>
        </w:rPr>
        <w:t>.</w:t>
      </w:r>
    </w:p>
    <w:p w14:paraId="6428BA7C"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El concepto de las resoluciones judiciales puede ser muy amplio y referirse a cosas muy distintas entre sí, comprendiendo la resolución principal, que es la sentencia de fondo, hasta simples disposiciones orales, privadas de todo requisito formal, decretadas en la audiencia, en el debate.</w:t>
      </w:r>
    </w:p>
    <w:p w14:paraId="0987163E"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En el Código Procesal Agrario se pueden distinguir tres tipos de resoluciones judiciales:  las providencias, los autos, y las sentencias,</w:t>
      </w:r>
      <w:r w:rsidRPr="00D66245">
        <w:rPr>
          <w:rFonts w:ascii="Palatino Linotype" w:hAnsi="Palatino Linotype"/>
          <w:vertAlign w:val="superscript"/>
          <w:lang w:val="es-ES_tradnl"/>
        </w:rPr>
        <w:footnoteReference w:id="293"/>
      </w:r>
      <w:r w:rsidRPr="00D66245">
        <w:rPr>
          <w:rFonts w:ascii="Palatino Linotype" w:hAnsi="Palatino Linotype"/>
          <w:lang w:val="es-ES_tradnl"/>
        </w:rPr>
        <w:t xml:space="preserve"> las cuales pueden ser orales o escritas. Las providencias escritas se dictan en tercero día y los autos en quinto día. Las orales, en audiencia se deben dictar en forma “oral e inmediata” –con las salvedades correspondientes, sin embargo, cuando se requiere un estudio especial o deliberación, se puede decretar un receso.</w:t>
      </w:r>
    </w:p>
    <w:p w14:paraId="1E6D1148"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 forma y firma de las resoluciones se regula como parte de los “Actos del Tribunal”, y deben contener los datos básicos para su individualización, identificación del tribunal y el proceso en el que se emiten. Asimismo, se exige la firma de las personas juzgadoras, si son escritas, pues bien podrían quedar respaldadas en video, si son orales. Si se trata de providencia de un tribunal colegiado y fuere escrita la firma únicamente el presidente.</w:t>
      </w:r>
      <w:r w:rsidRPr="00D66245">
        <w:rPr>
          <w:rStyle w:val="Refdenotaalpie"/>
          <w:rFonts w:ascii="Palatino Linotype" w:hAnsi="Palatino Linotype"/>
          <w:lang w:val="es-ES_tradnl"/>
        </w:rPr>
        <w:footnoteReference w:id="294"/>
      </w:r>
    </w:p>
    <w:p w14:paraId="593CB8F1"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Todo Tribunal tiene el deber de dictar las resoluciones dentro de los plazos legales, y utilizar en ellas un lenguaje claro y comprensible.</w:t>
      </w:r>
      <w:r w:rsidRPr="00D66245">
        <w:rPr>
          <w:rStyle w:val="Refdenotaalpie"/>
          <w:rFonts w:ascii="Palatino Linotype" w:hAnsi="Palatino Linotype"/>
          <w:lang w:val="es-ES_tradnl"/>
        </w:rPr>
        <w:footnoteReference w:id="295"/>
      </w:r>
    </w:p>
    <w:p w14:paraId="098FE1D3" w14:textId="6DFE8213"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 notificación de las resoluciones y, en general de los actos procesales se rige por lo dispuesto en el código y la normativa especial de notificaciones. Las resoluciones pronunciadas en la audiencia, se tiene por notificadas a quienes estén presentes o hayan debido concurrir al acto.</w:t>
      </w:r>
      <w:r w:rsidRPr="00D66245">
        <w:rPr>
          <w:rStyle w:val="Refdenotaalpie"/>
          <w:rFonts w:ascii="Palatino Linotype" w:hAnsi="Palatino Linotype"/>
          <w:lang w:val="es-ES_tradnl"/>
        </w:rPr>
        <w:footnoteReference w:id="296"/>
      </w:r>
    </w:p>
    <w:p w14:paraId="6FD7212F" w14:textId="77777777" w:rsidR="00B377B2" w:rsidRPr="00D66245" w:rsidRDefault="00B377B2" w:rsidP="00F53211">
      <w:pPr>
        <w:suppressAutoHyphens/>
        <w:autoSpaceDE w:val="0"/>
        <w:autoSpaceDN w:val="0"/>
        <w:adjustRightInd w:val="0"/>
        <w:spacing w:before="120" w:after="200" w:line="240" w:lineRule="auto"/>
        <w:jc w:val="both"/>
        <w:textAlignment w:val="center"/>
        <w:rPr>
          <w:rFonts w:ascii="Palatino Linotype" w:hAnsi="Palatino Linotype"/>
          <w:b/>
          <w:bCs/>
          <w:lang w:val="es-ES_tradnl"/>
        </w:rPr>
      </w:pPr>
      <w:r w:rsidRPr="00D66245">
        <w:rPr>
          <w:rFonts w:ascii="Palatino Linotype" w:hAnsi="Palatino Linotype"/>
          <w:b/>
          <w:bCs/>
          <w:lang w:val="es-ES_tradnl"/>
        </w:rPr>
        <w:t>1.1. Las providencias y autos</w:t>
      </w:r>
    </w:p>
    <w:p w14:paraId="2AC37A83"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El CPA no define la naturaleza de las resoluciones, por lo que debe recurrirse a lo dispuesto en el artículo 58.1 del Código Procesal Civil</w:t>
      </w:r>
      <w:r w:rsidRPr="00D66245">
        <w:rPr>
          <w:rStyle w:val="Refdenotaalpie"/>
          <w:rFonts w:ascii="Palatino Linotype" w:hAnsi="Palatino Linotype"/>
          <w:lang w:val="es-ES_tradnl"/>
        </w:rPr>
        <w:footnoteReference w:id="297"/>
      </w:r>
      <w:r w:rsidRPr="00D66245">
        <w:rPr>
          <w:rFonts w:ascii="Palatino Linotype" w:hAnsi="Palatino Linotype"/>
          <w:lang w:val="es-ES_tradnl"/>
        </w:rPr>
        <w:t xml:space="preserve"> denomina providencias a aquellas resoluciones de simple trámite.  Estas permiten el desarrollo del proceso u ordenan meros actos de ejecución.  Son necesarias para el impulso procesal de oficio. Se caracterizan porque son dictadas sin substanciación. Por el contrario, facilitan el desarrollo de los procedimientos, en su fase intermedia. </w:t>
      </w:r>
    </w:p>
    <w:p w14:paraId="283FAFFC"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En materia agraria, el Juez dicta muchas resoluciones que son de mero trámite. Entre otras, pueden mencionarse las siguientes: la resolución que previene corregir la demanda defectuosa</w:t>
      </w:r>
      <w:r w:rsidRPr="00D66245">
        <w:rPr>
          <w:rStyle w:val="Refdenotaalpie"/>
          <w:rFonts w:ascii="Palatino Linotype" w:hAnsi="Palatino Linotype"/>
          <w:lang w:val="es-ES_tradnl"/>
        </w:rPr>
        <w:footnoteReference w:id="298"/>
      </w:r>
      <w:r w:rsidRPr="00D66245">
        <w:rPr>
          <w:rFonts w:ascii="Palatino Linotype" w:hAnsi="Palatino Linotype"/>
          <w:lang w:val="es-ES_tradnl"/>
        </w:rPr>
        <w:t>, o cualquier tipo de prevención</w:t>
      </w:r>
      <w:r w:rsidRPr="00D66245">
        <w:rPr>
          <w:rStyle w:val="Refdenotaalpie"/>
          <w:rFonts w:ascii="Palatino Linotype" w:hAnsi="Palatino Linotype"/>
          <w:lang w:val="es-ES_tradnl"/>
        </w:rPr>
        <w:footnoteReference w:id="299"/>
      </w:r>
      <w:r w:rsidRPr="00D66245">
        <w:rPr>
          <w:rFonts w:ascii="Palatino Linotype" w:hAnsi="Palatino Linotype"/>
          <w:lang w:val="es-ES_tradnl"/>
        </w:rPr>
        <w:t>, en las que generalmente se otorga el plazo de tres días para su cumplimiento; la que ordena el depósito del monto necesario para cubrir los gastos de un perito</w:t>
      </w:r>
      <w:r w:rsidRPr="00D66245">
        <w:rPr>
          <w:rStyle w:val="Refdenotaalpie"/>
          <w:rFonts w:ascii="Palatino Linotype" w:hAnsi="Palatino Linotype"/>
          <w:lang w:val="es-ES_tradnl"/>
        </w:rPr>
        <w:footnoteReference w:id="300"/>
      </w:r>
      <w:r w:rsidRPr="00D66245">
        <w:rPr>
          <w:rFonts w:ascii="Palatino Linotype" w:hAnsi="Palatino Linotype"/>
          <w:lang w:val="es-ES_tradnl"/>
        </w:rPr>
        <w:t xml:space="preserve"> o de una diligencia judicial; la que tiene por contestada una audiencia; la que ordena el nombramiento de un perito, o previene el depósito de sus honorarios. </w:t>
      </w:r>
      <w:r w:rsidRPr="00D66245">
        <w:rPr>
          <w:rFonts w:ascii="Palatino Linotype" w:hAnsi="Palatino Linotype"/>
          <w:lang w:val="es-ES_tradnl"/>
        </w:rPr>
        <w:tab/>
      </w:r>
    </w:p>
    <w:p w14:paraId="2E4F1976"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En otros términos, la providencia consiste en la decisión que toma el Juez, sin instrucción ni discusión previa, para proveer la marcha del proceso.  Son las resoluciones que dicta la autoridad judicial, a petición de una parte y sin citación de la contraria, en el ejercicio de sus funciones administrativas.</w:t>
      </w:r>
    </w:p>
    <w:p w14:paraId="2B907F36"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Los autos son todas aquellas resoluciones dictadas por el Juez, basadas en un juicio o criterio valorativo.</w:t>
      </w:r>
      <w:r w:rsidRPr="00D66245">
        <w:rPr>
          <w:rFonts w:ascii="Palatino Linotype" w:hAnsi="Palatino Linotype"/>
          <w:vertAlign w:val="superscript"/>
          <w:lang w:val="es-ES_tradnl"/>
        </w:rPr>
        <w:footnoteReference w:id="301"/>
      </w:r>
      <w:r w:rsidRPr="00D66245">
        <w:rPr>
          <w:rFonts w:ascii="Palatino Linotype" w:hAnsi="Palatino Linotype"/>
          <w:lang w:val="es-ES_tradnl"/>
        </w:rPr>
        <w:t xml:space="preserve"> También se le denominan autos al conjunto de actuaciones o piezas de un procedimiento judicial. Algunos distinguen los autos simples de aquellos autos apelables</w:t>
      </w:r>
      <w:r w:rsidRPr="00D66245">
        <w:rPr>
          <w:rStyle w:val="Refdenotaalpie"/>
          <w:rFonts w:ascii="Palatino Linotype" w:hAnsi="Palatino Linotype"/>
          <w:lang w:val="es-ES_tradnl"/>
        </w:rPr>
        <w:footnoteReference w:id="302"/>
      </w:r>
      <w:r w:rsidRPr="00D66245">
        <w:rPr>
          <w:rFonts w:ascii="Palatino Linotype" w:hAnsi="Palatino Linotype"/>
          <w:lang w:val="es-ES_tradnl"/>
        </w:rPr>
        <w:t>.</w:t>
      </w:r>
    </w:p>
    <w:p w14:paraId="616D0F0F" w14:textId="6F0148D2"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spacing w:val="-1"/>
          <w:lang w:val="es-ES_tradnl"/>
        </w:rPr>
      </w:pPr>
      <w:r w:rsidRPr="00D66245">
        <w:rPr>
          <w:rFonts w:ascii="Palatino Linotype" w:hAnsi="Palatino Linotype"/>
          <w:spacing w:val="-1"/>
          <w:lang w:val="es-ES_tradnl"/>
        </w:rPr>
        <w:t>La diferencia fundamental entre la providencia y los autos, es que las primeras no requieren de un juicio valorativo por parte del juez, entre tanto los segundos sí. Es decir, en los autos se requiere por parte del juez un acto valorativo para indicar si procede o no lo pedido por las partes, en orden a continuar los procedimientos. Es decir, el Juez debe conocer, estimar o apreciar si es procedente la gestión de una parte, o bien si procede impulsar el proceso.</w:t>
      </w:r>
    </w:p>
    <w:p w14:paraId="2FE7A77D"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En materia agraria, pueden mencionarse gran cantidad de resoluciones que requieren de un criterio valorativo del juez. Algunos de ellos están contenidos dentro de los que admiten recurso de apelación</w:t>
      </w:r>
      <w:r w:rsidRPr="00D66245">
        <w:rPr>
          <w:rStyle w:val="Refdenotaalpie"/>
          <w:rFonts w:ascii="Palatino Linotype" w:hAnsi="Palatino Linotype"/>
          <w:lang w:val="es-ES_tradnl"/>
        </w:rPr>
        <w:footnoteReference w:id="303"/>
      </w:r>
      <w:r w:rsidRPr="00D66245">
        <w:rPr>
          <w:rFonts w:ascii="Palatino Linotype" w:hAnsi="Palatino Linotype"/>
          <w:lang w:val="es-ES_tradnl"/>
        </w:rPr>
        <w:t>, por ejemplo si deniega el proceso elegido por la parte, declara la inadmisibilidad, o ponga fin al proceso, resuelven media cautelar o tutelar, admita excepciones procesales, declaren la incompetencia, resuelvan sobre acumulación o desacumulación, o integración del litisconsorte, resuelvan tercerías o procesos incidentales, aprueben o rechacen liquidaciones de intereses o costas, ordenen o nieguen el embargo y su levantamiento, lo relativo al remate de un bien.</w:t>
      </w:r>
    </w:p>
    <w:p w14:paraId="6511359C"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En todas esas resoluciones, es evidente que se requiere un criterio valorativo por parte del Juez, pero como veremos, no requiere de formalidades especiales para decretarlas.</w:t>
      </w:r>
    </w:p>
    <w:p w14:paraId="60427B49"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Las resoluciones que deciden sobre excepciones o pretensiones incidentales que pongan término al proceso, se les conoce más comúnmente como resoluciones o sentencias interlocutorias, sin embargo, dichas resoluciones conforme a la nueva denominación serían “autos”. Son resoluciones que resuelven cuestiones que requieren de substanciación, planteadas durante el curso del proceso. Es decir, resuelven cualquier conflicto que se suscite durante el desarrollo del juicio, para lo cual se requiere dar audiencia previa, preferiblemente oral, a las partes.</w:t>
      </w:r>
    </w:p>
    <w:p w14:paraId="718082A6"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En una audiencia, tanto las providencias como los autos se dictan en forma inmediata; salvo que la complejidad de lo propuesto exija un estudio especial o deliberación, para lo cual se puede decretar un breve receso</w:t>
      </w:r>
      <w:r w:rsidRPr="00D66245">
        <w:rPr>
          <w:rStyle w:val="Refdenotaalpie"/>
          <w:rFonts w:ascii="Palatino Linotype" w:hAnsi="Palatino Linotype"/>
          <w:lang w:val="es-ES_tradnl"/>
        </w:rPr>
        <w:footnoteReference w:id="304"/>
      </w:r>
      <w:r w:rsidRPr="00D66245">
        <w:rPr>
          <w:rFonts w:ascii="Palatino Linotype" w:hAnsi="Palatino Linotype"/>
          <w:lang w:val="es-ES_tradnl"/>
        </w:rPr>
        <w:t>.</w:t>
      </w:r>
    </w:p>
    <w:p w14:paraId="0F0C0CB4" w14:textId="77777777" w:rsidR="00B377B2" w:rsidRPr="00D66245" w:rsidRDefault="00B377B2" w:rsidP="00F53211">
      <w:pPr>
        <w:suppressAutoHyphens/>
        <w:autoSpaceDE w:val="0"/>
        <w:autoSpaceDN w:val="0"/>
        <w:adjustRightInd w:val="0"/>
        <w:spacing w:before="120" w:after="200" w:line="240" w:lineRule="auto"/>
        <w:jc w:val="both"/>
        <w:textAlignment w:val="center"/>
        <w:rPr>
          <w:rFonts w:ascii="Palatino Linotype" w:hAnsi="Palatino Linotype"/>
          <w:b/>
          <w:bCs/>
          <w:lang w:val="es-ES_tradnl"/>
        </w:rPr>
      </w:pPr>
      <w:r w:rsidRPr="00D66245">
        <w:rPr>
          <w:rFonts w:ascii="Palatino Linotype" w:hAnsi="Palatino Linotype"/>
          <w:b/>
          <w:bCs/>
          <w:lang w:val="es-ES_tradnl"/>
        </w:rPr>
        <w:t>1.2. Las sentencias o sentencias definitivas</w:t>
      </w:r>
    </w:p>
    <w:p w14:paraId="07008C59"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En términos, generales, son las que resuelven las cuestiones debatidas.</w:t>
      </w:r>
    </w:p>
    <w:p w14:paraId="3B14E7FB"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De conformidad con las disposiciones relativas a este tipo de resoluciones, la sentencia debe emitirse oralmente, después de la exposición de las conclusiones o de la deliberación correspondiente.</w:t>
      </w:r>
      <w:r w:rsidRPr="00D66245">
        <w:rPr>
          <w:rStyle w:val="Refdenotaalpie"/>
          <w:rFonts w:ascii="Palatino Linotype" w:hAnsi="Palatino Linotype"/>
          <w:lang w:val="es-ES_tradnl"/>
        </w:rPr>
        <w:footnoteReference w:id="305"/>
      </w:r>
      <w:r w:rsidRPr="00D66245">
        <w:rPr>
          <w:rFonts w:ascii="Palatino Linotype" w:hAnsi="Palatino Linotype"/>
          <w:lang w:val="es-ES_tradnl"/>
        </w:rPr>
        <w:t xml:space="preserve"> Es importante aclarar que la deliberación puede tardar hasta dos días si el caso lo amerita.</w:t>
      </w:r>
    </w:p>
    <w:p w14:paraId="2C14641F"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Ahora bien el legislador ha tomado en consideración la realidad agraria y contexto en que se desenvuelven las audiencias, a saber, en su mayoría en el campo. Razón por la cual razones de seguridad e integridad, tanto de las personas juzgadoras como de los asistentes a la audiencia, pueden permitir el dictado de la sentencia dentro del plazo de cinco días. Y en supuestos muy complejos, hasta de 22 días hábiles, siempre y cuando se fundamente.</w:t>
      </w:r>
      <w:r w:rsidRPr="00D66245">
        <w:rPr>
          <w:rStyle w:val="Refdenotaalpie"/>
          <w:rFonts w:ascii="Palatino Linotype" w:hAnsi="Palatino Linotype"/>
          <w:lang w:val="es-ES_tradnl"/>
        </w:rPr>
        <w:footnoteReference w:id="306"/>
      </w:r>
      <w:r w:rsidRPr="00D66245">
        <w:rPr>
          <w:rFonts w:ascii="Palatino Linotype" w:hAnsi="Palatino Linotype"/>
          <w:lang w:val="es-ES_tradnl"/>
        </w:rPr>
        <w:t xml:space="preserve"> </w:t>
      </w:r>
    </w:p>
    <w:p w14:paraId="2551CE3B"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Se entiende que la sentencia es oral, sin embargo, si la parte lo solicita o el tribunal lo estima necesario, se transcribirá por escrito.</w:t>
      </w:r>
      <w:r w:rsidRPr="00D66245">
        <w:rPr>
          <w:rStyle w:val="Refdenotaalpie"/>
          <w:rFonts w:ascii="Palatino Linotype" w:hAnsi="Palatino Linotype"/>
          <w:lang w:val="es-ES_tradnl"/>
        </w:rPr>
        <w:footnoteReference w:id="307"/>
      </w:r>
    </w:p>
    <w:p w14:paraId="0E729B66" w14:textId="1F539E8C"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Todas aquellas resoluciones que deciden definitivamente las cuestiones debatidas, mediante pronunciamiento sobre las pretensiones y excepciones formuladas en la demanda y contestación.</w:t>
      </w:r>
      <w:r w:rsidRPr="00D66245">
        <w:rPr>
          <w:rFonts w:ascii="Palatino Linotype" w:hAnsi="Palatino Linotype"/>
          <w:vertAlign w:val="superscript"/>
          <w:lang w:val="es-ES_tradnl"/>
        </w:rPr>
        <w:footnoteReference w:id="308"/>
      </w:r>
    </w:p>
    <w:p w14:paraId="5DC04DED"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 sentencia definitiva se define como aquella que el juez dicta para decidir el fondo mismo del litigo sometido a su conocimiento.</w:t>
      </w:r>
      <w:r w:rsidRPr="00D66245">
        <w:rPr>
          <w:rFonts w:ascii="Palatino Linotype" w:hAnsi="Palatino Linotype"/>
          <w:vertAlign w:val="superscript"/>
          <w:lang w:val="es-ES_tradnl"/>
        </w:rPr>
        <w:footnoteReference w:id="309"/>
      </w:r>
      <w:r w:rsidRPr="00D66245">
        <w:rPr>
          <w:rFonts w:ascii="Palatino Linotype" w:hAnsi="Palatino Linotype"/>
          <w:lang w:val="es-ES_tradnl"/>
        </w:rPr>
        <w:t xml:space="preserve"> Otra aproximación al concepto es  “…el acto del órgano judicial en cuya virtud éste, agotadas las etapas de iniciación y desarrollo, decide actuar o denegar la actuación de la pretensión o petición extracontenciosa que fue objeto del proceso.”</w:t>
      </w:r>
      <w:r w:rsidRPr="00D66245">
        <w:rPr>
          <w:rFonts w:ascii="Palatino Linotype" w:hAnsi="Palatino Linotype"/>
          <w:vertAlign w:val="superscript"/>
          <w:lang w:val="es-ES_tradnl"/>
        </w:rPr>
        <w:footnoteReference w:id="310"/>
      </w:r>
      <w:r w:rsidRPr="00D66245">
        <w:rPr>
          <w:rFonts w:ascii="Palatino Linotype" w:hAnsi="Palatino Linotype"/>
          <w:lang w:val="es-ES_tradnl"/>
        </w:rPr>
        <w:t xml:space="preserve">  </w:t>
      </w:r>
    </w:p>
    <w:p w14:paraId="357A6DF1"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Este concepto parece más acertado, porque como bien lo advierte el autor –citando a Palacio -, tan definitiva es la resolución que se pronuncia sobre el fondo del asunto, como aquella donde el juez decide sobre la carencia de un presupuesto procesal, como la caducidad de la acción, o la falta de legitimación de las partes. Pues en estos casos también se produce una sentencia definitiva.</w:t>
      </w:r>
    </w:p>
    <w:p w14:paraId="34D87F28"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Por ello Chiovenda distingue entre las sentencias definitivas de fondo, como aquellas que, estando constituida válidamente la relación procesal, los jueces le ponen fin dando cumplimiento a su obligación de pronunciarse sobre la demanda (estimándola o rechazándola), con las sentencias absolutorias de la prosecución del juicio si no se constituyó válidamente la relación procesal, el juez declara que no puede resolverse en cuanto al fondo; o si la relación se extingue sin resolución de fondo (caducidad, desistimiento) y el juez la declara extinguida.</w:t>
      </w:r>
      <w:r w:rsidRPr="00D66245">
        <w:rPr>
          <w:rFonts w:ascii="Palatino Linotype" w:hAnsi="Palatino Linotype"/>
          <w:vertAlign w:val="superscript"/>
          <w:lang w:val="es-ES_tradnl"/>
        </w:rPr>
        <w:footnoteReference w:id="311"/>
      </w:r>
    </w:p>
    <w:p w14:paraId="51D09C89" w14:textId="77777777" w:rsidR="00B377B2" w:rsidRPr="00D66245" w:rsidRDefault="00B377B2" w:rsidP="00F53211">
      <w:pPr>
        <w:autoSpaceDE w:val="0"/>
        <w:autoSpaceDN w:val="0"/>
        <w:adjustRightInd w:val="0"/>
        <w:spacing w:before="120" w:after="200" w:line="240" w:lineRule="auto"/>
        <w:ind w:left="360" w:hanging="360"/>
        <w:jc w:val="both"/>
        <w:textAlignment w:val="center"/>
        <w:rPr>
          <w:rFonts w:ascii="Palatino Linotype" w:hAnsi="Palatino Linotype"/>
          <w:b/>
          <w:bCs/>
          <w:lang w:val="es-ES_tradnl"/>
        </w:rPr>
      </w:pPr>
      <w:r w:rsidRPr="00D66245">
        <w:rPr>
          <w:rFonts w:ascii="Palatino Linotype" w:hAnsi="Palatino Linotype"/>
          <w:b/>
          <w:bCs/>
          <w:lang w:val="es-ES_tradnl"/>
        </w:rPr>
        <w:t>2.   Efectos de las resoluciones judiciales</w:t>
      </w:r>
    </w:p>
    <w:p w14:paraId="113BCD58"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La preclusión significa la pérdida, extinción o consumación de una facultad procesal.  Está ligada indisolublemente a la estructura del juicio, atendiendo al agotamiento de etapas procesales. Una etapa procesal puede precluir por el hecho de que no se haya observado el orden u oportunidad dado por la ley para la realización de un acto (no apelar dentro del plazo, no aportar pruebas con la demanda, etc.), o por haberse cumplido una actividad incompatible con el ejercicio de otra (no alegar la nulidad con el recurso que proceda contra la resolución), o bien, por haberse ejercido válidamente esa facultad.  </w:t>
      </w:r>
    </w:p>
    <w:p w14:paraId="3E415EFE"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En este último caso, la preclusión se refiere a situaciones donde ha operado la cosa juzgada. Esta es la máxima expresión de la preclusión porque impide renovar los alegados apoyados en mismos hechos que fueron objeto de un proceso anterior. Sobre todo en cuanto se refiere a la cosa juzgada formal, porque el impedimento que genera la preclusión impide discutir cuestiones que ya ha sido objeto de decisión y resueltas en sentencia firme.</w:t>
      </w:r>
      <w:r w:rsidRPr="00D66245">
        <w:rPr>
          <w:rFonts w:ascii="Palatino Linotype" w:hAnsi="Palatino Linotype"/>
          <w:vertAlign w:val="superscript"/>
          <w:lang w:val="es-ES_tradnl"/>
        </w:rPr>
        <w:footnoteReference w:id="312"/>
      </w:r>
    </w:p>
    <w:p w14:paraId="6CE60EB0"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Para que exista cosa juzgada, el código requiere la identidad de sujetos, objeto y causa. Sus efectos se limitan a la parte dispositiva o por tanto, y puede declararse aún de oficio. Además distingue entre cosa juzgada formal y material.</w:t>
      </w:r>
      <w:r w:rsidRPr="00D66245">
        <w:rPr>
          <w:rStyle w:val="Refdenotaalpie"/>
          <w:rFonts w:ascii="Palatino Linotype" w:hAnsi="Palatino Linotype"/>
          <w:lang w:val="es-ES_tradnl"/>
        </w:rPr>
        <w:footnoteReference w:id="313"/>
      </w:r>
      <w:r w:rsidRPr="00D66245">
        <w:rPr>
          <w:rFonts w:ascii="Palatino Linotype" w:hAnsi="Palatino Linotype"/>
          <w:lang w:val="es-ES_tradnl"/>
        </w:rPr>
        <w:t xml:space="preserve">  </w:t>
      </w:r>
    </w:p>
    <w:p w14:paraId="50CE5CAA"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 cosa juzgada formal se refiere a la firmeza de la resolución. Es decir, no está sujeta a impugnaciones sea porque se han agotado todos los recursos contra la resolución impugnada (sentencia), o bien porque no se plantearon a tiempo, permitiendo desplegar todos sus efectos.  La aceptación expresa o tácita de una sentencia significa una renuncia al derecho de impugnación, pero dicha aceptación debe ser inequívoca.</w:t>
      </w:r>
      <w:r w:rsidRPr="00D66245">
        <w:rPr>
          <w:rFonts w:ascii="Palatino Linotype" w:hAnsi="Palatino Linotype"/>
          <w:vertAlign w:val="superscript"/>
          <w:lang w:val="es-ES_tradnl"/>
        </w:rPr>
        <w:footnoteReference w:id="314"/>
      </w:r>
    </w:p>
    <w:p w14:paraId="17C5C0CC"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 cosa juzgada formal se produce, generalmente, en procesos contenciosos distintos del ordinario agrario</w:t>
      </w:r>
      <w:r w:rsidRPr="00D66245">
        <w:rPr>
          <w:rStyle w:val="Refdenotaalpie"/>
          <w:rFonts w:ascii="Palatino Linotype" w:hAnsi="Palatino Linotype"/>
          <w:lang w:val="es-ES_tradnl"/>
        </w:rPr>
        <w:footnoteReference w:id="315"/>
      </w:r>
      <w:r w:rsidRPr="00D66245">
        <w:rPr>
          <w:rFonts w:ascii="Palatino Linotype" w:hAnsi="Palatino Linotype"/>
          <w:lang w:val="es-ES_tradnl"/>
        </w:rPr>
        <w:t>, tales como los sumarios (interdictos, desahucios, ejecutivos), cuyos medios de impugnación se agotan con la segunda instancia. La sentencia firme del tribunal agrario supone la formación de la cosa juzgada formal, o bien las sentencias de cualquier juzgado agrario, cuando no han sido recurridas a tiempo, dentro del plazo que la ley establece.  Dichas sentencias pueden ser discutidas en la vía ordinaria.</w:t>
      </w:r>
    </w:p>
    <w:p w14:paraId="18822030"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Las sentencias firmes dictadas en procesos ordinarios agrarios producen la autoridad y eficacia de la cosa juzgada material, lo que hace indiscutible, en otro proceso, la existencia o no de la relación jurídica.</w:t>
      </w:r>
      <w:r w:rsidRPr="00D66245">
        <w:rPr>
          <w:rFonts w:ascii="Palatino Linotype" w:hAnsi="Palatino Linotype"/>
          <w:vertAlign w:val="superscript"/>
          <w:lang w:val="es-ES_tradnl"/>
        </w:rPr>
        <w:footnoteReference w:id="316"/>
      </w:r>
      <w:r w:rsidRPr="00D66245">
        <w:rPr>
          <w:rFonts w:ascii="Palatino Linotype" w:hAnsi="Palatino Linotype"/>
          <w:lang w:val="es-ES_tradnl"/>
        </w:rPr>
        <w:t xml:space="preserve"> También producen dicho estado las resoluciones que resuelvan en forma definitiva las excepciones de prescripción negativa, prescripción positiva, cosa juzgada y transacción, cuando sean declaradas con lugar por resolución firme.</w:t>
      </w:r>
    </w:p>
    <w:p w14:paraId="53198F41"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Los efectos de la cosa juzgada material se limitan a lo resolutivo de las sentencias y no a sus fundamentos, lo cual hace indiscutible, en otro proceso, la existencia o la no existencia de la relación jurídica que ella declara.  Para que opere la cosa juzgada material, en relación con otro proceso, es necesario la identidad de todos los elementos de la relación procesal:  las partes, el objeto y la causa.</w:t>
      </w:r>
    </w:p>
    <w:p w14:paraId="1A89BF84" w14:textId="77777777" w:rsidR="00B377B2" w:rsidRPr="00D66245" w:rsidRDefault="00B377B2" w:rsidP="00F53211">
      <w:pPr>
        <w:autoSpaceDE w:val="0"/>
        <w:autoSpaceDN w:val="0"/>
        <w:adjustRightInd w:val="0"/>
        <w:spacing w:before="120" w:after="200" w:line="240" w:lineRule="auto"/>
        <w:ind w:left="360" w:hanging="360"/>
        <w:jc w:val="both"/>
        <w:textAlignment w:val="center"/>
        <w:rPr>
          <w:rFonts w:ascii="Palatino Linotype" w:hAnsi="Palatino Linotype"/>
          <w:b/>
          <w:bCs/>
          <w:lang w:val="es-ES_tradnl"/>
        </w:rPr>
      </w:pPr>
      <w:r w:rsidRPr="00D66245">
        <w:rPr>
          <w:rFonts w:ascii="Palatino Linotype" w:hAnsi="Palatino Linotype"/>
          <w:b/>
          <w:bCs/>
          <w:lang w:val="es-ES_tradnl"/>
        </w:rPr>
        <w:t xml:space="preserve">3. </w:t>
      </w:r>
      <w:r w:rsidRPr="00D66245">
        <w:rPr>
          <w:rFonts w:ascii="Palatino Linotype" w:hAnsi="Palatino Linotype"/>
          <w:b/>
          <w:bCs/>
          <w:lang w:val="es-ES_tradnl"/>
        </w:rPr>
        <w:tab/>
        <w:t>Requisitos de la sentencia</w:t>
      </w:r>
    </w:p>
    <w:p w14:paraId="519810A8" w14:textId="77777777" w:rsidR="00B377B2" w:rsidRPr="00D66245" w:rsidRDefault="00B377B2" w:rsidP="00F53211">
      <w:pPr>
        <w:tabs>
          <w:tab w:val="left" w:pos="-720"/>
        </w:tabs>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Lejos de las cuestiones formales anteriormente indicadas, el nuevo Código Procesal Agrario, a diferencia de la ley anterior, es bastante explícito en relación con los requisitos que se deben cumplir en el dictado de la sentencia:</w:t>
      </w:r>
    </w:p>
    <w:p w14:paraId="6410B869" w14:textId="77777777" w:rsidR="00B377B2" w:rsidRPr="00D66245" w:rsidRDefault="00B377B2" w:rsidP="00F53211">
      <w:pPr>
        <w:tabs>
          <w:tab w:val="left" w:pos="-720"/>
        </w:tabs>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En la parte inicial, introductoria (o encabezado, si es escrita), debe señalarse el Tribunal que la dicta, hora y fecha, el tipo de proceso, el nombre de las partes, intervinientes y sus representantes y demás requisitos.</w:t>
      </w:r>
      <w:r w:rsidRPr="00D66245">
        <w:rPr>
          <w:rStyle w:val="Refdenotaalpie"/>
          <w:rFonts w:ascii="Palatino Linotype" w:hAnsi="Palatino Linotype"/>
          <w:lang w:val="es-ES_tradnl"/>
        </w:rPr>
        <w:footnoteReference w:id="317"/>
      </w:r>
    </w:p>
    <w:p w14:paraId="707F81FD" w14:textId="77777777" w:rsidR="00B377B2" w:rsidRPr="00D66245" w:rsidRDefault="00B377B2" w:rsidP="00F53211">
      <w:pPr>
        <w:tabs>
          <w:tab w:val="left" w:pos="-720"/>
        </w:tabs>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Debe resolver todos y cada uno de los puntos objeto del debate.</w:t>
      </w:r>
      <w:r w:rsidRPr="00D66245">
        <w:rPr>
          <w:rFonts w:ascii="Palatino Linotype" w:hAnsi="Palatino Linotype"/>
          <w:vertAlign w:val="superscript"/>
          <w:lang w:val="es-ES_tradnl"/>
        </w:rPr>
        <w:footnoteReference w:id="318"/>
      </w:r>
      <w:r w:rsidRPr="00D66245">
        <w:rPr>
          <w:rFonts w:ascii="Palatino Linotype" w:hAnsi="Palatino Linotype"/>
          <w:lang w:val="es-ES_tradnl"/>
        </w:rPr>
        <w:t xml:space="preserve"> No puede conceder extremos no pedidos o dar más de lo solicitado, salvo que el ordenamiento jurídico no exija iniciativa de parte, o sea consecuencia “intrínseca” de lo pedido para garantizar la eficacia del fallo. En ese sentido, el artículo 82 del CPA, complementa esta disposición al referirse a aspectos que deben resolverse de oficio.</w:t>
      </w:r>
      <w:r w:rsidRPr="00D66245">
        <w:rPr>
          <w:rStyle w:val="Refdenotaalpie"/>
          <w:rFonts w:ascii="Palatino Linotype" w:hAnsi="Palatino Linotype"/>
          <w:lang w:val="es-ES_tradnl"/>
        </w:rPr>
        <w:footnoteReference w:id="319"/>
      </w:r>
    </w:p>
    <w:p w14:paraId="66AAABB0" w14:textId="77777777" w:rsidR="00B377B2" w:rsidRPr="00D66245" w:rsidRDefault="00B377B2" w:rsidP="00F53211">
      <w:pPr>
        <w:tabs>
          <w:tab w:val="left" w:pos="-720"/>
        </w:tabs>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En principio, el código elimina los resultandos como requisito del fallo.</w:t>
      </w:r>
    </w:p>
    <w:p w14:paraId="3C89649E" w14:textId="77777777" w:rsidR="00B377B2" w:rsidRPr="00D66245" w:rsidRDefault="00B377B2" w:rsidP="00F53211">
      <w:pPr>
        <w:tabs>
          <w:tab w:val="left" w:pos="-720"/>
        </w:tabs>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La parte “considerativa” o considerandos, es de especial importancia para el juzgador. Dispone el artículo 81 del Código: </w:t>
      </w:r>
    </w:p>
    <w:p w14:paraId="7DE5C787" w14:textId="77777777" w:rsidR="00B377B2" w:rsidRPr="00D66245" w:rsidRDefault="00B377B2" w:rsidP="00F53211">
      <w:pPr>
        <w:widowControl w:val="0"/>
        <w:autoSpaceDE w:val="0"/>
        <w:autoSpaceDN w:val="0"/>
        <w:adjustRightInd w:val="0"/>
        <w:spacing w:before="120" w:after="200" w:line="240" w:lineRule="auto"/>
        <w:ind w:firstLine="360"/>
        <w:jc w:val="both"/>
        <w:rPr>
          <w:rFonts w:ascii="Palatino Linotype" w:eastAsia="Times New Roman" w:hAnsi="Palatino Linotype"/>
          <w:i/>
          <w:lang w:eastAsia="es-ES"/>
        </w:rPr>
      </w:pPr>
      <w:r w:rsidRPr="00D66245">
        <w:rPr>
          <w:rFonts w:ascii="Palatino Linotype" w:eastAsia="Times New Roman" w:hAnsi="Palatino Linotype"/>
          <w:i/>
          <w:lang w:eastAsia="es-ES"/>
        </w:rPr>
        <w:t>“En los considerandos se indicará:</w:t>
      </w:r>
    </w:p>
    <w:p w14:paraId="732486D8" w14:textId="77777777" w:rsidR="00B377B2" w:rsidRPr="00D66245" w:rsidRDefault="00B377B2" w:rsidP="00F53211">
      <w:pPr>
        <w:widowControl w:val="0"/>
        <w:autoSpaceDE w:val="0"/>
        <w:autoSpaceDN w:val="0"/>
        <w:adjustRightInd w:val="0"/>
        <w:spacing w:before="120" w:after="200" w:line="240" w:lineRule="auto"/>
        <w:jc w:val="both"/>
        <w:rPr>
          <w:rFonts w:ascii="Palatino Linotype" w:eastAsia="Times New Roman" w:hAnsi="Palatino Linotype"/>
          <w:i/>
          <w:lang w:eastAsia="es-ES"/>
        </w:rPr>
      </w:pPr>
      <w:r w:rsidRPr="00D66245">
        <w:rPr>
          <w:rFonts w:ascii="Palatino Linotype" w:eastAsia="Times New Roman" w:hAnsi="Palatino Linotype"/>
          <w:i/>
          <w:lang w:eastAsia="es-ES"/>
        </w:rPr>
        <w:t>1) Una síntesis de los alegatos, las pretensiones y las excepciones.</w:t>
      </w:r>
    </w:p>
    <w:p w14:paraId="5B55EF99" w14:textId="77777777" w:rsidR="00B377B2" w:rsidRPr="00D66245" w:rsidRDefault="00B377B2" w:rsidP="00F53211">
      <w:pPr>
        <w:widowControl w:val="0"/>
        <w:autoSpaceDE w:val="0"/>
        <w:autoSpaceDN w:val="0"/>
        <w:adjustRightInd w:val="0"/>
        <w:spacing w:before="120" w:after="200" w:line="240" w:lineRule="auto"/>
        <w:jc w:val="both"/>
        <w:rPr>
          <w:rFonts w:ascii="Palatino Linotype" w:eastAsia="Times New Roman" w:hAnsi="Palatino Linotype"/>
          <w:i/>
          <w:lang w:eastAsia="es-ES"/>
        </w:rPr>
      </w:pPr>
      <w:r w:rsidRPr="00D66245">
        <w:rPr>
          <w:rFonts w:ascii="Palatino Linotype" w:eastAsia="Times New Roman" w:hAnsi="Palatino Linotype"/>
          <w:i/>
          <w:lang w:eastAsia="es-ES"/>
        </w:rPr>
        <w:t xml:space="preserve">2) La enunciación clara, precisa y ordenada de los hechos probados y no demostrados cuando los haya, con referencia concreta a los medios probatorios en que se apoya la decisión, de cuyo contenido se hará una referencia lacónica, así como de los criterios de apreciación de esos elementos. </w:t>
      </w:r>
    </w:p>
    <w:p w14:paraId="0AD5A66A" w14:textId="77777777" w:rsidR="00B377B2" w:rsidRPr="00D66245" w:rsidRDefault="00B377B2" w:rsidP="00F53211">
      <w:pPr>
        <w:widowControl w:val="0"/>
        <w:autoSpaceDE w:val="0"/>
        <w:autoSpaceDN w:val="0"/>
        <w:adjustRightInd w:val="0"/>
        <w:spacing w:before="120" w:after="200" w:line="240" w:lineRule="auto"/>
        <w:jc w:val="both"/>
        <w:rPr>
          <w:rFonts w:ascii="Palatino Linotype" w:eastAsia="Times New Roman" w:hAnsi="Palatino Linotype"/>
          <w:lang w:eastAsia="es-ES"/>
        </w:rPr>
      </w:pPr>
      <w:r w:rsidRPr="00D66245">
        <w:rPr>
          <w:rFonts w:ascii="Palatino Linotype" w:eastAsia="Times New Roman" w:hAnsi="Palatino Linotype"/>
          <w:i/>
          <w:lang w:eastAsia="es-ES"/>
        </w:rPr>
        <w:t>3) Un análisis de las gestiones incidentales pendientes, de las cuestiones pretendidas y debatidas por las partes, las excepciones y las costas. Se expresarán con claridad los fundamentos jurídicos y las razones de equidad en que se basa la decisión.”</w:t>
      </w:r>
      <w:r w:rsidRPr="00D66245">
        <w:rPr>
          <w:rFonts w:ascii="Palatino Linotype" w:eastAsia="Times New Roman" w:hAnsi="Palatino Linotype"/>
          <w:lang w:eastAsia="es-ES"/>
        </w:rPr>
        <w:t xml:space="preserve"> </w:t>
      </w:r>
    </w:p>
    <w:p w14:paraId="415DDE37" w14:textId="77777777" w:rsidR="00B377B2" w:rsidRPr="00D66245" w:rsidRDefault="00B377B2" w:rsidP="00F53211">
      <w:pPr>
        <w:widowControl w:val="0"/>
        <w:autoSpaceDE w:val="0"/>
        <w:autoSpaceDN w:val="0"/>
        <w:adjustRightInd w:val="0"/>
        <w:spacing w:before="120" w:after="200" w:line="240" w:lineRule="auto"/>
        <w:ind w:firstLine="360"/>
        <w:rPr>
          <w:rFonts w:ascii="Palatino Linotype" w:eastAsia="Times New Roman" w:hAnsi="Palatino Linotype"/>
          <w:lang w:eastAsia="es-ES"/>
        </w:rPr>
      </w:pPr>
      <w:r w:rsidRPr="00D66245">
        <w:rPr>
          <w:rFonts w:ascii="Palatino Linotype" w:eastAsia="Times New Roman" w:hAnsi="Palatino Linotype"/>
          <w:lang w:eastAsia="es-ES"/>
        </w:rPr>
        <w:t>Al tribunal superior le está prohibido resolver solo con remisión a las consideraciones de la sentencia de la instancia inferior. Deberá expresar sus razones.</w:t>
      </w:r>
      <w:r w:rsidRPr="00D66245">
        <w:rPr>
          <w:rStyle w:val="Refdenotaalpie"/>
          <w:rFonts w:ascii="Palatino Linotype" w:eastAsia="Times New Roman" w:hAnsi="Palatino Linotype"/>
          <w:lang w:eastAsia="es-ES"/>
        </w:rPr>
        <w:footnoteReference w:id="320"/>
      </w:r>
    </w:p>
    <w:p w14:paraId="4922B62D" w14:textId="77777777" w:rsidR="00B377B2" w:rsidRPr="00D66245" w:rsidRDefault="00B377B2" w:rsidP="00F53211">
      <w:pPr>
        <w:tabs>
          <w:tab w:val="left" w:pos="-720"/>
        </w:tabs>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Los considerados constituyen, a juicio de algunos procesalistas, la parte más importante de la sentencia, pues en ella el juez debe exponer los motivos o fundamentos que lo determinan a adoptar una u otra solución para resolver la causa. En este tramo del pronunciamiento el juez debe remitirse a los hechos invocados por las partes, confrontarlos con la prueba que se haya producido, apreciar el valor de ésta y aplicar, finalmente, la norma o normas jurídicas mediante las cuales considera que debe resolverse el pleito.</w:t>
      </w:r>
    </w:p>
    <w:p w14:paraId="53B3C027" w14:textId="77777777" w:rsidR="00B377B2" w:rsidRPr="00D66245" w:rsidRDefault="00B377B2" w:rsidP="00F53211">
      <w:pPr>
        <w:tabs>
          <w:tab w:val="left" w:pos="-720"/>
        </w:tabs>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La declaración concreta de hechos probados, citando los medios probatorios donde se encuentren. Este requisito es una de las piezas de mayor cuidado del fallo, pues sirve como fundamento fáctico del mismo, es el sustento “material” de todo el resultado probatorio del proceso, y la “síntesis” concreta que el juzgador, con su recto entendimiento debe realizar para establecer cuáles hechos, de los invocados por las partes - incluso en el debate- quedaron o no demostrados. Es producto de todo un análisis crítico de los elementos probatorios por parte del juzgador. Por ello, la simple transcripción literal de las pruebas, o repetición de lo narrado no es correcta para concluir, en esta parte del fallo, en un hecho probado.  En otros términos, si ha las partes se les exige enumerar los hechos en forma “clara, precisa y circunstanciada”, de igual manera el juzgador tiene la obligación de indicar con claridad y precisión, y en un orden cronológico, los hechos que tuvo por acreditados. Esta exigencia técnica del fallo, no solo garantiza el cumplimiento de su forma, sino que también garantiza la debida defensa de las partes litigantes, quienes tendrán todo el derecho de combatir la sentencia en cuanto a los hechos probados y no probados </w:t>
      </w:r>
    </w:p>
    <w:p w14:paraId="31DF6FE9" w14:textId="65F62DCF" w:rsidR="00B377B2" w:rsidRPr="00D66245" w:rsidRDefault="00B377B2" w:rsidP="00F53211">
      <w:pPr>
        <w:tabs>
          <w:tab w:val="left" w:pos="-720"/>
        </w:tabs>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 obra del juez es de reconstrucción histórica de un momento o conjunto de momentos, tal como ocurrieron en la vida.</w:t>
      </w:r>
      <w:r w:rsidRPr="00D66245">
        <w:rPr>
          <w:rFonts w:ascii="Palatino Linotype" w:hAnsi="Palatino Linotype"/>
          <w:vertAlign w:val="superscript"/>
          <w:lang w:val="es-ES_tradnl"/>
        </w:rPr>
        <w:footnoteReference w:id="321"/>
      </w:r>
      <w:r w:rsidRPr="00D66245">
        <w:rPr>
          <w:rFonts w:ascii="Palatino Linotype" w:hAnsi="Palatino Linotype"/>
          <w:lang w:val="es-ES_tradnl"/>
        </w:rPr>
        <w:t xml:space="preserve"> Cuando el legislador exige “Una declaración clara, precisa y ordenada de hechos...”, significa que ya el juzgador ha realizado su obra reconstructiva de la realidad fáctica, pudiendo establecer con precisión los hechos probados, los cuales expondría en orden cronológico, tal y como si fueran ocurriendo en la realidad.  Eso sí en cada hecho probado deberá citar, no transcribir, los elementos probatorios que lo llevaron a tal convicción.  </w:t>
      </w:r>
    </w:p>
    <w:p w14:paraId="63D50C05" w14:textId="77777777" w:rsidR="00B377B2" w:rsidRPr="00D66245" w:rsidRDefault="00B377B2" w:rsidP="00F53211">
      <w:pPr>
        <w:tabs>
          <w:tab w:val="left" w:pos="-720"/>
        </w:tabs>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Como resultado del análisis crítico realizado por el Juzgador, existirán hechos invocados por las partes que carecen de asidero probatorio y son de influencia dentro del proceso. También el juzgador debe indicarlos explicando las razones para estimarlos faltos de prueba. </w:t>
      </w:r>
    </w:p>
    <w:p w14:paraId="7F3AF581" w14:textId="77777777" w:rsidR="00B377B2" w:rsidRPr="00D66245" w:rsidRDefault="00B377B2" w:rsidP="00F53211">
      <w:pPr>
        <w:tabs>
          <w:tab w:val="left" w:pos="-720"/>
        </w:tabs>
        <w:suppressAutoHyphens/>
        <w:autoSpaceDE w:val="0"/>
        <w:autoSpaceDN w:val="0"/>
        <w:adjustRightInd w:val="0"/>
        <w:spacing w:before="120" w:after="200" w:line="240" w:lineRule="auto"/>
        <w:ind w:firstLine="360"/>
        <w:jc w:val="both"/>
        <w:textAlignment w:val="center"/>
        <w:rPr>
          <w:rFonts w:ascii="Palatino Linotype" w:hAnsi="Palatino Linotype"/>
          <w:b/>
          <w:bCs/>
          <w:lang w:val="es-ES_tradnl"/>
        </w:rPr>
      </w:pPr>
      <w:r w:rsidRPr="00D66245">
        <w:rPr>
          <w:rFonts w:ascii="Palatino Linotype" w:hAnsi="Palatino Linotype"/>
          <w:lang w:val="es-ES_tradnl"/>
        </w:rPr>
        <w:t>Antes de pasar al siguiente requisito de la sentencia debe indicarse que, generalmente, cuando las partes y sus abogados impugnan el fallo, lo hacen en un doble sentido:  por un lado, combate el cuadro fáctico es decir el sustento probatorio con el cual el juez tuvo por demostrado o por desechado un hecho, tratando así de dejar sin sustento “el fundamento fáctico” de la sentencia, como consecuencia de una errónea valoración probatoria; por otro lado, combaten la aplicación jurídica de la normativa al caso concreto, como violación a las normas sustantivas. Por eso la “estructura” de la sentencia exige los requisitos que estamos analizando, para poder garantizar el derecho de defensa al momento de combatir el fallo.</w:t>
      </w:r>
      <w:r w:rsidRPr="00D66245">
        <w:rPr>
          <w:rFonts w:ascii="Palatino Linotype" w:hAnsi="Palatino Linotype"/>
          <w:b/>
          <w:bCs/>
          <w:lang w:val="es-ES_tradnl"/>
        </w:rPr>
        <w:tab/>
      </w:r>
    </w:p>
    <w:p w14:paraId="13E93FF7" w14:textId="77777777" w:rsidR="00B377B2" w:rsidRPr="00D66245" w:rsidRDefault="00B377B2" w:rsidP="00F53211">
      <w:pPr>
        <w:tabs>
          <w:tab w:val="left" w:pos="-720"/>
        </w:tabs>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El análisis de las cuestiones incidentales pendientes es mejor separarlas de las cuestiones de fondo; es decir, de las pretensiones y excepciones debatidas por ambas partes, así como las costas. Este requisito se refiere a la confrontación que debe hacer el juez entre el resultado probatorio, y las pretensiones o cuestiones de fondo solicitadas por las partes. </w:t>
      </w:r>
    </w:p>
    <w:p w14:paraId="7647A1FF" w14:textId="77777777" w:rsidR="00B377B2" w:rsidRPr="00D66245" w:rsidRDefault="00B377B2" w:rsidP="00F53211">
      <w:pPr>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bCs/>
          <w:lang w:val="es-ES_tradnl"/>
        </w:rPr>
        <w:t xml:space="preserve">El juzgador debe indicar si acoge o no, sea en forma total o parcial las pretensiones de la demanda, indicando no solo las razones jurídicas (doctrina, legislación, jurisprudencia), que lo llevan a dichas conclusiones, sino también como resultado de su valoración probatoria. </w:t>
      </w:r>
      <w:r w:rsidRPr="00D66245">
        <w:rPr>
          <w:rFonts w:ascii="Palatino Linotype" w:hAnsi="Palatino Linotype"/>
          <w:lang w:val="es-ES_tradnl"/>
        </w:rPr>
        <w:t xml:space="preserve">El Juzgador entra a analizar la prueba dentro de un contexto más general, para luego darle calificación jurídica a los hechos base de las pretensiones reclamadas por las partes. En el proceso agrario, esta función la cumple el juez a través de la “libre valoración probatoria”, pues tiene la facultad de analizar la prueba “a conciencia y sin sujeción estricta a las normas de derecho común, pero indicando los fundamentos de equidad y de derecho en que sustenta el análisis de fondo. En este espacio el Juzgador sí tendría la posibilidad de hacer citas de lo que dijo uno u otro testigo, o de lo plasmado en un documento o dictamen pericial, para así poder explicar las razones de su convicción probatoria.   </w:t>
      </w:r>
    </w:p>
    <w:p w14:paraId="351EA77A" w14:textId="77777777" w:rsidR="00B377B2" w:rsidRPr="00D66245" w:rsidRDefault="00B377B2" w:rsidP="00F53211">
      <w:pPr>
        <w:tabs>
          <w:tab w:val="left" w:pos="-720"/>
        </w:tabs>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Una vez que el Juez agrario ha reconstruido los hechos probados - y ha indicado los no demostrados- le corresponde realizar un diagnóstico concreto sobre el resultado probatorio. Ya no se trata de una mera descripción de sucesos, como lo hizo en aquella etapa, sino de su encuadramiento jurídico en un instituto del derecho agrario, por el cual debe dirigirse la solución jurídica del caso concreto.  </w:t>
      </w:r>
    </w:p>
    <w:p w14:paraId="740BC643" w14:textId="77777777" w:rsidR="00B377B2" w:rsidRPr="00D66245" w:rsidRDefault="00B377B2" w:rsidP="00F53211">
      <w:pPr>
        <w:tabs>
          <w:tab w:val="left" w:pos="-720"/>
        </w:tabs>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Para adoptar su decisión con fundamento en la prueba, es indispensable que el juez esté convencido por ella, tenga certeza sobre los hechos que declara. </w:t>
      </w:r>
      <w:r w:rsidRPr="00D66245">
        <w:rPr>
          <w:rFonts w:ascii="Palatino Linotype" w:hAnsi="Palatino Linotype"/>
          <w:lang w:val="es-ES_tradnl"/>
        </w:rPr>
        <w:tab/>
        <w:t>De igual manera, el juzgador hará pronunciamiento sobre las excepciones opuestas, sin dejar de lado ninguna y lo relativo a costas.</w:t>
      </w:r>
    </w:p>
    <w:p w14:paraId="02C1FB78" w14:textId="77777777" w:rsidR="00B377B2" w:rsidRPr="00D66245" w:rsidRDefault="00B377B2" w:rsidP="00F53211">
      <w:pPr>
        <w:tabs>
          <w:tab w:val="left" w:pos="-720"/>
        </w:tabs>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La parte dispositiva del fallo, llamada “Por tanto”, es la decisión concreta del Juzgador. En primer término se pronuncia </w:t>
      </w:r>
      <w:r w:rsidRPr="00D66245">
        <w:rPr>
          <w:rFonts w:ascii="Palatino Linotype" w:eastAsia="Times New Roman" w:hAnsi="Palatino Linotype"/>
          <w:lang w:eastAsia="es-ES"/>
        </w:rPr>
        <w:t>sobre los incidentes, las excepciones y lo decidido en términos imperativos y concretos. Se indicarán, de forma expresa y separada, los extremos que se declaren procedentes y los denegados, así como lo dispuesto sobre costas.</w:t>
      </w:r>
      <w:r w:rsidRPr="00D66245">
        <w:rPr>
          <w:rStyle w:val="Refdenotaalpie"/>
          <w:rFonts w:ascii="Palatino Linotype" w:eastAsia="Times New Roman" w:hAnsi="Palatino Linotype"/>
          <w:lang w:eastAsia="es-ES"/>
        </w:rPr>
        <w:footnoteReference w:id="322"/>
      </w:r>
    </w:p>
    <w:p w14:paraId="66D8D946" w14:textId="77777777" w:rsidR="00B377B2" w:rsidRPr="00D66245" w:rsidRDefault="00B377B2" w:rsidP="00F53211">
      <w:pPr>
        <w:widowControl w:val="0"/>
        <w:autoSpaceDE w:val="0"/>
        <w:autoSpaceDN w:val="0"/>
        <w:adjustRightInd w:val="0"/>
        <w:spacing w:before="120" w:after="200" w:line="240" w:lineRule="auto"/>
        <w:ind w:firstLine="360"/>
        <w:jc w:val="both"/>
        <w:rPr>
          <w:rFonts w:ascii="Palatino Linotype" w:eastAsia="Times New Roman" w:hAnsi="Palatino Linotype"/>
          <w:lang w:eastAsia="es-ES"/>
        </w:rPr>
      </w:pPr>
      <w:r w:rsidRPr="00D66245">
        <w:rPr>
          <w:rFonts w:ascii="Palatino Linotype" w:eastAsia="Times New Roman" w:hAnsi="Palatino Linotype"/>
          <w:lang w:eastAsia="es-ES"/>
        </w:rPr>
        <w:t xml:space="preserve">Las sentencias del Tribunal Agrario y de la Sala de Casación,  que resuelvan, respectivamente, el recurso de apelación y la casación deben incluir un breve resumen de los aspectos debatidos en la resolución impugnada y de los alegatos del recurso. </w:t>
      </w:r>
      <w:r w:rsidRPr="00D66245">
        <w:rPr>
          <w:rStyle w:val="Refdenotaalpie"/>
          <w:rFonts w:ascii="Palatino Linotype" w:eastAsia="Times New Roman" w:hAnsi="Palatino Linotype"/>
          <w:lang w:eastAsia="es-ES"/>
        </w:rPr>
        <w:footnoteReference w:id="323"/>
      </w:r>
    </w:p>
    <w:p w14:paraId="2814327E" w14:textId="77777777" w:rsidR="00B377B2" w:rsidRPr="00D66245" w:rsidRDefault="00B377B2" w:rsidP="00F53211">
      <w:pPr>
        <w:tabs>
          <w:tab w:val="left" w:pos="-720"/>
        </w:tabs>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Es una etapa si bien es cierto vinculada en forma sustancial con la parte considerativa -donde se da la motivación del fallo-, no debe confundirse con ésta.  Muchas veces los juzgadores incurren en el error de indicar en el “Por tanto” criterios de motivación o juicios de valor, lo cual no es correcto pues puede conllevar a una confusión con la parte considerativa de la sentencia.</w:t>
      </w:r>
    </w:p>
    <w:p w14:paraId="29E1D102" w14:textId="77777777" w:rsidR="00B377B2" w:rsidRPr="00D66245" w:rsidRDefault="00B377B2" w:rsidP="00F53211">
      <w:pPr>
        <w:tabs>
          <w:tab w:val="left" w:pos="-720"/>
        </w:tabs>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Cuando la sentencia adolece de vicios formales en sus contenidos, y le falta algún requisito o se omite pronunciamiento sobre algunos extremos, o se desnaturaliza cada una de sus partes, se producen vicios que pueden provocar la nulidad del fallo. Pero ésta debe ser la excepción y nunca la regla. </w:t>
      </w:r>
    </w:p>
    <w:p w14:paraId="6A35FE35" w14:textId="401B5639" w:rsidR="00B377B2" w:rsidRPr="00D66245" w:rsidRDefault="00B377B2" w:rsidP="00F53211">
      <w:pPr>
        <w:autoSpaceDE w:val="0"/>
        <w:autoSpaceDN w:val="0"/>
        <w:adjustRightInd w:val="0"/>
        <w:spacing w:before="120" w:after="200" w:line="240" w:lineRule="auto"/>
        <w:ind w:left="360" w:hanging="360"/>
        <w:jc w:val="both"/>
        <w:textAlignment w:val="center"/>
        <w:rPr>
          <w:rFonts w:ascii="Palatino Linotype" w:hAnsi="Palatino Linotype"/>
          <w:b/>
          <w:bCs/>
          <w:lang w:val="es-ES_tradnl"/>
        </w:rPr>
      </w:pPr>
      <w:r w:rsidRPr="00D66245">
        <w:rPr>
          <w:rFonts w:ascii="Palatino Linotype" w:hAnsi="Palatino Linotype"/>
          <w:b/>
          <w:bCs/>
          <w:lang w:val="es-ES_tradnl"/>
        </w:rPr>
        <w:t>4.</w:t>
      </w:r>
      <w:r w:rsidRPr="00D66245">
        <w:rPr>
          <w:rFonts w:ascii="Palatino Linotype" w:hAnsi="Palatino Linotype"/>
          <w:b/>
          <w:bCs/>
          <w:lang w:val="es-ES_tradnl"/>
        </w:rPr>
        <w:tab/>
        <w:t>Pronunciamiento oficioso sobre los presupuestos de fondo y cuestiones debatidas</w:t>
      </w:r>
    </w:p>
    <w:p w14:paraId="507B9466" w14:textId="77777777" w:rsidR="00B377B2" w:rsidRPr="00D66245" w:rsidRDefault="00B377B2" w:rsidP="00F53211">
      <w:pPr>
        <w:tabs>
          <w:tab w:val="left" w:pos="-720"/>
        </w:tabs>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Toda sentencia emanada de los tribunales agrarios debe contener, necesariamente, un pronunciamiento oficioso cuando se entra a discutir el fondo del negocio, sobre los presupuestos de fondo esenciales para dictar una sentencia estimatoria.</w:t>
      </w:r>
    </w:p>
    <w:p w14:paraId="2FF8F415" w14:textId="77777777" w:rsidR="00B377B2" w:rsidRPr="00D66245" w:rsidRDefault="00B377B2" w:rsidP="00F53211">
      <w:pPr>
        <w:tabs>
          <w:tab w:val="left" w:pos="-720"/>
        </w:tabs>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Los presupuestos de la legitimación en la causa activa y pasiva se refieren, en el primer caso, a que la parte actora era la persona que debía demandar, por asistirle el derecho respecto de la pretensión reclamada y, en el segundo caso, la parte demandada era quien debía demandarse por ser la persona contra la cual se reclama el derecho o la obligada a otorgarlo.</w:t>
      </w:r>
    </w:p>
    <w:p w14:paraId="7CB89A19" w14:textId="77777777" w:rsidR="00B377B2" w:rsidRPr="00D66245" w:rsidRDefault="00B377B2" w:rsidP="00F53211">
      <w:pPr>
        <w:tabs>
          <w:tab w:val="left" w:pos="-720"/>
        </w:tabs>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El interés actual en el ejercicio de la pretensión es un presupuesto de la sentencia de  mérito o de fondo. El derecho real o personal es fundamental demostrarlo para que prospere la demanda y se dicte una sentencia estimatoria.</w:t>
      </w:r>
    </w:p>
    <w:p w14:paraId="50FCB46E"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Estos presupuestos, se combaten a través de las excepciones de falta de derecho, falta de legitimación ad-causam activa o pasiva, y de falta de interés, las cuales deben oponerse al contestar la demanda. Sin embargo,   aunque no se opongan, todo Juzgador está en la obligación de pronunciarse de oficio.</w:t>
      </w:r>
      <w:r w:rsidRPr="00D66245">
        <w:rPr>
          <w:rFonts w:ascii="Palatino Linotype" w:hAnsi="Palatino Linotype"/>
          <w:vertAlign w:val="superscript"/>
          <w:lang w:val="es-ES_tradnl"/>
        </w:rPr>
        <w:footnoteReference w:id="324"/>
      </w:r>
    </w:p>
    <w:p w14:paraId="09A2C9D7"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El Tribunal decisor está obligado a pronunciarse sobre todos los extremos que han sido objetos de debate, por lo que deben determinarse los alcances de ésta expresión. Si en el proceso agrario rige la iniciativa probatoria del Juez, para encontrar o descubrir la verdad real, si existen hechos en los cuales el juez deba tenerlos en cuenta de oficio, y están debidamente demostrados, cuya eficacia opera “ipso iure”, entonces debe necesariamente tomarlos en cuenta al momento de dictar la sentencia de fondo.</w:t>
      </w:r>
    </w:p>
    <w:p w14:paraId="4525E378"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Hay situaciones o hechos que operan “ipso iure”, es decir de pleno derecho. Por ejemplo, demostrar el pago en el cobro de una obligación, acreditar la existencia de mejoras agrarias en un inmueble, cumplir los presupuestos de la usucapión agraria. En todas esas situaciones, si el juez agrario las tiene por acreditadas, aunque no hayan operado por excepción de las partes, pero que resultan suficientemente discutidas y probadas en el proceso, es evidente que el Juez agrario estará facultado para dictar un pronunciamiento de oficio.</w:t>
      </w:r>
    </w:p>
    <w:p w14:paraId="59944C6E" w14:textId="08448240"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spacing w:val="-2"/>
          <w:lang w:val="es-ES_tradnl"/>
        </w:rPr>
      </w:pPr>
      <w:r w:rsidRPr="00D66245">
        <w:rPr>
          <w:rFonts w:ascii="Palatino Linotype" w:hAnsi="Palatino Linotype"/>
          <w:spacing w:val="-2"/>
          <w:lang w:val="es-ES_tradnl"/>
        </w:rPr>
        <w:t>Una conclusión tan elemental como esa, supone la superación de otro “dogma” del proceso civil, cual es el de la disponibilidad de las pruebas.  Hemos visto como el juez agrario lleva la dirección material del proceso, en aras de descubrir la verdad real y hacer verdadera justicia agraria. Si lo atamos al principio dispositivo de las partes (en cuanto a las pretensiones o excepciones), le estaríamos negando la posibilidad de que en situaciones como las descritas puedan dictar un pronunciamiento justo y reconocer los derechos consagrados expresamente por la legislación especial agraria.</w:t>
      </w:r>
    </w:p>
    <w:p w14:paraId="29450FFF"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b/>
          <w:spacing w:val="-2"/>
          <w:lang w:val="es-ES_tradnl"/>
        </w:rPr>
      </w:pPr>
      <w:r w:rsidRPr="00D66245">
        <w:rPr>
          <w:rFonts w:ascii="Palatino Linotype" w:hAnsi="Palatino Linotype"/>
          <w:b/>
          <w:spacing w:val="-2"/>
          <w:lang w:val="es-ES_tradnl"/>
        </w:rPr>
        <w:t>5.- Las sentencias condenatorias.-</w:t>
      </w:r>
    </w:p>
    <w:p w14:paraId="59838306"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spacing w:val="-2"/>
          <w:lang w:val="es-ES_tradnl"/>
        </w:rPr>
      </w:pPr>
      <w:r w:rsidRPr="00D66245">
        <w:rPr>
          <w:rFonts w:ascii="Palatino Linotype" w:hAnsi="Palatino Linotype"/>
          <w:spacing w:val="-2"/>
          <w:lang w:val="es-ES_tradnl"/>
        </w:rPr>
        <w:t>El Código prevé una mayor especificidad en relación a las sentencias estimatorias y condenatorias, cuando se obliga ejecutar obligaciones o prohibiciones, o extremos expresamente reconocidos.</w:t>
      </w:r>
    </w:p>
    <w:p w14:paraId="254671C5" w14:textId="77777777" w:rsidR="00B377B2" w:rsidRPr="00D66245" w:rsidRDefault="00B377B2" w:rsidP="00F53211">
      <w:pPr>
        <w:widowControl w:val="0"/>
        <w:autoSpaceDE w:val="0"/>
        <w:autoSpaceDN w:val="0"/>
        <w:adjustRightInd w:val="0"/>
        <w:spacing w:before="120" w:after="200" w:line="240" w:lineRule="auto"/>
        <w:ind w:firstLine="360"/>
        <w:rPr>
          <w:rFonts w:ascii="Palatino Linotype" w:eastAsia="Times New Roman" w:hAnsi="Palatino Linotype"/>
          <w:bCs/>
          <w:lang w:eastAsia="es-ES"/>
        </w:rPr>
      </w:pPr>
      <w:r w:rsidRPr="00D66245">
        <w:rPr>
          <w:rFonts w:ascii="Palatino Linotype" w:eastAsia="Times New Roman" w:hAnsi="Palatino Linotype"/>
          <w:bCs/>
          <w:lang w:val="es-ES_tradnl" w:eastAsia="es-ES"/>
        </w:rPr>
        <w:t>Al tenor de lo dispuesto en el artículo 82 se debe establecer</w:t>
      </w:r>
      <w:r w:rsidRPr="00D66245">
        <w:rPr>
          <w:rStyle w:val="Refdenotaalpie"/>
          <w:rFonts w:ascii="Palatino Linotype" w:eastAsia="Times New Roman" w:hAnsi="Palatino Linotype"/>
          <w:bCs/>
          <w:lang w:val="es-ES_tradnl" w:eastAsia="es-ES"/>
        </w:rPr>
        <w:footnoteReference w:id="325"/>
      </w:r>
      <w:r w:rsidRPr="00D66245">
        <w:rPr>
          <w:rFonts w:ascii="Palatino Linotype" w:eastAsia="Times New Roman" w:hAnsi="Palatino Linotype"/>
          <w:bCs/>
          <w:lang w:val="es-ES_tradnl" w:eastAsia="es-ES"/>
        </w:rPr>
        <w:t>:</w:t>
      </w:r>
      <w:r w:rsidRPr="00D66245">
        <w:rPr>
          <w:rFonts w:ascii="Palatino Linotype" w:eastAsia="Times New Roman" w:hAnsi="Palatino Linotype"/>
          <w:bCs/>
          <w:lang w:eastAsia="es-ES"/>
        </w:rPr>
        <w:t xml:space="preserve"> </w:t>
      </w:r>
    </w:p>
    <w:p w14:paraId="1A875E52" w14:textId="77777777" w:rsidR="00B377B2" w:rsidRPr="00D66245" w:rsidRDefault="00B377B2" w:rsidP="00F53211">
      <w:pPr>
        <w:tabs>
          <w:tab w:val="left" w:pos="284"/>
        </w:tabs>
        <w:spacing w:before="120" w:after="200" w:line="240" w:lineRule="auto"/>
        <w:ind w:left="851" w:right="49"/>
        <w:jc w:val="both"/>
        <w:rPr>
          <w:rFonts w:ascii="Palatino Linotype" w:hAnsi="Palatino Linotype"/>
          <w:i/>
          <w:iCs/>
        </w:rPr>
      </w:pPr>
      <w:r w:rsidRPr="00D66245">
        <w:rPr>
          <w:rFonts w:ascii="Palatino Linotype" w:hAnsi="Palatino Linotype"/>
          <w:i/>
          <w:iCs/>
        </w:rPr>
        <w:t>1) En pronunciamientos de condena sobre extremos económicos determinables en dinero, se indicarán el monto exacto de las cantidades otorgadas, sus adecuaciones hasta la fecha de la sentencia, el de los intereses cuando corresponda y las costas.</w:t>
      </w:r>
    </w:p>
    <w:p w14:paraId="563A3BC4" w14:textId="77777777" w:rsidR="00B377B2" w:rsidRPr="00D66245" w:rsidRDefault="00B377B2" w:rsidP="00F53211">
      <w:pPr>
        <w:spacing w:before="120" w:after="200" w:line="240" w:lineRule="auto"/>
        <w:ind w:left="851" w:right="49"/>
        <w:jc w:val="both"/>
        <w:rPr>
          <w:rFonts w:ascii="Palatino Linotype" w:hAnsi="Palatino Linotype"/>
          <w:i/>
          <w:iCs/>
        </w:rPr>
      </w:pPr>
      <w:r w:rsidRPr="00D66245">
        <w:rPr>
          <w:rFonts w:ascii="Palatino Linotype" w:hAnsi="Palatino Linotype"/>
          <w:i/>
          <w:iCs/>
        </w:rPr>
        <w:t xml:space="preserve">La condena se hará en abstracto, cuando no se pueda determinar de una vez la cuantía o la extensión de dichos extremos, </w:t>
      </w:r>
      <w:r w:rsidRPr="00D66245">
        <w:rPr>
          <w:rFonts w:ascii="Palatino Linotype" w:hAnsi="Palatino Linotype"/>
          <w:bCs/>
          <w:i/>
          <w:iCs/>
        </w:rPr>
        <w:t xml:space="preserve">pero </w:t>
      </w:r>
      <w:r w:rsidRPr="00D66245">
        <w:rPr>
          <w:rFonts w:ascii="Palatino Linotype" w:hAnsi="Palatino Linotype"/>
          <w:i/>
          <w:iCs/>
        </w:rPr>
        <w:t>se indicarán las bases y los parámetros para hacer la fijación.</w:t>
      </w:r>
    </w:p>
    <w:p w14:paraId="1313AF17" w14:textId="77777777" w:rsidR="00B377B2" w:rsidRPr="00D66245" w:rsidRDefault="00B377B2" w:rsidP="00F53211">
      <w:pPr>
        <w:widowControl w:val="0"/>
        <w:autoSpaceDE w:val="0"/>
        <w:autoSpaceDN w:val="0"/>
        <w:adjustRightInd w:val="0"/>
        <w:spacing w:before="120" w:after="200" w:line="240" w:lineRule="auto"/>
        <w:ind w:left="851"/>
        <w:jc w:val="both"/>
        <w:rPr>
          <w:rFonts w:ascii="Palatino Linotype" w:eastAsia="Times New Roman" w:hAnsi="Palatino Linotype"/>
          <w:i/>
          <w:lang w:eastAsia="es-ES"/>
        </w:rPr>
      </w:pPr>
      <w:r w:rsidRPr="00D66245">
        <w:rPr>
          <w:rFonts w:ascii="Palatino Linotype" w:eastAsia="Times New Roman" w:hAnsi="Palatino Linotype"/>
          <w:i/>
          <w:lang w:eastAsia="es-ES"/>
        </w:rPr>
        <w:t xml:space="preserve">2) En condenas a pagar periódicamente sumas de dinero, se establecerán los parámetros para la determinación, la adecuación futura cuando proceda y el pago de estas. A solicitud de parte, podrá realizarse su conmutación. </w:t>
      </w:r>
    </w:p>
    <w:p w14:paraId="7530B382" w14:textId="77777777" w:rsidR="00B377B2" w:rsidRPr="00D66245" w:rsidRDefault="00B377B2" w:rsidP="00F53211">
      <w:pPr>
        <w:widowControl w:val="0"/>
        <w:autoSpaceDE w:val="0"/>
        <w:autoSpaceDN w:val="0"/>
        <w:adjustRightInd w:val="0"/>
        <w:spacing w:before="120" w:after="200" w:line="240" w:lineRule="auto"/>
        <w:ind w:left="851"/>
        <w:jc w:val="both"/>
        <w:rPr>
          <w:rFonts w:ascii="Palatino Linotype" w:eastAsia="Times New Roman" w:hAnsi="Palatino Linotype"/>
          <w:i/>
          <w:lang w:eastAsia="es-ES"/>
        </w:rPr>
      </w:pPr>
      <w:r w:rsidRPr="00D66245">
        <w:rPr>
          <w:rFonts w:ascii="Palatino Linotype" w:eastAsia="Times New Roman" w:hAnsi="Palatino Linotype"/>
          <w:i/>
          <w:lang w:eastAsia="es-ES"/>
        </w:rPr>
        <w:t xml:space="preserve">3) </w:t>
      </w:r>
      <w:r w:rsidRPr="00D66245">
        <w:rPr>
          <w:rFonts w:ascii="Palatino Linotype" w:hAnsi="Palatino Linotype"/>
          <w:i/>
          <w:iCs/>
        </w:rPr>
        <w:t xml:space="preserve">Cuando se condene a pagar una cantidad por liquidar, procedente de frutos, rentas, utilidades o productos de cualquier clase, así como en la rendición de cuentas, se otorgará un plazo de diez días a la persona </w:t>
      </w:r>
      <w:r w:rsidRPr="00D66245">
        <w:rPr>
          <w:rFonts w:ascii="Palatino Linotype" w:hAnsi="Palatino Linotype"/>
          <w:bCs/>
          <w:i/>
          <w:iCs/>
        </w:rPr>
        <w:t xml:space="preserve">vencedora </w:t>
      </w:r>
      <w:r w:rsidRPr="00D66245">
        <w:rPr>
          <w:rFonts w:ascii="Palatino Linotype" w:hAnsi="Palatino Linotype"/>
          <w:i/>
          <w:iCs/>
        </w:rPr>
        <w:t xml:space="preserve">para presentar la liquidación </w:t>
      </w:r>
      <w:r w:rsidRPr="00D66245">
        <w:rPr>
          <w:rFonts w:ascii="Palatino Linotype" w:hAnsi="Palatino Linotype"/>
          <w:bCs/>
          <w:i/>
          <w:iCs/>
        </w:rPr>
        <w:t>o a la obligada para la rendición de cuentas, con arreglo a las bases establecidas.</w:t>
      </w:r>
    </w:p>
    <w:p w14:paraId="68637E3B" w14:textId="77777777" w:rsidR="00B377B2" w:rsidRPr="00D66245" w:rsidRDefault="00B377B2" w:rsidP="00F53211">
      <w:pPr>
        <w:widowControl w:val="0"/>
        <w:autoSpaceDE w:val="0"/>
        <w:autoSpaceDN w:val="0"/>
        <w:adjustRightInd w:val="0"/>
        <w:spacing w:before="120" w:after="200" w:line="240" w:lineRule="auto"/>
        <w:ind w:left="851"/>
        <w:jc w:val="both"/>
        <w:rPr>
          <w:rFonts w:ascii="Palatino Linotype" w:hAnsi="Palatino Linotype"/>
          <w:i/>
          <w:iCs/>
        </w:rPr>
      </w:pPr>
      <w:r w:rsidRPr="00D66245">
        <w:rPr>
          <w:rFonts w:ascii="Palatino Linotype" w:eastAsia="Times New Roman" w:hAnsi="Palatino Linotype"/>
          <w:i/>
          <w:lang w:eastAsia="es-ES"/>
        </w:rPr>
        <w:t xml:space="preserve">4) </w:t>
      </w:r>
      <w:r w:rsidRPr="00D66245">
        <w:rPr>
          <w:rFonts w:ascii="Palatino Linotype" w:hAnsi="Palatino Linotype"/>
          <w:i/>
          <w:iCs/>
        </w:rPr>
        <w:t>Si se ordena la entrega de un bien, se prevendrá a la parte vencida el deber de hacerlo en el plazo que establecerá el tribunal, de acuerdo con las circunstancias. Si se trata de un mueble, la entrega deberá hacerse en el lugar donde se localice, según lo que se haya determinado en el proceso, al cual deberá apersonarse la vencedora para su retiro. Si es necesario, se podrá disponer del auxilio de la Fuerza Pública.</w:t>
      </w:r>
    </w:p>
    <w:p w14:paraId="4BEE8EF3" w14:textId="77777777" w:rsidR="00B377B2" w:rsidRPr="00D66245" w:rsidRDefault="00B377B2" w:rsidP="00F53211">
      <w:pPr>
        <w:spacing w:before="120" w:after="200" w:line="240" w:lineRule="auto"/>
        <w:ind w:left="851" w:right="49"/>
        <w:jc w:val="both"/>
        <w:rPr>
          <w:rFonts w:ascii="Palatino Linotype" w:hAnsi="Palatino Linotype"/>
          <w:bCs/>
          <w:i/>
          <w:iCs/>
        </w:rPr>
      </w:pPr>
      <w:r w:rsidRPr="00D66245">
        <w:rPr>
          <w:rFonts w:ascii="Palatino Linotype" w:hAnsi="Palatino Linotype"/>
          <w:bCs/>
          <w:i/>
          <w:iCs/>
        </w:rPr>
        <w:t xml:space="preserve">Transcurrido el plazo otorgado, se ordenará la puesta en posesión. </w:t>
      </w:r>
    </w:p>
    <w:p w14:paraId="19EEE13D" w14:textId="77777777" w:rsidR="00B377B2" w:rsidRPr="00D66245" w:rsidRDefault="00B377B2" w:rsidP="00F53211">
      <w:pPr>
        <w:spacing w:before="120" w:after="200" w:line="240" w:lineRule="auto"/>
        <w:ind w:left="851"/>
        <w:jc w:val="both"/>
        <w:rPr>
          <w:rFonts w:ascii="Palatino Linotype" w:hAnsi="Palatino Linotype"/>
          <w:i/>
        </w:rPr>
      </w:pPr>
      <w:r w:rsidRPr="00D66245">
        <w:rPr>
          <w:rFonts w:ascii="Palatino Linotype" w:hAnsi="Palatino Linotype"/>
          <w:i/>
        </w:rPr>
        <w:t xml:space="preserve">Cuando se condene a la entrega de cantidad determinada de frutos en especie, o de efectos de comercio, se le advertirá a la parte deudora que si no cumple en el plazo fijado se convertirán a dinero y se procederá a hacer efectiva la suma resultante. </w:t>
      </w:r>
    </w:p>
    <w:p w14:paraId="7C439648" w14:textId="77777777" w:rsidR="00B377B2" w:rsidRPr="00D66245" w:rsidRDefault="00B377B2" w:rsidP="00F53211">
      <w:pPr>
        <w:widowControl w:val="0"/>
        <w:autoSpaceDE w:val="0"/>
        <w:autoSpaceDN w:val="0"/>
        <w:adjustRightInd w:val="0"/>
        <w:spacing w:before="120" w:after="200" w:line="240" w:lineRule="auto"/>
        <w:ind w:left="851"/>
        <w:jc w:val="both"/>
        <w:rPr>
          <w:rFonts w:ascii="Palatino Linotype" w:eastAsia="Times New Roman" w:hAnsi="Palatino Linotype"/>
          <w:i/>
          <w:lang w:eastAsia="es-ES"/>
        </w:rPr>
      </w:pPr>
      <w:r w:rsidRPr="00D66245">
        <w:rPr>
          <w:rFonts w:ascii="Palatino Linotype" w:eastAsia="Times New Roman" w:hAnsi="Palatino Linotype"/>
          <w:i/>
          <w:lang w:eastAsia="es-ES"/>
        </w:rPr>
        <w:t xml:space="preserve">5) Si se impone una obligación de hacer, el tribunal conferirá a la parte vencida un plazo, de acuerdo con las circunstancias, a fin de que cumpla. Le advertirá que si no lo realiza en ese lapso, la vencedora quedará autorizada, sin necesidad de ulterior resolución, para realizarlo por cuenta de la perdidosa, quien deberá pagar, además, los daños y perjuicios ocasionados con su negativa. </w:t>
      </w:r>
    </w:p>
    <w:p w14:paraId="47E9400B" w14:textId="77777777" w:rsidR="00B377B2" w:rsidRPr="00D66245" w:rsidRDefault="00B377B2" w:rsidP="00F53211">
      <w:pPr>
        <w:widowControl w:val="0"/>
        <w:autoSpaceDE w:val="0"/>
        <w:autoSpaceDN w:val="0"/>
        <w:adjustRightInd w:val="0"/>
        <w:spacing w:before="120" w:after="200" w:line="240" w:lineRule="auto"/>
        <w:ind w:left="851"/>
        <w:jc w:val="both"/>
        <w:rPr>
          <w:rFonts w:ascii="Palatino Linotype" w:eastAsia="Times New Roman" w:hAnsi="Palatino Linotype"/>
          <w:i/>
          <w:lang w:eastAsia="es-ES"/>
        </w:rPr>
      </w:pPr>
      <w:r w:rsidRPr="00D66245">
        <w:rPr>
          <w:rFonts w:ascii="Palatino Linotype" w:eastAsia="Times New Roman" w:hAnsi="Palatino Linotype"/>
          <w:i/>
          <w:lang w:eastAsia="es-ES"/>
        </w:rPr>
        <w:t>6) Si se condena a otorgar una escritura, se concederá un plazo para su cumplimiento, fijado de acuerdo con las circunstancias, con el apercibimiento que si no se realiza el tribunal la otorgará en nombre de la persona obligada. Si la escritura tiene efectos registrales, deberán cumplirse todos los requisitos necesarios para su inscripción, con los gastos a cargo de quien corresponda.</w:t>
      </w:r>
    </w:p>
    <w:p w14:paraId="5A4AB173" w14:textId="77777777" w:rsidR="00B377B2" w:rsidRPr="00D66245" w:rsidRDefault="00B377B2" w:rsidP="00F53211">
      <w:pPr>
        <w:suppressAutoHyphens/>
        <w:autoSpaceDE w:val="0"/>
        <w:autoSpaceDN w:val="0"/>
        <w:adjustRightInd w:val="0"/>
        <w:spacing w:before="120" w:after="200" w:line="240" w:lineRule="auto"/>
        <w:ind w:left="851" w:firstLine="360"/>
        <w:jc w:val="both"/>
        <w:textAlignment w:val="center"/>
        <w:rPr>
          <w:rFonts w:ascii="Palatino Linotype" w:hAnsi="Palatino Linotype"/>
          <w:i/>
          <w:spacing w:val="-2"/>
          <w:lang w:val="es-ES_tradnl"/>
        </w:rPr>
      </w:pPr>
      <w:r w:rsidRPr="00D66245">
        <w:rPr>
          <w:rFonts w:ascii="Palatino Linotype" w:eastAsia="Times New Roman" w:hAnsi="Palatino Linotype"/>
          <w:i/>
          <w:lang w:eastAsia="es-ES"/>
        </w:rPr>
        <w:t>7) Cuando se trate de condenas de no hacer o de abstenerse de adoptar o ejecutar una conducta, se prevendrá que en caso de infringirse la obligación impuesta se podrá destruir o dejar sin efecto lo hecho en contra de lo ordenado. Además, se le advertirá que se le denunciará ante el Ministerio Público por el delito de desobediencia a la autoridad, sin perjuicio de que en sede penal la conducta se recalifique.</w:t>
      </w:r>
    </w:p>
    <w:p w14:paraId="0400BEE5"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En cuanto a las </w:t>
      </w:r>
      <w:r w:rsidRPr="00D66245">
        <w:rPr>
          <w:rFonts w:ascii="Palatino Linotype" w:hAnsi="Palatino Linotype"/>
          <w:b/>
          <w:lang w:val="es-ES_tradnl"/>
        </w:rPr>
        <w:t>costas</w:t>
      </w:r>
      <w:r w:rsidRPr="00D66245">
        <w:rPr>
          <w:rFonts w:ascii="Palatino Linotype" w:hAnsi="Palatino Linotype"/>
          <w:lang w:val="es-ES_tradnl"/>
        </w:rPr>
        <w:t>, el juzgador debe dictar pronunciamiento de oficio</w:t>
      </w:r>
      <w:r w:rsidRPr="00D66245">
        <w:rPr>
          <w:rStyle w:val="Refdenotaalpie"/>
          <w:rFonts w:ascii="Palatino Linotype" w:hAnsi="Palatino Linotype"/>
          <w:lang w:val="es-ES_tradnl"/>
        </w:rPr>
        <w:footnoteReference w:id="326"/>
      </w:r>
      <w:r w:rsidRPr="00D66245">
        <w:rPr>
          <w:rFonts w:ascii="Palatino Linotype" w:hAnsi="Palatino Linotype"/>
          <w:lang w:val="es-ES_tradnl"/>
        </w:rPr>
        <w:t xml:space="preserve">. </w:t>
      </w:r>
    </w:p>
    <w:p w14:paraId="67AB5F6E" w14:textId="77777777" w:rsidR="00B377B2" w:rsidRPr="00D66245" w:rsidRDefault="00B377B2" w:rsidP="00F53211">
      <w:pPr>
        <w:tabs>
          <w:tab w:val="left" w:pos="360"/>
        </w:tabs>
        <w:suppressAutoHyphens/>
        <w:autoSpaceDE w:val="0"/>
        <w:autoSpaceDN w:val="0"/>
        <w:adjustRightInd w:val="0"/>
        <w:spacing w:before="120" w:after="200" w:line="240" w:lineRule="auto"/>
        <w:jc w:val="both"/>
        <w:textAlignment w:val="center"/>
        <w:rPr>
          <w:rFonts w:ascii="Palatino Linotype" w:hAnsi="Palatino Linotype"/>
          <w:b/>
          <w:bCs/>
          <w:lang w:val="es-ES_tradnl"/>
        </w:rPr>
      </w:pPr>
      <w:r w:rsidRPr="00D66245">
        <w:rPr>
          <w:rFonts w:ascii="Palatino Linotype" w:hAnsi="Palatino Linotype"/>
          <w:b/>
          <w:bCs/>
          <w:lang w:val="es-ES_tradnl"/>
        </w:rPr>
        <w:t xml:space="preserve">6. </w:t>
      </w:r>
      <w:r w:rsidRPr="00D66245">
        <w:rPr>
          <w:rFonts w:ascii="Palatino Linotype" w:hAnsi="Palatino Linotype"/>
          <w:b/>
          <w:bCs/>
          <w:lang w:val="es-ES_tradnl"/>
        </w:rPr>
        <w:tab/>
        <w:t>Generalidades de la impugnación en materia agraria</w:t>
      </w:r>
    </w:p>
    <w:p w14:paraId="1EE7D6B1"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El objetivo de los medios de impugnación, en general, y de los recursos, en particular, es el restablecimiento del derecho violado y cuya violación ha causado un perjuicio (agravio) a una persona. Es decir, buscan garantizar sus derechos violados.  En otros términos, la actividad impugnaticia tiene por objetivo corregir esos errores o defectos en el procedimiento, o la desviación de los fines que procura la administración de justicia.</w:t>
      </w:r>
      <w:r w:rsidRPr="00D66245">
        <w:rPr>
          <w:rFonts w:ascii="Palatino Linotype" w:hAnsi="Palatino Linotype"/>
          <w:vertAlign w:val="superscript"/>
          <w:lang w:val="es-ES_tradnl"/>
        </w:rPr>
        <w:footnoteReference w:id="327"/>
      </w:r>
    </w:p>
    <w:p w14:paraId="3F241A18"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Los recursos son el medio normal por el cual se impugnan los vicios o ilegalidades en un proceso. Pero pueden existir otros medios de impugnación, como son el incidente de nulidad, y el proceso ordinario para examinar lo actuado en un sumario. </w:t>
      </w:r>
    </w:p>
    <w:p w14:paraId="6709E3BB"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 doctrina tiene diversos conceptos sobre el tema de los recursos.  Se han definido como “los medios de impugnación que se dan dentro del proceso, para obtener la revocación, anulación, aclaración, corrección material o complementación de resoluciones judiciales, antes de que adquieran firmeza; o bien para cuestionar, con la finalidad de revocarlas, modificarlas o anularlas,  decisiones administrativas…</w:t>
      </w:r>
      <w:r w:rsidRPr="00D66245">
        <w:rPr>
          <w:rFonts w:ascii="Palatino Linotype" w:hAnsi="Palatino Linotype"/>
          <w:vertAlign w:val="superscript"/>
          <w:lang w:val="es-ES_tradnl"/>
        </w:rPr>
        <w:footnoteReference w:id="328"/>
      </w:r>
      <w:r w:rsidRPr="00D66245">
        <w:rPr>
          <w:rFonts w:ascii="Palatino Linotype" w:hAnsi="Palatino Linotype"/>
          <w:lang w:val="es-ES_tradnl"/>
        </w:rPr>
        <w:t>”</w:t>
      </w:r>
    </w:p>
    <w:p w14:paraId="0172750C"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Los recursos son los actos procesales mediante los cuales la parte que se considera agraviada por una resolución judicial pide su modificación o anulación, total o parcial, sea ante el mismo juez o tribunal que la dictó o a un juez o tribunal jerárquicamente superior.</w:t>
      </w:r>
      <w:r w:rsidRPr="00D66245">
        <w:rPr>
          <w:rFonts w:ascii="Palatino Linotype" w:hAnsi="Palatino Linotype"/>
          <w:vertAlign w:val="superscript"/>
          <w:lang w:val="es-ES_tradnl"/>
        </w:rPr>
        <w:footnoteReference w:id="329"/>
      </w:r>
    </w:p>
    <w:p w14:paraId="1F01075B"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spacing w:val="1"/>
          <w:lang w:val="es-ES_tradnl"/>
        </w:rPr>
      </w:pPr>
      <w:r w:rsidRPr="00D66245">
        <w:rPr>
          <w:rFonts w:ascii="Palatino Linotype" w:hAnsi="Palatino Linotype"/>
          <w:spacing w:val="1"/>
          <w:lang w:val="es-ES_tradnl"/>
        </w:rPr>
        <w:t>La doctrina moderna distingue entre los remedios procesales, que tiene por objeto la reparación de errores procesales y cuya decisión se confía al propio tribunal, y los recursos los cuales persiguen un nuevo examen por parte del superior, llamado a ejercer el control de la justicia de la resolución impugnada.  Los recursos, son más propiamente una especie de remedios procesales, a fin de complementar, rescindir, anular, o modificar actos jurídicos.</w:t>
      </w:r>
    </w:p>
    <w:p w14:paraId="0583F82B" w14:textId="5DB0E825"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 existencia de distintos tipos de recursos,se vincula también con los diversos grados de jurisdicciones.  En nuestro país, como en la mayoría de países latinoamericanos, aún domina el sistema de la doble instancia, el cual ha sido trasladado también a la Jurisdicción Agraria, con juzgados agrarios unipersonales, con un Tribunal Agrario (en segunda instancia) incluso con una tercera instancia rogada en Casación, a la cual hoy día se le concibe como un recurso extraordinario.</w:t>
      </w:r>
    </w:p>
    <w:p w14:paraId="32D43AE3" w14:textId="66C6B440"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A favor de la doble instancia, se ha argumentado: “En virtud del proceso en primera instancia y de la sentencia que lo culmina, se produce una verdadera depuración, especialmente del material de hecho, un trabajo de clasificación y de selección, que permite, en el segundo grado, una decisión más ajustada y meditada. Inclusive los argumentos de las partes quedan, generalmente reducidos, como los puntos en discusión (objeto del proceso). Se trata, se ha dicho, no de atribuir una superioridad personal a los jueces de la segunda instancia, sino de resguardar al Poder Judicial en su unidad, mirándolo con mayor respeto y confianza.</w:t>
      </w:r>
    </w:p>
    <w:p w14:paraId="12E3ED92"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Por otro lado, como veremos, por múltiples razones, principalmente buscando mayor celeridad y economía, la primera instancia se realiza ante tribunales unipersonales, la segunda ante órganos colegiados.” </w:t>
      </w:r>
      <w:r w:rsidRPr="00D66245">
        <w:rPr>
          <w:rFonts w:ascii="Palatino Linotype" w:hAnsi="Palatino Linotype"/>
          <w:vertAlign w:val="superscript"/>
          <w:lang w:val="es-ES_tradnl"/>
        </w:rPr>
        <w:footnoteReference w:id="330"/>
      </w:r>
    </w:p>
    <w:p w14:paraId="4D1DC6BA"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En materia agraria pueden distinguirse diversos tipos de recursos procesales, dependiendo de la resolución que se esté impugnando.  Como remedios, en general, puede solicitarse la aclaración y adición del fallo, la nulidad, o la corrección de errores materiales.</w:t>
      </w:r>
    </w:p>
    <w:p w14:paraId="0A5DB71C"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El recurso de revocatoria y apelación, se conocen como recursos de carácter ordinario. Estos no proceden si la resolución ha alcanzado firmeza, o autoridad de cosa juzgada material.</w:t>
      </w:r>
    </w:p>
    <w:p w14:paraId="48466DC3"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 impugnación de las resoluciones, por la vía de los recursos, supone tres requisitos comunes, a saber:  a) Quien lo deduzca debe ser parte en el proceso, o bien terceros que intervienen en él o sustitutos procesales; b) la existencia de un gravamen o perjuicio concreto resultante de la decisión; c) Su interposición dentro del plazo perentorio establecido en la ley, el cual comienza a correr a partir de la notificación de la resolución respectiva, tratándose de un plazo de carácter individual.</w:t>
      </w:r>
    </w:p>
    <w:p w14:paraId="50ED9B58"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Los recursos de carácter ordinario tienen mayor amplitud que los extraordinarios, porque permiten reparar cualquier error de procedimiento (in procedendo), o error de juicio (in judicando) o juzgamiento. En el primer caso, porque se han violado los procedimientos, se ha producido algún tipo de indefensión, etcétera; en el segundo, porque se ha aplicado incorrectamente la ley, o se han violado las reglas de valoración probatoria.</w:t>
      </w:r>
    </w:p>
    <w:p w14:paraId="466D6013"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 razón de ser de los recursos radica en la posibilidad de errores del juzgador, al tramitar los procesos agrarios, o bien al resolver cuestiones de fondo. Por lo tanto, conviene que existan algunas formas de reexaminar las decisiones judiciales, para ajustarlos en mayor medida a criterios de equidad y de derecho.  Pero ello no debe ir en detrimento de la celeridad procesal, y de los principios de la oralidad. Es decir, tampoco es permisible otorgar indefinidamente recursos a todo tipo de resoluciones, pues ello significaría la existencia de procesos interminables.</w:t>
      </w:r>
    </w:p>
    <w:p w14:paraId="6D0BA253"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El proceso oral, como es el agrario, supone la limitación de recursos, para alcanzar el cumplimiento de sus principios, pero garantizando siempre los derechos de las partes y la garantía del contradictorio.</w:t>
      </w:r>
    </w:p>
    <w:p w14:paraId="725F39CB"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A continuación procederemos a analizar, el principio de taxatividad impugnaticia que rige en materia agraria, porque precisamente una de las características que distinguen la oralidad, es la limitación de los recursos.</w:t>
      </w:r>
    </w:p>
    <w:p w14:paraId="0AAC734E" w14:textId="32F0FD60" w:rsidR="00B377B2" w:rsidRPr="00D66245" w:rsidRDefault="00B377B2" w:rsidP="00295238">
      <w:pPr>
        <w:suppressAutoHyphens/>
        <w:autoSpaceDE w:val="0"/>
        <w:autoSpaceDN w:val="0"/>
        <w:adjustRightInd w:val="0"/>
        <w:spacing w:before="120" w:after="200" w:line="240" w:lineRule="auto"/>
        <w:jc w:val="both"/>
        <w:textAlignment w:val="center"/>
        <w:rPr>
          <w:rFonts w:ascii="Palatino Linotype" w:hAnsi="Palatino Linotype"/>
          <w:b/>
          <w:bCs/>
          <w:lang w:val="es-ES_tradnl"/>
        </w:rPr>
      </w:pPr>
      <w:r w:rsidRPr="00D66245">
        <w:rPr>
          <w:rFonts w:ascii="Palatino Linotype" w:hAnsi="Palatino Linotype"/>
          <w:b/>
          <w:bCs/>
          <w:lang w:val="es-ES_tradnl"/>
        </w:rPr>
        <w:t>6.1. Aclaración, adición y corrección de errores puramente materiales</w:t>
      </w:r>
    </w:p>
    <w:p w14:paraId="13EFBDBE"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Debemos recordar que, como requisito general, el Código Procesal Agrario exige que las resoluciones sean claras, precisas y congruentes, debiendo resolverse sobre todos los extremos debatidos</w:t>
      </w:r>
      <w:r w:rsidRPr="00D66245">
        <w:rPr>
          <w:rStyle w:val="Refdenotaalpie"/>
          <w:rFonts w:ascii="Palatino Linotype" w:hAnsi="Palatino Linotype"/>
          <w:lang w:val="es-ES_tradnl"/>
        </w:rPr>
        <w:footnoteReference w:id="331"/>
      </w:r>
      <w:r w:rsidRPr="00D66245">
        <w:rPr>
          <w:rFonts w:ascii="Palatino Linotype" w:hAnsi="Palatino Linotype"/>
          <w:lang w:val="es-ES_tradnl"/>
        </w:rPr>
        <w:t>. Pero en la actividad judicial puede ocurrir que se omitan dichos requisitos y, por el contrario las resoluciones contengan conceptos oscuros, omitan pronunciarse sobre algún extremo, o bien se cometan errores puramente materiales.</w:t>
      </w:r>
      <w:r w:rsidRPr="00D66245">
        <w:rPr>
          <w:rFonts w:ascii="Palatino Linotype" w:hAnsi="Palatino Linotype"/>
          <w:vertAlign w:val="superscript"/>
          <w:lang w:val="es-ES_tradnl"/>
        </w:rPr>
        <w:footnoteReference w:id="332"/>
      </w:r>
    </w:p>
    <w:p w14:paraId="6F4EDBDE" w14:textId="144FCD66"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Este remedio procesal, conocido en el ámbito Latinoamericano como recurso de “aclaratoria”, precisamente busca enmendar esos defectos de las resoluciones judiciales. Por ello se le define como: “…el medio de impugnación de un pronunciamiento judicial en el que se hubiese incurrido en errores u omisiones “materiales”, o que contuviese conceptos oscuros. Tiene por finalidad superar y/o corregir tales defectos, pero con la particularidad de no poderse arribar, con ella, a una modificación sustancial en el contenido y alcance de la resolución atacada.”</w:t>
      </w:r>
      <w:r w:rsidRPr="00D66245">
        <w:rPr>
          <w:rFonts w:ascii="Palatino Linotype" w:hAnsi="Palatino Linotype"/>
          <w:vertAlign w:val="superscript"/>
          <w:lang w:val="es-ES_tradnl"/>
        </w:rPr>
        <w:footnoteReference w:id="333"/>
      </w:r>
    </w:p>
    <w:p w14:paraId="3F55B62E"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La Ley de Jurisdicción Agraria no menciona el recurso de aclaración y adición. Pero debe admitirse, por ser un remedio que se concede a las partes para obtener que el mismo juez o tribunal que dicta una resolución subsane deficiencias materiales o conceptuales que contenga.  </w:t>
      </w:r>
    </w:p>
    <w:p w14:paraId="563AD727"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El Código Procesal Civil establece que procede la aclaración y adición cuando deba aclararse cualquier concepto oscuro o suplir cualquier omisión que contengan las sentencias sobre el punto discutido en el litigio.  En la sentencia, solo proceden respecto de su parte dispositiva.</w:t>
      </w:r>
      <w:r w:rsidRPr="00D66245">
        <w:rPr>
          <w:rFonts w:ascii="Palatino Linotype" w:hAnsi="Palatino Linotype"/>
          <w:vertAlign w:val="superscript"/>
          <w:lang w:val="es-ES_tradnl"/>
        </w:rPr>
        <w:footnoteReference w:id="334"/>
      </w:r>
      <w:r w:rsidRPr="00D66245">
        <w:rPr>
          <w:rFonts w:ascii="Palatino Linotype" w:hAnsi="Palatino Linotype"/>
          <w:lang w:val="es-ES_tradnl"/>
        </w:rPr>
        <w:t xml:space="preserve">  </w:t>
      </w:r>
    </w:p>
    <w:p w14:paraId="2A5CE835"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En cuanto a su naturaleza jurídica, el Código Procesal Agrario no lo contempla propiamente como un recurso, sino como un medio para rectificar la resolución judicial.  El texto de la norma dispone “Artículo 84.- Invariabilidad y corrección de sentencias. Los tribunales no podrán revocar ni modificar lo decidido en sentencia, pero sí aclarar cualquier pronunciamiento oscuro o contradictorio, o suplir omisiones sobre algún aspecto debatido”.</w:t>
      </w:r>
    </w:p>
    <w:p w14:paraId="49450874"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Hay oscuridad de conceptos cuando existe discordancias que resulten entre la idea y los vocablos utilizados para representarla.  Las omisiones, y por ende la aclaración, debe referirse tanto a cuestiones accesorias, como falta de pronunciamiento en cuanto a intereses, daños y perjuicios, costas, mejoras, o bien respecto de cuestiones principales, tales como excepciones de fondo, prescripción, etcétera.</w:t>
      </w:r>
    </w:p>
    <w:p w14:paraId="786223C0"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 aclaración o adición en materia agraria, puede hacerse de oficio o a petición de parte, en forma oral, o escrita, según la resolución que se dicte. Al respecto el Código dispone:</w:t>
      </w:r>
    </w:p>
    <w:p w14:paraId="6802863E" w14:textId="77777777" w:rsidR="00B377B2" w:rsidRPr="00D66245" w:rsidRDefault="00B377B2" w:rsidP="00295238">
      <w:pPr>
        <w:spacing w:before="120" w:after="200" w:line="240" w:lineRule="auto"/>
        <w:ind w:left="851" w:right="851"/>
        <w:jc w:val="both"/>
        <w:rPr>
          <w:rFonts w:ascii="Palatino Linotype" w:hAnsi="Palatino Linotype"/>
          <w:bCs/>
          <w:iCs/>
        </w:rPr>
      </w:pPr>
      <w:r w:rsidRPr="00D66245">
        <w:rPr>
          <w:rFonts w:ascii="Palatino Linotype" w:hAnsi="Palatino Linotype"/>
          <w:bCs/>
          <w:iCs/>
        </w:rPr>
        <w:t>ARTÍCULO 75- Adición, aclaración y error material.</w:t>
      </w:r>
    </w:p>
    <w:p w14:paraId="43E4DE5A" w14:textId="77777777" w:rsidR="00B377B2" w:rsidRPr="00D66245" w:rsidRDefault="00B377B2" w:rsidP="00295238">
      <w:pPr>
        <w:spacing w:before="120" w:after="200" w:line="240" w:lineRule="auto"/>
        <w:ind w:left="851" w:right="851"/>
        <w:jc w:val="both"/>
        <w:rPr>
          <w:rFonts w:ascii="Palatino Linotype" w:hAnsi="Palatino Linotype"/>
          <w:iCs/>
        </w:rPr>
      </w:pPr>
      <w:r w:rsidRPr="00D66245">
        <w:rPr>
          <w:rFonts w:ascii="Palatino Linotype" w:hAnsi="Palatino Linotype"/>
          <w:iCs/>
        </w:rPr>
        <w:t>La aclaraciones o adiciones de autos y sentencias solo procederán respecto de la parte dispositiva. Si son emitidas en audiencia se gestionarán y resolverán de inmediato. De ser dictados por escrito, deberán pedirse dentro de los tres días hábiles siguientes a su notificación y resolverse en un plazo igual. Podrán ser aclarados y adicionados de oficio, en el mismo lapso. Si se omite resolver acerca de una petición concreta, se podrá pedir oralmente al tribunal que subsane la omisión.</w:t>
      </w:r>
    </w:p>
    <w:p w14:paraId="3E32F6C4" w14:textId="77777777" w:rsidR="00B377B2" w:rsidRPr="00D66245" w:rsidRDefault="00B377B2" w:rsidP="00295238">
      <w:pPr>
        <w:spacing w:before="120" w:after="200" w:line="240" w:lineRule="auto"/>
        <w:ind w:left="851" w:right="851"/>
        <w:jc w:val="both"/>
        <w:rPr>
          <w:rFonts w:ascii="Palatino Linotype" w:hAnsi="Palatino Linotype"/>
          <w:bCs/>
          <w:iCs/>
        </w:rPr>
      </w:pPr>
      <w:r w:rsidRPr="00D66245">
        <w:rPr>
          <w:rFonts w:ascii="Palatino Linotype" w:hAnsi="Palatino Linotype"/>
          <w:iCs/>
        </w:rPr>
        <w:t xml:space="preserve">El plazo para interponer el recurso que proceda contra autos y sentencias dictadas de forma escrita, se contará a partir del día inmediato siguiente al de la notificación de la resolución complementaria en la que se acepte o deniegue la </w:t>
      </w:r>
      <w:r w:rsidRPr="00D66245">
        <w:rPr>
          <w:rFonts w:ascii="Palatino Linotype" w:hAnsi="Palatino Linotype"/>
          <w:bCs/>
          <w:iCs/>
        </w:rPr>
        <w:t>gestión.</w:t>
      </w:r>
    </w:p>
    <w:p w14:paraId="44318F66" w14:textId="77777777" w:rsidR="00B377B2" w:rsidRPr="00D66245" w:rsidRDefault="00B377B2" w:rsidP="00295238">
      <w:pPr>
        <w:spacing w:before="120" w:after="200" w:line="240" w:lineRule="auto"/>
        <w:ind w:left="851" w:right="851"/>
        <w:jc w:val="both"/>
        <w:rPr>
          <w:rFonts w:ascii="Palatino Linotype" w:hAnsi="Palatino Linotype"/>
          <w:iCs/>
        </w:rPr>
      </w:pPr>
      <w:r w:rsidRPr="00D66245">
        <w:rPr>
          <w:rFonts w:ascii="Palatino Linotype" w:hAnsi="Palatino Linotype"/>
          <w:iCs/>
        </w:rPr>
        <w:t>Los tribunales podrán corregir en cualquier tiempo los errores materiales de sus resoluciones. Tal pronunciamiento será declarado firme. Podrán igualmente corregir y adicionar resoluciones firmes con efectos registrales, cuando se trate de datos que requiera el Registro Nacional para la inscripción, siempre que no se altere sustancialmente lo concedido u ordenado en aquellas.</w:t>
      </w:r>
    </w:p>
    <w:p w14:paraId="3C571FDC" w14:textId="77777777" w:rsidR="00B377B2" w:rsidRPr="00D66245" w:rsidRDefault="00B377B2" w:rsidP="00295238">
      <w:pPr>
        <w:spacing w:before="120" w:after="200" w:line="240" w:lineRule="auto"/>
        <w:ind w:left="851" w:right="851"/>
        <w:jc w:val="both"/>
        <w:rPr>
          <w:rFonts w:ascii="Palatino Linotype" w:hAnsi="Palatino Linotype"/>
        </w:rPr>
      </w:pPr>
      <w:r w:rsidRPr="00D66245">
        <w:rPr>
          <w:rFonts w:ascii="Palatino Linotype" w:hAnsi="Palatino Linotype"/>
          <w:iCs/>
        </w:rPr>
        <w:t>Cuando un tribunal de primera instancia note un error material en una resolución de un superior, informará electrónicamente a este tal suceso para que resuelva tal gestión.</w:t>
      </w:r>
      <w:r w:rsidRPr="00D66245">
        <w:rPr>
          <w:rFonts w:ascii="Palatino Linotype" w:hAnsi="Palatino Linotype"/>
        </w:rPr>
        <w:t xml:space="preserve"> </w:t>
      </w:r>
    </w:p>
    <w:p w14:paraId="756E12A9" w14:textId="77777777" w:rsidR="00B377B2" w:rsidRPr="00D66245" w:rsidRDefault="00B377B2" w:rsidP="00295238">
      <w:pPr>
        <w:spacing w:before="120" w:after="200" w:line="240" w:lineRule="auto"/>
        <w:ind w:left="851" w:right="851"/>
        <w:jc w:val="both"/>
        <w:rPr>
          <w:rFonts w:ascii="Palatino Linotype" w:hAnsi="Palatino Linotype"/>
        </w:rPr>
      </w:pPr>
      <w:r w:rsidRPr="00D66245">
        <w:rPr>
          <w:rFonts w:ascii="Palatino Linotype" w:hAnsi="Palatino Linotype"/>
        </w:rPr>
        <w:t xml:space="preserve">Los tribunales podrán corregir en cualquier tiempo los errores materiales de sus resoluciones. Tal pronunciamiento será declarado firme. Podrán igualmente corregir y adicionar resoluciones firmes con efectos registrales, cuando se trate de datos que requiera el Registro Nacional para la inscripción, siempre que no se altere sustancialmente lo concedido u ordenado en aquellas. </w:t>
      </w:r>
    </w:p>
    <w:p w14:paraId="1ACED223" w14:textId="77777777" w:rsidR="00B377B2" w:rsidRPr="00D66245" w:rsidRDefault="00B377B2" w:rsidP="00295238">
      <w:pPr>
        <w:spacing w:before="120" w:after="200" w:line="240" w:lineRule="auto"/>
        <w:ind w:left="851" w:right="851"/>
        <w:jc w:val="both"/>
        <w:rPr>
          <w:rFonts w:ascii="Palatino Linotype" w:hAnsi="Palatino Linotype"/>
        </w:rPr>
      </w:pPr>
      <w:r w:rsidRPr="00D66245">
        <w:rPr>
          <w:rFonts w:ascii="Palatino Linotype" w:hAnsi="Palatino Linotype"/>
        </w:rPr>
        <w:t xml:space="preserve">Cuando un tribunal de primera instancia note un error material en una resolución de un superior, informará electrónicamente a tal suceso para que resuelva tal gestión. </w:t>
      </w:r>
    </w:p>
    <w:p w14:paraId="0B603C32"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En los autos, los tribunales agrarios deben resolver todas las peticiones contenidas en los escritos de las partes, y en caso de que exista una omisión, la parte o su abogado puede pedir verbalmente al auxiliar judicial respectivo, que de oficio, subsane la omisión y provea sobre los extremos no resueltos. Pueden constituir errores materiales los errores de copia o aritméticos, los equívocos en que se hubiese incurrido el juez acerca de los nombres y calidades de las partes (referirse al actor como demandado o viceversa), y la contradicción entre considerandos y la parte dispositiva.</w:t>
      </w:r>
    </w:p>
    <w:p w14:paraId="2E62FC59" w14:textId="77777777" w:rsidR="00B377B2" w:rsidRPr="00D66245" w:rsidRDefault="00B377B2" w:rsidP="00295238">
      <w:pPr>
        <w:suppressAutoHyphens/>
        <w:autoSpaceDE w:val="0"/>
        <w:autoSpaceDN w:val="0"/>
        <w:adjustRightInd w:val="0"/>
        <w:spacing w:before="120" w:after="200" w:line="240" w:lineRule="auto"/>
        <w:jc w:val="both"/>
        <w:textAlignment w:val="center"/>
        <w:rPr>
          <w:rFonts w:ascii="Palatino Linotype" w:hAnsi="Palatino Linotype"/>
          <w:b/>
          <w:bCs/>
          <w:lang w:val="es-ES_tradnl"/>
        </w:rPr>
      </w:pPr>
      <w:r w:rsidRPr="00D66245">
        <w:rPr>
          <w:rFonts w:ascii="Palatino Linotype" w:hAnsi="Palatino Linotype"/>
          <w:b/>
          <w:bCs/>
          <w:lang w:val="es-ES_tradnl"/>
        </w:rPr>
        <w:t>6.2. Taxatividad impugnaticia.</w:t>
      </w:r>
    </w:p>
    <w:p w14:paraId="58BD29B3"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En materia agraria nuestra jurisprudencia ha cimentado desde hace muchos años el principio de la taxatividad impugnaticia, el cual está contenido en el artículo 196 del CPA: “Las resoluciones judiciales serán recurribles solo por los medios y en los casos expresamente establecidos”. Pudiendo ser impugnadas únicamente por las personas que se vean perjudicadas con la decisión; las que, además, pueden renunciar a ese derecho en la audiencia –caso en el cual se debe tener por firme la resolución-, o en el plazo que se conceda, y además pueden desistir del recurso, antes de ser resueltos.</w:t>
      </w:r>
      <w:r w:rsidRPr="00D66245">
        <w:rPr>
          <w:rStyle w:val="Refdenotaalpie"/>
          <w:rFonts w:ascii="Palatino Linotype" w:hAnsi="Palatino Linotype"/>
          <w:lang w:val="es-ES_tradnl"/>
        </w:rPr>
        <w:footnoteReference w:id="335"/>
      </w:r>
    </w:p>
    <w:p w14:paraId="6BF5AA5E"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Ello es una consecuencia del sistema oral por audiencias, en donde necesariamente se tiende a reducir los recursos contra las resoluciones judiciales, en aras de agilizar el proceso y evitar tácticas dilatorias de las partes litigantes. Ello no significa, en modo alguno, violar el debido proceso y la garantía de defensa dentro del proceso agrario, pues cuando ello ocurra es evidente que el Juzgador deberá ceder frente a las peticiones de las partes, para evitar que se produzca un agravio.</w:t>
      </w:r>
    </w:p>
    <w:p w14:paraId="4A95B908"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El principio de taxatividad impugnaticia parte, en primer lugar, de la limitación de los recursos contra las resoluciones de mero trámite (providencias) y las que contienen un criterio valorativo del juez (autos).  </w:t>
      </w:r>
    </w:p>
    <w:p w14:paraId="6CE83C7F"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Contra las providencias, no cabe recurso alguno. Sin embargo, los tribunales las pueden dejar sin efecto o modificarlas dentro de los tres días siguientes a su comunicación, bien de oficio, o por advertencia de la parte interesada. Las dictadas en audiencia oral, deben resolverse sin mayor dilación, y si los reparos de la parte se estiman improcedentes, se tienen por rechazadas sin necesidad de resolución expresa.</w:t>
      </w:r>
      <w:r w:rsidRPr="00D66245">
        <w:rPr>
          <w:rStyle w:val="Refdenotaalpie"/>
          <w:rFonts w:ascii="Palatino Linotype" w:hAnsi="Palatino Linotype"/>
          <w:lang w:val="es-ES_tradnl"/>
        </w:rPr>
        <w:footnoteReference w:id="336"/>
      </w:r>
    </w:p>
    <w:p w14:paraId="2465D71D"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Toda impugnación debe ser motivada, indicando razones claras y precisas que ameritan la modificación o nulidad de lo resuelto, indicando en orden los motivos procesales, los sustantivos, y la prueba. Pudiendo ser objeto de impugnación solo las cuestiones propuestas o debatidas oportunamente.</w:t>
      </w:r>
      <w:r w:rsidRPr="00D66245">
        <w:rPr>
          <w:rStyle w:val="Refdenotaalpie"/>
          <w:rFonts w:ascii="Palatino Linotype" w:hAnsi="Palatino Linotype"/>
          <w:lang w:val="es-ES_tradnl"/>
        </w:rPr>
        <w:footnoteReference w:id="337"/>
      </w:r>
      <w:r w:rsidRPr="00D66245">
        <w:rPr>
          <w:rFonts w:ascii="Palatino Linotype" w:hAnsi="Palatino Linotype"/>
          <w:lang w:val="es-ES_tradnl"/>
        </w:rPr>
        <w:t xml:space="preserve"> </w:t>
      </w:r>
    </w:p>
    <w:p w14:paraId="71FA3A7D"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Sino se motiva se declara inadmisible.</w:t>
      </w:r>
    </w:p>
    <w:p w14:paraId="27A2CE24"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 resolución que se emita, debe referirse a los aspectos alegados por las partes, no pueden pronunciarse sobre otros aspectos distintos del recurso, salvo que por cuestiones de orden público así lo amerite, o si proceden aspectos de nulidad o correcciones por iniciativa del propio tribunal.</w:t>
      </w:r>
      <w:r w:rsidRPr="00D66245">
        <w:rPr>
          <w:rStyle w:val="Refdenotaalpie"/>
          <w:rFonts w:ascii="Palatino Linotype" w:hAnsi="Palatino Linotype"/>
          <w:vertAlign w:val="baseline"/>
          <w:lang w:val="es-ES_tradnl"/>
        </w:rPr>
        <w:footnoteReference w:id="338"/>
      </w:r>
      <w:r w:rsidRPr="00D66245">
        <w:rPr>
          <w:rFonts w:ascii="Palatino Linotype" w:hAnsi="Palatino Linotype"/>
          <w:lang w:val="es-ES_tradnl"/>
        </w:rPr>
        <w:t xml:space="preserve"> En todo caso, está prohibida la reforma en perjuicio del recurrente, salvo que la variación se justifique en la necesidad de modificar o revocar otros extremos.</w:t>
      </w:r>
      <w:r w:rsidRPr="00D66245">
        <w:rPr>
          <w:rStyle w:val="Refdenotaalpie"/>
          <w:rFonts w:ascii="Palatino Linotype" w:hAnsi="Palatino Linotype"/>
          <w:lang w:val="es-ES_tradnl"/>
        </w:rPr>
        <w:footnoteReference w:id="339"/>
      </w:r>
    </w:p>
    <w:p w14:paraId="2BCAF0F4" w14:textId="54878F61" w:rsidR="00B377B2" w:rsidRPr="00D66245" w:rsidRDefault="00B377B2" w:rsidP="00AD4F83">
      <w:pPr>
        <w:suppressAutoHyphens/>
        <w:autoSpaceDE w:val="0"/>
        <w:autoSpaceDN w:val="0"/>
        <w:adjustRightInd w:val="0"/>
        <w:spacing w:before="120" w:after="200" w:line="240" w:lineRule="auto"/>
        <w:jc w:val="both"/>
        <w:textAlignment w:val="center"/>
        <w:rPr>
          <w:rFonts w:ascii="Palatino Linotype" w:hAnsi="Palatino Linotype"/>
          <w:b/>
          <w:lang w:val="es-ES_tradnl"/>
        </w:rPr>
      </w:pPr>
      <w:r w:rsidRPr="00D66245">
        <w:rPr>
          <w:rFonts w:ascii="Palatino Linotype" w:hAnsi="Palatino Linotype"/>
          <w:b/>
          <w:lang w:val="es-ES_tradnl"/>
        </w:rPr>
        <w:t>6.3.- Del recurso de revocatoria.</w:t>
      </w:r>
    </w:p>
    <w:p w14:paraId="238A8B1F"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 revocatoria únicamente procede contra autos, de oficio o a interposición de la parte interesada; si es en la audiencia, el recurso se interpone de manera inmediata, expresando agravios oralmente, y si es escrita, dentro de tercer día.</w:t>
      </w:r>
      <w:r w:rsidRPr="00D66245">
        <w:rPr>
          <w:rStyle w:val="Refdenotaalpie"/>
          <w:rFonts w:ascii="Palatino Linotype" w:hAnsi="Palatino Linotype"/>
          <w:lang w:val="es-ES_tradnl"/>
        </w:rPr>
        <w:footnoteReference w:id="340"/>
      </w:r>
      <w:r w:rsidRPr="00D66245">
        <w:rPr>
          <w:rFonts w:ascii="Palatino Linotype" w:hAnsi="Palatino Linotype"/>
          <w:lang w:val="es-ES_tradnl"/>
        </w:rPr>
        <w:t xml:space="preserve"> </w:t>
      </w:r>
    </w:p>
    <w:p w14:paraId="1507ECDF"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El recurso de </w:t>
      </w:r>
      <w:r w:rsidRPr="00D66245">
        <w:rPr>
          <w:rFonts w:ascii="Palatino Linotype" w:hAnsi="Palatino Linotype"/>
          <w:i/>
          <w:iCs/>
          <w:lang w:val="es-ES_tradnl"/>
        </w:rPr>
        <w:t>revocatoria</w:t>
      </w:r>
      <w:r w:rsidRPr="00D66245">
        <w:rPr>
          <w:rFonts w:ascii="Palatino Linotype" w:hAnsi="Palatino Linotype"/>
          <w:lang w:val="es-ES_tradnl"/>
        </w:rPr>
        <w:t>, también llamado en otros países de reposición o reconsideración, tiene por objeto la corrección de errores, sustanciales o formales, que contienen los autos, con el fin de que sean modificados, o anulados, por el mismo órgano que dicta la resolución.</w:t>
      </w:r>
      <w:r w:rsidRPr="00D66245">
        <w:rPr>
          <w:rFonts w:ascii="Palatino Linotype" w:hAnsi="Palatino Linotype"/>
          <w:vertAlign w:val="superscript"/>
          <w:lang w:val="es-ES_tradnl"/>
        </w:rPr>
        <w:footnoteReference w:id="341"/>
      </w:r>
      <w:r w:rsidRPr="00D66245">
        <w:rPr>
          <w:rFonts w:ascii="Palatino Linotype" w:hAnsi="Palatino Linotype"/>
          <w:lang w:val="es-ES_tradnl"/>
        </w:rPr>
        <w:t xml:space="preserve"> Se pretende que el órgano la revoque por contrario imperio.</w:t>
      </w:r>
      <w:r w:rsidRPr="00D66245">
        <w:rPr>
          <w:rFonts w:ascii="Palatino Linotype" w:hAnsi="Palatino Linotype"/>
          <w:vertAlign w:val="superscript"/>
          <w:lang w:val="es-ES_tradnl"/>
        </w:rPr>
        <w:footnoteReference w:id="342"/>
      </w:r>
    </w:p>
    <w:p w14:paraId="6C16DADC"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La revocatoria es un recurso de carácter horizontal, que se dirige al mismo Tribunal que dicta la resolución, para que éste la subsane “por contrario imperio”, y enmiende los agravios alegados por alguna de las partes, reconsiderando y enmendando la resolución.  Este remedio procesal pretende evitar gastos y demoras en segunda instancia. </w:t>
      </w:r>
    </w:p>
    <w:p w14:paraId="43D71E6F" w14:textId="0194DD5D"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El recurso puede tener dos fines distintos. Por un lado, puede servir para la enmendar errores de procedimiento, y, por otro lado, pueden revocarse o modificarse resoluciones en donde el Juez emite un juicio valorativo, sobre extremos sustanciales donde se ha aplicado algún criterio jurídico. También se justifica en principios de economía y celeridad procesal.</w:t>
      </w:r>
    </w:p>
    <w:p w14:paraId="2EB7738C"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El principio de taxatividad impugnaticia ha encontrado un claro respaldo en la Jurisprudencia Constitucional, ratificando los principios orientadores del derecho procesal agrario. Especialmente la limitación de los recursos como consecuencia del sistema oral. que busca la celeridad en los procedimientos</w:t>
      </w:r>
      <w:r w:rsidRPr="00D66245">
        <w:rPr>
          <w:rFonts w:ascii="Palatino Linotype" w:hAnsi="Palatino Linotype"/>
          <w:vertAlign w:val="superscript"/>
          <w:lang w:val="es-ES_tradnl"/>
        </w:rPr>
        <w:footnoteReference w:id="343"/>
      </w:r>
      <w:r w:rsidRPr="00D66245">
        <w:rPr>
          <w:rFonts w:ascii="Palatino Linotype" w:hAnsi="Palatino Linotype"/>
          <w:lang w:val="es-ES_tradnl"/>
        </w:rPr>
        <w:t xml:space="preserve"> lo cual no implica violación a la igualdad sustancial y al debido proceso.</w:t>
      </w:r>
      <w:r w:rsidRPr="00D66245">
        <w:rPr>
          <w:rFonts w:ascii="Palatino Linotype" w:hAnsi="Palatino Linotype"/>
          <w:vertAlign w:val="superscript"/>
          <w:lang w:val="es-ES_tradnl"/>
        </w:rPr>
        <w:footnoteReference w:id="344"/>
      </w:r>
    </w:p>
    <w:p w14:paraId="4ED898ED"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spacing w:val="-2"/>
          <w:lang w:val="es-ES_tradnl"/>
        </w:rPr>
      </w:pPr>
      <w:r w:rsidRPr="00D66245">
        <w:rPr>
          <w:rFonts w:ascii="Palatino Linotype" w:hAnsi="Palatino Linotype"/>
          <w:spacing w:val="-2"/>
          <w:lang w:val="es-ES_tradnl"/>
        </w:rPr>
        <w:t>En consecuencia, la revocatoria es totalmente improcedente respecto de los autos. Además la revocatoria es procedentes en cualquier instancia, siempre que la índole de la resolución lo justifique. Por ejemplo podría ocurrir que la Sala Primera de Casación admita un recurso de casación, contra una resolución que carece de ella, con lo cual estaría incurriendo en un evidente error, que la parte interesada podría hacer ver al Tribunal, para que lo enmiende, y revoque la resolución declarando la inadmisibilidad del recurso.</w:t>
      </w:r>
    </w:p>
    <w:p w14:paraId="666F987B" w14:textId="50B9C879" w:rsidR="00B377B2" w:rsidRPr="00D66245" w:rsidRDefault="00B377B2" w:rsidP="00F53211">
      <w:pPr>
        <w:autoSpaceDE w:val="0"/>
        <w:autoSpaceDN w:val="0"/>
        <w:adjustRightInd w:val="0"/>
        <w:spacing w:before="120" w:after="200" w:line="240" w:lineRule="auto"/>
        <w:jc w:val="both"/>
        <w:textAlignment w:val="center"/>
        <w:rPr>
          <w:rFonts w:ascii="Palatino Linotype" w:hAnsi="Palatino Linotype"/>
          <w:bCs/>
          <w:lang w:val="es-ES_tradnl"/>
        </w:rPr>
      </w:pPr>
      <w:r w:rsidRPr="00D66245">
        <w:rPr>
          <w:rFonts w:ascii="Palatino Linotype" w:hAnsi="Palatino Linotype"/>
          <w:b/>
          <w:bCs/>
          <w:lang w:val="es-ES_tradnl"/>
        </w:rPr>
        <w:tab/>
      </w:r>
      <w:r w:rsidRPr="00D66245">
        <w:rPr>
          <w:rFonts w:ascii="Palatino Linotype" w:hAnsi="Palatino Linotype"/>
          <w:bCs/>
          <w:lang w:val="es-ES_tradnl"/>
        </w:rPr>
        <w:t xml:space="preserve">Por otra parte, hay que mencionar que el Código regula la necesidad de invocar, </w:t>
      </w:r>
      <w:r w:rsidRPr="00D66245">
        <w:rPr>
          <w:rFonts w:ascii="Palatino Linotype" w:hAnsi="Palatino Linotype"/>
          <w:bCs/>
          <w:i/>
          <w:lang w:val="es-ES_tradnl"/>
        </w:rPr>
        <w:t>conjuntamente</w:t>
      </w:r>
      <w:r w:rsidRPr="00D66245">
        <w:rPr>
          <w:rFonts w:ascii="Palatino Linotype" w:hAnsi="Palatino Linotype"/>
          <w:bCs/>
          <w:lang w:val="es-ES_tradnl"/>
        </w:rPr>
        <w:t xml:space="preserve"> la revocatoria y la apelación, cuando ésta sea procedente, bajo pena de rechazarse de plano el recurso de apelación, si no se pide revocatoria. En la misma resolución de la revocatoria se debe pronunciar sobre la admisibilidad de la apelación si corresponde.</w:t>
      </w:r>
      <w:r w:rsidRPr="00D66245">
        <w:rPr>
          <w:rStyle w:val="Refdenotaalpie"/>
          <w:rFonts w:ascii="Palatino Linotype" w:hAnsi="Palatino Linotype"/>
          <w:bCs/>
          <w:lang w:val="es-ES_tradnl"/>
        </w:rPr>
        <w:footnoteReference w:id="345"/>
      </w:r>
    </w:p>
    <w:p w14:paraId="588D8698" w14:textId="77777777" w:rsidR="00B377B2" w:rsidRPr="00D66245" w:rsidRDefault="00B377B2" w:rsidP="00F53211">
      <w:pPr>
        <w:autoSpaceDE w:val="0"/>
        <w:autoSpaceDN w:val="0"/>
        <w:adjustRightInd w:val="0"/>
        <w:spacing w:before="120" w:after="200" w:line="240" w:lineRule="auto"/>
        <w:ind w:left="360" w:hanging="360"/>
        <w:jc w:val="both"/>
        <w:textAlignment w:val="center"/>
        <w:rPr>
          <w:rFonts w:ascii="Palatino Linotype" w:hAnsi="Palatino Linotype"/>
          <w:b/>
          <w:bCs/>
          <w:lang w:val="es-ES_tradnl"/>
        </w:rPr>
      </w:pPr>
      <w:r w:rsidRPr="00D66245">
        <w:rPr>
          <w:rFonts w:ascii="Palatino Linotype" w:hAnsi="Palatino Linotype"/>
          <w:b/>
          <w:bCs/>
          <w:lang w:val="es-ES_tradnl"/>
        </w:rPr>
        <w:t xml:space="preserve">7.  </w:t>
      </w:r>
      <w:r w:rsidRPr="00D66245">
        <w:rPr>
          <w:rFonts w:ascii="Palatino Linotype" w:hAnsi="Palatino Linotype"/>
          <w:b/>
          <w:bCs/>
          <w:lang w:val="es-ES_tradnl"/>
        </w:rPr>
        <w:tab/>
        <w:t>El recurso de apelación</w:t>
      </w:r>
    </w:p>
    <w:p w14:paraId="3E1DE22E" w14:textId="46FCF8C6"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El recurso de apelación constituye el más importante y usual de los recursos ordinarios.</w:t>
      </w:r>
      <w:r w:rsidRPr="00D66245">
        <w:rPr>
          <w:rFonts w:ascii="Palatino Linotype" w:hAnsi="Palatino Linotype"/>
          <w:vertAlign w:val="superscript"/>
          <w:lang w:val="es-ES_tradnl"/>
        </w:rPr>
        <w:footnoteReference w:id="346"/>
      </w:r>
      <w:r w:rsidRPr="00D66245">
        <w:rPr>
          <w:rFonts w:ascii="Palatino Linotype" w:hAnsi="Palatino Linotype"/>
          <w:lang w:val="es-ES_tradnl"/>
        </w:rPr>
        <w:t xml:space="preserve">  Se justifica, en materia agraria, por existir una organización basada en la doble instancia, en donde la jurisdicción está distribuida en grados, a través de la competencia funcional atribuida a cada órgano.  Esa división funcional atribuye al Tribunal de alzada (ad-quem), la potestad revisora de la resolución dictada en primera instancia, para modificarla, remplazarla o anularla, sobre la base de la existencia de errores de procedimiento o de juicio.</w:t>
      </w:r>
    </w:p>
    <w:p w14:paraId="1B7AE704" w14:textId="77777777" w:rsidR="00B377B2" w:rsidRPr="00D66245" w:rsidRDefault="00B377B2" w:rsidP="00ED1340">
      <w:pPr>
        <w:suppressAutoHyphens/>
        <w:autoSpaceDE w:val="0"/>
        <w:autoSpaceDN w:val="0"/>
        <w:adjustRightInd w:val="0"/>
        <w:spacing w:before="120" w:after="200" w:line="240" w:lineRule="auto"/>
        <w:ind w:firstLine="709"/>
        <w:jc w:val="both"/>
        <w:textAlignment w:val="center"/>
        <w:rPr>
          <w:rFonts w:ascii="Palatino Linotype" w:hAnsi="Palatino Linotype"/>
          <w:lang w:val="es-ES_tradnl"/>
        </w:rPr>
      </w:pPr>
      <w:r w:rsidRPr="00D66245">
        <w:rPr>
          <w:rFonts w:ascii="Palatino Linotype" w:hAnsi="Palatino Linotype"/>
          <w:lang w:val="es-ES_tradnl"/>
        </w:rPr>
        <w:t>Se le ha definido como “... el medio de impugnación ordinario, destinado a posibilitar, a planteamiento de parte, la intervención de una instancia distinta de la que emitió el pronunciamiento, facultada para revisar el acierto de lo decidido, antes de que logre fuerza de cosa juzgada, o quede firme con efecto preclusivo, según el caso, con miras a obtener la modificación total o parcial de lo resuelto (iudicium rescissorium), sin perjuicio de que, de no lograrse tales extremos, quede confirmado lo decidido por el tribunal aquo.”</w:t>
      </w:r>
      <w:r w:rsidRPr="00D66245">
        <w:rPr>
          <w:rFonts w:ascii="Palatino Linotype" w:hAnsi="Palatino Linotype"/>
          <w:vertAlign w:val="superscript"/>
          <w:lang w:val="es-ES_tradnl"/>
        </w:rPr>
        <w:footnoteReference w:id="347"/>
      </w:r>
      <w:r w:rsidRPr="00D66245">
        <w:rPr>
          <w:rFonts w:ascii="Palatino Linotype" w:hAnsi="Palatino Linotype"/>
          <w:lang w:val="es-ES_tradnl"/>
        </w:rPr>
        <w:t xml:space="preserve">  </w:t>
      </w:r>
    </w:p>
    <w:p w14:paraId="54FD31EF" w14:textId="77777777" w:rsidR="00B377B2" w:rsidRPr="00D66245" w:rsidRDefault="00B377B2" w:rsidP="00ED1340">
      <w:pPr>
        <w:suppressAutoHyphens/>
        <w:autoSpaceDE w:val="0"/>
        <w:autoSpaceDN w:val="0"/>
        <w:adjustRightInd w:val="0"/>
        <w:spacing w:before="120" w:after="200" w:line="240" w:lineRule="auto"/>
        <w:ind w:firstLine="709"/>
        <w:jc w:val="both"/>
        <w:textAlignment w:val="center"/>
        <w:rPr>
          <w:rFonts w:ascii="Palatino Linotype" w:hAnsi="Palatino Linotype"/>
          <w:lang w:val="es-ES_tradnl"/>
        </w:rPr>
      </w:pPr>
      <w:r w:rsidRPr="00D66245">
        <w:rPr>
          <w:rFonts w:ascii="Palatino Linotype" w:hAnsi="Palatino Linotype"/>
          <w:lang w:val="es-ES_tradnl"/>
        </w:rPr>
        <w:t>De dicha definición, se desprenden varias características: 1) Es un medio de impugnación ordinario; 2) Se da dentro del mismo proceso y a instancia de parte; 3) La ley puede aplicarlo a resoluciones administrativas o privadas; 5) Apunta a lograr la revocación total o parcial de lo resuelto, pero puede generar la confirmatoria respectiva; 6) La composición colegiada o individual del órgano revisor no hace a la naturaleza del recurso; 7) La ley puede ampliar el alcance del recurso permitiéndole operar como comprensivo de la aclaratoria o la nulidad.</w:t>
      </w:r>
      <w:r w:rsidRPr="00D66245">
        <w:rPr>
          <w:rFonts w:ascii="Palatino Linotype" w:hAnsi="Palatino Linotype"/>
          <w:vertAlign w:val="superscript"/>
          <w:lang w:val="es-ES_tradnl"/>
        </w:rPr>
        <w:footnoteReference w:id="348"/>
      </w:r>
    </w:p>
    <w:p w14:paraId="1071817B" w14:textId="77777777" w:rsidR="00B377B2" w:rsidRPr="00D66245" w:rsidRDefault="00B377B2" w:rsidP="00ED1340">
      <w:pPr>
        <w:suppressAutoHyphens/>
        <w:autoSpaceDE w:val="0"/>
        <w:autoSpaceDN w:val="0"/>
        <w:adjustRightInd w:val="0"/>
        <w:spacing w:before="120" w:after="200" w:line="240" w:lineRule="auto"/>
        <w:ind w:firstLine="709"/>
        <w:jc w:val="both"/>
        <w:textAlignment w:val="center"/>
        <w:rPr>
          <w:rFonts w:ascii="Palatino Linotype" w:hAnsi="Palatino Linotype"/>
          <w:lang w:val="es-ES_tradnl"/>
        </w:rPr>
      </w:pPr>
      <w:r w:rsidRPr="00D66245">
        <w:rPr>
          <w:rFonts w:ascii="Palatino Linotype" w:hAnsi="Palatino Linotype"/>
          <w:lang w:val="es-ES_tradnl"/>
        </w:rPr>
        <w:t>En principio están legitimados para apelar únicamente las partes procesales y los terceros cuando la resolución les cause algún perjuicio.</w:t>
      </w:r>
    </w:p>
    <w:p w14:paraId="6D81157C" w14:textId="77777777" w:rsidR="00B377B2" w:rsidRPr="00D66245" w:rsidRDefault="00B377B2" w:rsidP="00ED1340">
      <w:pPr>
        <w:suppressAutoHyphens/>
        <w:autoSpaceDE w:val="0"/>
        <w:autoSpaceDN w:val="0"/>
        <w:adjustRightInd w:val="0"/>
        <w:spacing w:before="120" w:after="200" w:line="240" w:lineRule="auto"/>
        <w:ind w:firstLine="709"/>
        <w:jc w:val="both"/>
        <w:textAlignment w:val="center"/>
        <w:rPr>
          <w:rFonts w:ascii="Palatino Linotype" w:hAnsi="Palatino Linotype"/>
          <w:lang w:val="es-ES_tradnl"/>
        </w:rPr>
      </w:pPr>
      <w:r w:rsidRPr="00D66245">
        <w:rPr>
          <w:rFonts w:ascii="Palatino Linotype" w:hAnsi="Palatino Linotype"/>
          <w:lang w:val="es-ES_tradnl"/>
        </w:rPr>
        <w:t xml:space="preserve">En relación con su naturaleza jurídica, se suele discutir sobre la función de la segunda instancia. Han existido dos tendencias importantes. Una que sostiene la revisión total de la primera instancia, incluso admitiendo nuevas excepciones y recibiendo prueba, y otra que sostiene únicamente la revisión de la sentencia en segunda instancia. </w:t>
      </w:r>
      <w:r w:rsidRPr="00D66245">
        <w:rPr>
          <w:rFonts w:ascii="Palatino Linotype" w:hAnsi="Palatino Linotype"/>
          <w:vertAlign w:val="superscript"/>
          <w:lang w:val="es-ES_tradnl"/>
        </w:rPr>
        <w:footnoteReference w:id="349"/>
      </w:r>
      <w:r w:rsidRPr="00D66245">
        <w:rPr>
          <w:rFonts w:ascii="Palatino Linotype" w:hAnsi="Palatino Linotype"/>
          <w:lang w:val="es-ES_tradnl"/>
        </w:rPr>
        <w:t xml:space="preserve"> </w:t>
      </w:r>
    </w:p>
    <w:p w14:paraId="4ED7A276" w14:textId="77777777" w:rsidR="00214F2D" w:rsidRDefault="00214F2D" w:rsidP="00ED1340">
      <w:pPr>
        <w:suppressAutoHyphens/>
        <w:autoSpaceDE w:val="0"/>
        <w:autoSpaceDN w:val="0"/>
        <w:adjustRightInd w:val="0"/>
        <w:spacing w:before="120" w:after="200" w:line="240" w:lineRule="auto"/>
        <w:jc w:val="both"/>
        <w:textAlignment w:val="center"/>
        <w:rPr>
          <w:rFonts w:ascii="Palatino Linotype" w:hAnsi="Palatino Linotype"/>
          <w:b/>
          <w:lang w:val="es-ES_tradnl"/>
        </w:rPr>
      </w:pPr>
    </w:p>
    <w:p w14:paraId="0C223308" w14:textId="7B217D7A" w:rsidR="00B377B2" w:rsidRPr="00D66245" w:rsidRDefault="00B377B2" w:rsidP="00ED1340">
      <w:pPr>
        <w:suppressAutoHyphens/>
        <w:autoSpaceDE w:val="0"/>
        <w:autoSpaceDN w:val="0"/>
        <w:adjustRightInd w:val="0"/>
        <w:spacing w:before="120" w:after="200" w:line="240" w:lineRule="auto"/>
        <w:jc w:val="both"/>
        <w:textAlignment w:val="center"/>
        <w:rPr>
          <w:rFonts w:ascii="Palatino Linotype" w:hAnsi="Palatino Linotype"/>
          <w:b/>
          <w:lang w:val="es-ES_tradnl"/>
        </w:rPr>
      </w:pPr>
      <w:r w:rsidRPr="00D66245">
        <w:rPr>
          <w:rFonts w:ascii="Palatino Linotype" w:hAnsi="Palatino Linotype"/>
          <w:b/>
          <w:lang w:val="es-ES_tradnl"/>
        </w:rPr>
        <w:t>7.1.- Casos en que procede la apelación.-</w:t>
      </w:r>
    </w:p>
    <w:p w14:paraId="170C6C7C" w14:textId="557C99AB" w:rsidR="00B377B2" w:rsidRPr="00D66245" w:rsidRDefault="00B377B2" w:rsidP="00ED1340">
      <w:pPr>
        <w:suppressAutoHyphens/>
        <w:autoSpaceDE w:val="0"/>
        <w:autoSpaceDN w:val="0"/>
        <w:adjustRightInd w:val="0"/>
        <w:spacing w:before="120" w:after="200" w:line="240" w:lineRule="auto"/>
        <w:jc w:val="both"/>
        <w:textAlignment w:val="center"/>
        <w:rPr>
          <w:rFonts w:ascii="Palatino Linotype" w:hAnsi="Palatino Linotype"/>
          <w:lang w:val="es-ES_tradnl"/>
        </w:rPr>
      </w:pPr>
      <w:r w:rsidRPr="00D66245">
        <w:rPr>
          <w:rFonts w:ascii="Palatino Linotype" w:hAnsi="Palatino Linotype"/>
          <w:lang w:val="es-ES_tradnl"/>
        </w:rPr>
        <w:t>El Código Procesal agrario consagra como una de las funciones del Tribunal agrario conocer el recurso de apelación interpuesto contra los autos y contra las sentencias emitidas por los juzgados agrarios cuando procedan.</w:t>
      </w:r>
      <w:r w:rsidRPr="00D66245">
        <w:rPr>
          <w:rFonts w:ascii="Palatino Linotype" w:hAnsi="Palatino Linotype"/>
          <w:vertAlign w:val="superscript"/>
          <w:lang w:val="es-ES_tradnl"/>
        </w:rPr>
        <w:footnoteReference w:id="350"/>
      </w:r>
      <w:r w:rsidRPr="00D66245">
        <w:rPr>
          <w:rFonts w:ascii="Palatino Linotype" w:hAnsi="Palatino Linotype"/>
          <w:lang w:val="es-ES_tradnl"/>
        </w:rPr>
        <w:t xml:space="preserve">  </w:t>
      </w:r>
    </w:p>
    <w:p w14:paraId="52AA9BD3"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El recurso de apelación está concebido como un recurso de carácter ordinario, y se regula en el Capítulo II “Medios de impugnación”, del Título VIII, a partir del artículo 202 al 206.</w:t>
      </w:r>
    </w:p>
    <w:p w14:paraId="7628D221"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Este remedio procesal busca obtener un pronunciamiento del Tribunal agrario, para que revoque, modifique o anule una resolución dictada por un Juzgado Agrario, por estimar errónea la interpretación o aplicación del derecho, o en la apreciación de los hechos o de la prueba.</w:t>
      </w:r>
    </w:p>
    <w:p w14:paraId="17122C15"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La preclusión y concentración solo pueden cumplirse en un sistema </w:t>
      </w:r>
      <w:r w:rsidRPr="00D66245">
        <w:rPr>
          <w:rFonts w:ascii="Palatino Linotype" w:hAnsi="Palatino Linotype"/>
          <w:u w:val="single"/>
          <w:lang w:val="es-ES_tradnl"/>
        </w:rPr>
        <w:t>limitado</w:t>
      </w:r>
      <w:r w:rsidRPr="00D66245">
        <w:rPr>
          <w:rFonts w:ascii="Palatino Linotype" w:hAnsi="Palatino Linotype"/>
          <w:lang w:val="es-ES_tradnl"/>
        </w:rPr>
        <w:t xml:space="preserve"> de apelación</w:t>
      </w:r>
      <w:r w:rsidRPr="00D66245">
        <w:rPr>
          <w:rStyle w:val="Refdenotaalpie"/>
          <w:rFonts w:ascii="Palatino Linotype" w:hAnsi="Palatino Linotype"/>
          <w:lang w:val="es-ES_tradnl"/>
        </w:rPr>
        <w:footnoteReference w:id="351"/>
      </w:r>
      <w:r w:rsidRPr="00D66245">
        <w:rPr>
          <w:rFonts w:ascii="Palatino Linotype" w:hAnsi="Palatino Linotype"/>
          <w:lang w:val="es-ES_tradnl"/>
        </w:rPr>
        <w:t>, donde en la primera instancia registren en forma detallada las audiencias orales.  La preclusión impide una nueva instrucción del proceso en vía de recurso y evita una duplicación del procedimiento, porque se aporta en la primera instancia todo el material probatorio.</w:t>
      </w:r>
    </w:p>
    <w:p w14:paraId="5A01D981" w14:textId="77777777" w:rsidR="00D95FD2"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Un sistema de apelación plena es, efectivamente, un obstáculo al cumplimiento de los principios derivados de un sistema procesa oral.</w:t>
      </w:r>
      <w:r w:rsidRPr="00D66245">
        <w:rPr>
          <w:rFonts w:ascii="Palatino Linotype" w:hAnsi="Palatino Linotype"/>
          <w:vertAlign w:val="superscript"/>
          <w:lang w:val="es-ES_tradnl"/>
        </w:rPr>
        <w:footnoteReference w:id="352"/>
      </w:r>
      <w:r w:rsidRPr="00D66245">
        <w:rPr>
          <w:rFonts w:ascii="Palatino Linotype" w:hAnsi="Palatino Linotype"/>
          <w:lang w:val="es-ES_tradnl"/>
        </w:rPr>
        <w:tab/>
      </w:r>
    </w:p>
    <w:p w14:paraId="2A020DDB" w14:textId="7CB8D64A"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El recurso de apelación debe interponerse ante el mismo Juzgado Agrario que dictó la resolución recurrida, pues a éste le corresponde elevar el proceso ante el superior, sea enviarlo al Tribunal Agrario</w:t>
      </w:r>
      <w:r w:rsidRPr="00D66245">
        <w:rPr>
          <w:rStyle w:val="Refdenotaalpie"/>
          <w:rFonts w:ascii="Palatino Linotype" w:hAnsi="Palatino Linotype"/>
          <w:lang w:val="es-ES_tradnl"/>
        </w:rPr>
        <w:footnoteReference w:id="353"/>
      </w:r>
      <w:r w:rsidRPr="00D66245">
        <w:rPr>
          <w:rFonts w:ascii="Palatino Linotype" w:hAnsi="Palatino Linotype"/>
          <w:lang w:val="es-ES_tradnl"/>
        </w:rPr>
        <w:t>.</w:t>
      </w:r>
    </w:p>
    <w:p w14:paraId="2BDA54F7"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El recurso de apelación debe interponerse inmediatamente contra las resoluciones emitidas y comunicadas en la audiencia oral. Contra los autos escritos, al tercer día y contra las sentencia al quinto día.</w:t>
      </w:r>
      <w:r w:rsidRPr="00D66245">
        <w:rPr>
          <w:rStyle w:val="Refdenotaalpie"/>
          <w:rFonts w:ascii="Palatino Linotype" w:hAnsi="Palatino Linotype"/>
          <w:lang w:val="es-ES_tradnl"/>
        </w:rPr>
        <w:footnoteReference w:id="354"/>
      </w:r>
      <w:r w:rsidRPr="00D66245">
        <w:rPr>
          <w:rFonts w:ascii="Palatino Linotype" w:hAnsi="Palatino Linotype"/>
          <w:lang w:val="es-ES_tradnl"/>
        </w:rPr>
        <w:t xml:space="preserve"> </w:t>
      </w:r>
    </w:p>
    <w:p w14:paraId="71FA495D"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Al interponerse oralmente el recurso en la audiencia, se tendrá por renunciado el plazo para recurrir, salvo el caso que el Tribunal, por motivos fundados, cierre la audiencia al emitir la sentencia.</w:t>
      </w:r>
      <w:r w:rsidRPr="00D66245">
        <w:rPr>
          <w:rStyle w:val="Refdenotaalpie"/>
          <w:rFonts w:ascii="Palatino Linotype" w:hAnsi="Palatino Linotype"/>
          <w:lang w:val="es-ES_tradnl"/>
        </w:rPr>
        <w:footnoteReference w:id="355"/>
      </w:r>
    </w:p>
    <w:p w14:paraId="29DD797C"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De lo anterior se desprende, que la apelación puede plantearse en forma oral, o por escrito.  </w:t>
      </w:r>
    </w:p>
    <w:p w14:paraId="308A57E6"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Si se plantea por escrito, debe cumplirse técnicamente con los siguientes requisitos: </w:t>
      </w:r>
    </w:p>
    <w:p w14:paraId="465AE1D4" w14:textId="28201362" w:rsidR="00B377B2" w:rsidRPr="00D66245" w:rsidRDefault="00B377B2" w:rsidP="00F53211">
      <w:pPr>
        <w:numPr>
          <w:ilvl w:val="0"/>
          <w:numId w:val="6"/>
        </w:numPr>
        <w:suppressAutoHyphens/>
        <w:autoSpaceDE w:val="0"/>
        <w:autoSpaceDN w:val="0"/>
        <w:adjustRightInd w:val="0"/>
        <w:spacing w:before="120" w:after="200" w:line="240" w:lineRule="auto"/>
        <w:jc w:val="both"/>
        <w:textAlignment w:val="center"/>
        <w:rPr>
          <w:rFonts w:ascii="Palatino Linotype" w:hAnsi="Palatino Linotype"/>
          <w:lang w:val="es-ES_tradnl"/>
        </w:rPr>
      </w:pPr>
      <w:r w:rsidRPr="00D66245">
        <w:rPr>
          <w:rFonts w:ascii="Palatino Linotype" w:hAnsi="Palatino Linotype"/>
          <w:lang w:val="es-ES_tradnl"/>
        </w:rPr>
        <w:t xml:space="preserve">identificarse el proceso (las partes o el número de expediente), la hora y fecha de la resolución que es objeto del recurso. </w:t>
      </w:r>
    </w:p>
    <w:p w14:paraId="2796629A" w14:textId="77777777" w:rsidR="00B377B2" w:rsidRPr="00D66245" w:rsidRDefault="00B377B2" w:rsidP="00F53211">
      <w:pPr>
        <w:numPr>
          <w:ilvl w:val="0"/>
          <w:numId w:val="6"/>
        </w:numPr>
        <w:suppressAutoHyphens/>
        <w:autoSpaceDE w:val="0"/>
        <w:autoSpaceDN w:val="0"/>
        <w:adjustRightInd w:val="0"/>
        <w:spacing w:before="120" w:after="200" w:line="240" w:lineRule="auto"/>
        <w:jc w:val="both"/>
        <w:textAlignment w:val="center"/>
        <w:rPr>
          <w:rFonts w:ascii="Palatino Linotype" w:hAnsi="Palatino Linotype"/>
          <w:lang w:val="es-ES_tradnl"/>
        </w:rPr>
      </w:pPr>
      <w:r w:rsidRPr="00D66245">
        <w:rPr>
          <w:rFonts w:ascii="Palatino Linotype" w:hAnsi="Palatino Linotype"/>
          <w:lang w:val="es-ES_tradnl"/>
        </w:rPr>
        <w:t>También es un requisito motivar el recurso</w:t>
      </w:r>
      <w:r w:rsidRPr="00D66245">
        <w:rPr>
          <w:rStyle w:val="Refdenotaalpie"/>
          <w:rFonts w:ascii="Palatino Linotype" w:hAnsi="Palatino Linotype"/>
          <w:lang w:val="es-ES_tradnl"/>
        </w:rPr>
        <w:footnoteReference w:id="356"/>
      </w:r>
      <w:r w:rsidRPr="00D66245">
        <w:rPr>
          <w:rFonts w:ascii="Palatino Linotype" w:hAnsi="Palatino Linotype"/>
          <w:lang w:val="es-ES_tradnl"/>
        </w:rPr>
        <w:t>, sea escrito u oral.  Es decir indicar las razones  que ameritan la procedencia del mismo, es decir, exponer los agravios, sean estos por razones procesales, o bien por razones sustantivas (de hecho o de derecho), explicando concretamente en qué consiste su disconformidad contra la sentencia o el auto apelado, de lo contrario se rechazaría el recurso;</w:t>
      </w:r>
    </w:p>
    <w:p w14:paraId="4F516697" w14:textId="77777777" w:rsidR="00B377B2" w:rsidRPr="00D66245" w:rsidRDefault="00B377B2" w:rsidP="00F53211">
      <w:pPr>
        <w:numPr>
          <w:ilvl w:val="0"/>
          <w:numId w:val="6"/>
        </w:numPr>
        <w:suppressAutoHyphens/>
        <w:autoSpaceDE w:val="0"/>
        <w:autoSpaceDN w:val="0"/>
        <w:adjustRightInd w:val="0"/>
        <w:spacing w:before="120" w:after="200" w:line="240" w:lineRule="auto"/>
        <w:jc w:val="both"/>
        <w:textAlignment w:val="center"/>
        <w:rPr>
          <w:rFonts w:ascii="Palatino Linotype" w:hAnsi="Palatino Linotype"/>
          <w:lang w:val="es-ES_tradnl"/>
        </w:rPr>
      </w:pPr>
      <w:r w:rsidRPr="00D66245">
        <w:rPr>
          <w:rFonts w:ascii="Palatino Linotype" w:hAnsi="Palatino Linotype"/>
          <w:lang w:val="es-ES_tradnl"/>
        </w:rPr>
        <w:t>De igual modo deben ofrecer prueba al plantear el recurso o pronunciarse, la parte contraria, sobre el mismo</w:t>
      </w:r>
      <w:r w:rsidRPr="00D66245">
        <w:rPr>
          <w:rStyle w:val="Refdenotaalpie"/>
          <w:rFonts w:ascii="Palatino Linotype" w:hAnsi="Palatino Linotype"/>
          <w:lang w:val="es-ES_tradnl"/>
        </w:rPr>
        <w:footnoteReference w:id="357"/>
      </w:r>
      <w:r w:rsidRPr="00D66245">
        <w:rPr>
          <w:rFonts w:ascii="Palatino Linotype" w:hAnsi="Palatino Linotype"/>
          <w:lang w:val="es-ES_tradnl"/>
        </w:rPr>
        <w:t xml:space="preserve">.  </w:t>
      </w:r>
    </w:p>
    <w:p w14:paraId="00D994FD"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Dichos motivos le permitirán al Tribunal entrar a analizar específicamente los agravios planteados por las partes, porque perfectamente puede ocurrir que la disconformidad con el fallo de instancia se refiera solo a alguno de sus extremos y no a toda la sentencia.</w:t>
      </w:r>
    </w:p>
    <w:p w14:paraId="36355121"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 apelación, al igual que los otros recursos, requieren de ciertos presupuestos básicos. Usualmente son presupuestos generales, unos de carácter objetivo y otros de carácter subjetivo. Entre ellos se mencionan la legitimación y el interés de la parte recurrente, el agravio o perjuicio, el acto impugnable, la formalidad, el plazo, y la fundamentación o los motivos de la apelación.</w:t>
      </w:r>
    </w:p>
    <w:p w14:paraId="367620B4"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Ya hemos analizados los requisitos de interposición del recurso, el plazo y los motivos. Pero también es necesario abordar los otros presupuestos mencionados. El fundamento del recurso de apelación es la injusticia de la resolución que contiene el vicio (de carácter formal o sustancial), y por ello se requiere como presupuesto que exista un agravio o perjuicio, reflejada a través de una situación injusta que alega el recurrente.</w:t>
      </w:r>
      <w:r w:rsidRPr="00D66245">
        <w:rPr>
          <w:rFonts w:ascii="Palatino Linotype" w:hAnsi="Palatino Linotype"/>
          <w:vertAlign w:val="superscript"/>
          <w:lang w:val="es-ES_tradnl"/>
        </w:rPr>
        <w:footnoteReference w:id="358"/>
      </w:r>
    </w:p>
    <w:p w14:paraId="6CD163CB"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Este requisito está estrechamente vinculado con el interés para recurrir.  El interés se origina o resulta del gravamen causado por la decisión judicial</w:t>
      </w:r>
      <w:r w:rsidRPr="00D66245">
        <w:rPr>
          <w:rStyle w:val="Refdenotaalpie"/>
          <w:rFonts w:ascii="Palatino Linotype" w:hAnsi="Palatino Linotype"/>
          <w:lang w:val="es-ES_tradnl"/>
        </w:rPr>
        <w:footnoteReference w:id="359"/>
      </w:r>
      <w:r w:rsidRPr="00D66245">
        <w:rPr>
          <w:rFonts w:ascii="Palatino Linotype" w:hAnsi="Palatino Linotype"/>
          <w:lang w:val="es-ES_tradnl"/>
        </w:rPr>
        <w:t xml:space="preserve">. El mismo debe estar protegido en la Ley, y debe ser cierto y concreto, no hipotético. No puede ser un interés puramente académico, en pedir la opinión al Tribunal de alzada sobre determinado punto jurídico.  </w:t>
      </w:r>
    </w:p>
    <w:p w14:paraId="37EE4ABF" w14:textId="5E290050" w:rsidR="00B377B2"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Como se ha indicado, el recurso de apelación debe ser interpuesto ante el mismo Juzgado Agrario que dictó la resolución apelada. Solo si cumple todos los requisitos señalados anteriormente, en cuanto a su forma de interposición, plazo y motivación del mismo, es posible admitir el recurso de apelación.  Pero ello siempre y cuanto la ley le conceda dicho remedio a la resolución judicial impugnada, y se trata de un auto-sentencia o sentencia.  </w:t>
      </w:r>
    </w:p>
    <w:p w14:paraId="65FDDF24" w14:textId="57665F5D" w:rsidR="00D95FD2" w:rsidRDefault="00D95FD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p>
    <w:p w14:paraId="0D655339" w14:textId="03365C6C" w:rsidR="00D95FD2" w:rsidRDefault="00D95FD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p>
    <w:p w14:paraId="57843CE0" w14:textId="77777777" w:rsidR="00D95FD2" w:rsidRPr="00D66245" w:rsidRDefault="00D95FD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p>
    <w:p w14:paraId="701427EC" w14:textId="7C1577C9" w:rsidR="00D95FD2" w:rsidRPr="00D95FD2" w:rsidRDefault="00B377B2" w:rsidP="006229D5">
      <w:pPr>
        <w:pStyle w:val="Prrafodelista"/>
        <w:numPr>
          <w:ilvl w:val="1"/>
          <w:numId w:val="98"/>
        </w:numPr>
        <w:suppressAutoHyphens/>
        <w:autoSpaceDE w:val="0"/>
        <w:autoSpaceDN w:val="0"/>
        <w:adjustRightInd w:val="0"/>
        <w:spacing w:before="120" w:after="200" w:line="240" w:lineRule="auto"/>
        <w:jc w:val="both"/>
        <w:textAlignment w:val="center"/>
        <w:rPr>
          <w:rFonts w:ascii="Palatino Linotype" w:hAnsi="Palatino Linotype"/>
          <w:b/>
          <w:lang w:val="es-ES_tradnl"/>
        </w:rPr>
      </w:pPr>
      <w:r w:rsidRPr="00D95FD2">
        <w:rPr>
          <w:rFonts w:ascii="Palatino Linotype" w:hAnsi="Palatino Linotype"/>
          <w:b/>
          <w:lang w:val="es-ES_tradnl"/>
        </w:rPr>
        <w:t>Trámite en primera instancia.</w:t>
      </w:r>
    </w:p>
    <w:p w14:paraId="7422D0DA" w14:textId="2F404070" w:rsidR="00B377B2" w:rsidRPr="00D66245" w:rsidRDefault="00B377B2" w:rsidP="00D95FD2">
      <w:pPr>
        <w:suppressAutoHyphens/>
        <w:autoSpaceDE w:val="0"/>
        <w:autoSpaceDN w:val="0"/>
        <w:adjustRightInd w:val="0"/>
        <w:spacing w:before="120" w:after="200" w:line="240" w:lineRule="auto"/>
        <w:jc w:val="both"/>
        <w:textAlignment w:val="center"/>
        <w:rPr>
          <w:rFonts w:ascii="Palatino Linotype" w:hAnsi="Palatino Linotype"/>
          <w:lang w:val="es-ES_tradnl"/>
        </w:rPr>
      </w:pPr>
      <w:r w:rsidRPr="00D66245">
        <w:rPr>
          <w:rFonts w:ascii="Palatino Linotype" w:hAnsi="Palatino Linotype"/>
          <w:lang w:val="es-ES_tradnl"/>
        </w:rPr>
        <w:t>El Juzgado debe pronunciarse sobre la admisibilidad de la apelación, confiriendo audiencia a la parte contraria para rebatirlo; si es escrito debe dar traslado a la contraria por tres días, para que exprese sus agravios</w:t>
      </w:r>
      <w:r w:rsidRPr="00D66245">
        <w:rPr>
          <w:rStyle w:val="Refdenotaalpie"/>
          <w:rFonts w:ascii="Palatino Linotype" w:hAnsi="Palatino Linotype"/>
          <w:lang w:val="es-ES_tradnl"/>
        </w:rPr>
        <w:footnoteReference w:id="360"/>
      </w:r>
      <w:r w:rsidRPr="00D66245">
        <w:rPr>
          <w:rFonts w:ascii="Palatino Linotype" w:hAnsi="Palatino Linotype"/>
          <w:lang w:val="es-ES_tradnl"/>
        </w:rPr>
        <w:t>.</w:t>
      </w:r>
    </w:p>
    <w:p w14:paraId="76B31FE5"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Cuando penda algún acto procesal urgente, primero se cumple éste y luego se remite al superior; en caso de que ya penda ante el superior y sea requerido por el Juzgado, se remitirá una copia, digital o escrita, salvo que se pueda acceder por expediente electrónico.</w:t>
      </w:r>
    </w:p>
    <w:p w14:paraId="50DB9930" w14:textId="77777777" w:rsidR="00B377B2" w:rsidRPr="00D66245" w:rsidRDefault="00B377B2" w:rsidP="00295238">
      <w:pPr>
        <w:suppressAutoHyphens/>
        <w:autoSpaceDE w:val="0"/>
        <w:autoSpaceDN w:val="0"/>
        <w:adjustRightInd w:val="0"/>
        <w:spacing w:before="120" w:after="200" w:line="240" w:lineRule="auto"/>
        <w:jc w:val="both"/>
        <w:textAlignment w:val="center"/>
        <w:rPr>
          <w:rFonts w:ascii="Palatino Linotype" w:hAnsi="Palatino Linotype"/>
          <w:b/>
          <w:lang w:val="es-ES_tradnl"/>
        </w:rPr>
      </w:pPr>
      <w:r w:rsidRPr="00D66245">
        <w:rPr>
          <w:rFonts w:ascii="Palatino Linotype" w:hAnsi="Palatino Linotype"/>
          <w:b/>
          <w:lang w:val="es-ES_tradnl"/>
        </w:rPr>
        <w:t>7.3.- Autos apelables.-</w:t>
      </w:r>
    </w:p>
    <w:p w14:paraId="1390B02A"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Conforme al principio de taxatividad impugnaticia, se les concede recurso de apelación únicamente a los siguientes autos, al tenor de lo dispuesto en el artículo 203.</w:t>
      </w:r>
    </w:p>
    <w:p w14:paraId="30C2FA0D" w14:textId="77777777" w:rsidR="00B377B2" w:rsidRPr="00D66245" w:rsidRDefault="00B377B2" w:rsidP="00F53211">
      <w:pPr>
        <w:widowControl w:val="0"/>
        <w:autoSpaceDE w:val="0"/>
        <w:autoSpaceDN w:val="0"/>
        <w:adjustRightInd w:val="0"/>
        <w:spacing w:before="120" w:after="200" w:line="240" w:lineRule="auto"/>
        <w:ind w:left="851"/>
        <w:jc w:val="both"/>
        <w:rPr>
          <w:rFonts w:ascii="Palatino Linotype" w:eastAsia="Times New Roman" w:hAnsi="Palatino Linotype"/>
          <w:lang w:eastAsia="es-ES"/>
        </w:rPr>
      </w:pPr>
      <w:r w:rsidRPr="00D66245">
        <w:rPr>
          <w:rFonts w:ascii="Palatino Linotype" w:eastAsia="Times New Roman" w:hAnsi="Palatino Linotype"/>
          <w:lang w:eastAsia="es-ES"/>
        </w:rPr>
        <w:t xml:space="preserve">El recurso de apelación procederá solo contra los autos que: </w:t>
      </w:r>
    </w:p>
    <w:p w14:paraId="42FF8071" w14:textId="77777777" w:rsidR="00B377B2" w:rsidRPr="00D66245" w:rsidRDefault="00B377B2" w:rsidP="000E4E66">
      <w:pPr>
        <w:widowControl w:val="0"/>
        <w:autoSpaceDE w:val="0"/>
        <w:autoSpaceDN w:val="0"/>
        <w:adjustRightInd w:val="0"/>
        <w:spacing w:after="0" w:line="240" w:lineRule="auto"/>
        <w:ind w:left="851"/>
        <w:jc w:val="both"/>
        <w:rPr>
          <w:rFonts w:ascii="Palatino Linotype" w:eastAsia="Times New Roman" w:hAnsi="Palatino Linotype"/>
          <w:lang w:eastAsia="es-ES"/>
        </w:rPr>
      </w:pPr>
      <w:r w:rsidRPr="00D66245">
        <w:rPr>
          <w:rFonts w:ascii="Palatino Linotype" w:eastAsia="Times New Roman" w:hAnsi="Palatino Linotype"/>
          <w:lang w:eastAsia="es-ES"/>
        </w:rPr>
        <w:t>1) Denieguen el tipo de proceso elegido por la parte.</w:t>
      </w:r>
    </w:p>
    <w:p w14:paraId="5EEF3FF9" w14:textId="77777777" w:rsidR="00B377B2" w:rsidRPr="00D66245" w:rsidRDefault="00B377B2" w:rsidP="000E4E66">
      <w:pPr>
        <w:widowControl w:val="0"/>
        <w:autoSpaceDE w:val="0"/>
        <w:autoSpaceDN w:val="0"/>
        <w:adjustRightInd w:val="0"/>
        <w:spacing w:after="0" w:line="240" w:lineRule="auto"/>
        <w:ind w:left="851"/>
        <w:jc w:val="both"/>
        <w:rPr>
          <w:rFonts w:ascii="Palatino Linotype" w:eastAsia="Times New Roman" w:hAnsi="Palatino Linotype"/>
          <w:lang w:eastAsia="es-ES"/>
        </w:rPr>
      </w:pPr>
      <w:r w:rsidRPr="00D66245">
        <w:rPr>
          <w:rFonts w:ascii="Palatino Linotype" w:eastAsia="Times New Roman" w:hAnsi="Palatino Linotype"/>
          <w:lang w:eastAsia="es-ES"/>
        </w:rPr>
        <w:t>2) Declaren inadmisible la demanda o pongan fin al proceso, total o parcialmente, por cualquier causa.</w:t>
      </w:r>
    </w:p>
    <w:p w14:paraId="1B7613E4" w14:textId="77777777" w:rsidR="00B377B2" w:rsidRPr="00D66245" w:rsidRDefault="00B377B2" w:rsidP="000E4E66">
      <w:pPr>
        <w:widowControl w:val="0"/>
        <w:autoSpaceDE w:val="0"/>
        <w:autoSpaceDN w:val="0"/>
        <w:adjustRightInd w:val="0"/>
        <w:spacing w:after="0" w:line="240" w:lineRule="auto"/>
        <w:ind w:left="851"/>
        <w:jc w:val="both"/>
        <w:rPr>
          <w:rFonts w:ascii="Palatino Linotype" w:eastAsia="Times New Roman" w:hAnsi="Palatino Linotype"/>
          <w:lang w:eastAsia="es-ES"/>
        </w:rPr>
      </w:pPr>
      <w:r w:rsidRPr="00D66245">
        <w:rPr>
          <w:rFonts w:ascii="Palatino Linotype" w:eastAsia="Times New Roman" w:hAnsi="Palatino Linotype"/>
          <w:lang w:eastAsia="es-ES"/>
        </w:rPr>
        <w:t>3) Se pronuncien sobre una medida cautelar o tutelar.</w:t>
      </w:r>
    </w:p>
    <w:p w14:paraId="1BE5E2E7" w14:textId="77777777" w:rsidR="00B377B2" w:rsidRPr="00D66245" w:rsidRDefault="00B377B2" w:rsidP="000E4E66">
      <w:pPr>
        <w:widowControl w:val="0"/>
        <w:autoSpaceDE w:val="0"/>
        <w:autoSpaceDN w:val="0"/>
        <w:adjustRightInd w:val="0"/>
        <w:spacing w:after="0" w:line="240" w:lineRule="auto"/>
        <w:ind w:left="851"/>
        <w:jc w:val="both"/>
        <w:rPr>
          <w:rFonts w:ascii="Palatino Linotype" w:eastAsia="Times New Roman" w:hAnsi="Palatino Linotype"/>
          <w:lang w:eastAsia="es-ES"/>
        </w:rPr>
      </w:pPr>
      <w:r w:rsidRPr="00D66245">
        <w:rPr>
          <w:rFonts w:ascii="Palatino Linotype" w:eastAsia="Times New Roman" w:hAnsi="Palatino Linotype"/>
          <w:lang w:eastAsia="es-ES"/>
        </w:rPr>
        <w:t>4) Se admitan excepciones procesales.</w:t>
      </w:r>
    </w:p>
    <w:p w14:paraId="5D3E7FEC" w14:textId="77777777" w:rsidR="00B377B2" w:rsidRPr="00D66245" w:rsidRDefault="00B377B2" w:rsidP="000E4E66">
      <w:pPr>
        <w:widowControl w:val="0"/>
        <w:autoSpaceDE w:val="0"/>
        <w:autoSpaceDN w:val="0"/>
        <w:adjustRightInd w:val="0"/>
        <w:spacing w:after="0" w:line="240" w:lineRule="auto"/>
        <w:ind w:left="851"/>
        <w:jc w:val="both"/>
        <w:rPr>
          <w:rFonts w:ascii="Palatino Linotype" w:eastAsia="Times New Roman" w:hAnsi="Palatino Linotype"/>
          <w:lang w:eastAsia="es-ES"/>
        </w:rPr>
      </w:pPr>
      <w:r w:rsidRPr="00D66245">
        <w:rPr>
          <w:rFonts w:ascii="Palatino Linotype" w:eastAsia="Times New Roman" w:hAnsi="Palatino Linotype"/>
          <w:lang w:eastAsia="es-ES"/>
        </w:rPr>
        <w:t xml:space="preserve">5) De oficio declaren la incompetencia, ordenen la acumulación o desacumulación de pretensiones y procesos o la integración de la litis consorcio pasivo necesario. </w:t>
      </w:r>
    </w:p>
    <w:p w14:paraId="41BE6FEE" w14:textId="77777777" w:rsidR="00B377B2" w:rsidRPr="00D66245" w:rsidRDefault="00B377B2" w:rsidP="000E4E66">
      <w:pPr>
        <w:widowControl w:val="0"/>
        <w:autoSpaceDE w:val="0"/>
        <w:autoSpaceDN w:val="0"/>
        <w:adjustRightInd w:val="0"/>
        <w:spacing w:after="0" w:line="240" w:lineRule="auto"/>
        <w:ind w:left="851"/>
        <w:jc w:val="both"/>
        <w:rPr>
          <w:rFonts w:ascii="Palatino Linotype" w:eastAsia="Times New Roman" w:hAnsi="Palatino Linotype"/>
          <w:lang w:eastAsia="es-ES"/>
        </w:rPr>
      </w:pPr>
      <w:r w:rsidRPr="00D66245">
        <w:rPr>
          <w:rFonts w:ascii="Palatino Linotype" w:eastAsia="Times New Roman" w:hAnsi="Palatino Linotype"/>
          <w:lang w:eastAsia="es-ES"/>
        </w:rPr>
        <w:t>6) Emitan pronunciamiento sobre el fondo de una tercería o un proceso incidental, salvo si en este se deniega la nulidad.</w:t>
      </w:r>
    </w:p>
    <w:p w14:paraId="41D8C637" w14:textId="77777777" w:rsidR="00B377B2" w:rsidRPr="00D66245" w:rsidRDefault="00B377B2" w:rsidP="000E4E66">
      <w:pPr>
        <w:widowControl w:val="0"/>
        <w:autoSpaceDE w:val="0"/>
        <w:autoSpaceDN w:val="0"/>
        <w:adjustRightInd w:val="0"/>
        <w:spacing w:after="0" w:line="240" w:lineRule="auto"/>
        <w:ind w:left="851"/>
        <w:jc w:val="both"/>
        <w:rPr>
          <w:rFonts w:ascii="Palatino Linotype" w:eastAsia="Times New Roman" w:hAnsi="Palatino Linotype"/>
          <w:lang w:eastAsia="es-ES"/>
        </w:rPr>
      </w:pPr>
      <w:r w:rsidRPr="00D66245">
        <w:rPr>
          <w:rFonts w:ascii="Palatino Linotype" w:eastAsia="Times New Roman" w:hAnsi="Palatino Linotype"/>
          <w:lang w:eastAsia="es-ES"/>
        </w:rPr>
        <w:t xml:space="preserve">7) Aprueben o imprueben la liquidación de intereses o la tasación de costas. </w:t>
      </w:r>
    </w:p>
    <w:p w14:paraId="34391422" w14:textId="77777777" w:rsidR="00B377B2" w:rsidRPr="00D66245" w:rsidRDefault="00B377B2" w:rsidP="000E4E66">
      <w:pPr>
        <w:widowControl w:val="0"/>
        <w:autoSpaceDE w:val="0"/>
        <w:autoSpaceDN w:val="0"/>
        <w:adjustRightInd w:val="0"/>
        <w:spacing w:after="0" w:line="240" w:lineRule="auto"/>
        <w:ind w:left="851"/>
        <w:jc w:val="both"/>
        <w:rPr>
          <w:rFonts w:ascii="Palatino Linotype" w:eastAsia="Times New Roman" w:hAnsi="Palatino Linotype"/>
          <w:lang w:eastAsia="es-ES"/>
        </w:rPr>
      </w:pPr>
      <w:r w:rsidRPr="00D66245">
        <w:rPr>
          <w:rFonts w:ascii="Palatino Linotype" w:eastAsia="Times New Roman" w:hAnsi="Palatino Linotype"/>
          <w:lang w:eastAsia="es-ES"/>
        </w:rPr>
        <w:t>8) Ordenen o denieguen el embargo y su levantamiento.</w:t>
      </w:r>
    </w:p>
    <w:p w14:paraId="0CC62243" w14:textId="77777777" w:rsidR="00B377B2" w:rsidRPr="00D66245" w:rsidRDefault="00B377B2" w:rsidP="000E4E66">
      <w:pPr>
        <w:widowControl w:val="0"/>
        <w:autoSpaceDE w:val="0"/>
        <w:autoSpaceDN w:val="0"/>
        <w:adjustRightInd w:val="0"/>
        <w:spacing w:after="0" w:line="240" w:lineRule="auto"/>
        <w:ind w:left="851"/>
        <w:jc w:val="both"/>
        <w:rPr>
          <w:rFonts w:ascii="Palatino Linotype" w:eastAsia="Times New Roman" w:hAnsi="Palatino Linotype"/>
          <w:lang w:eastAsia="es-ES"/>
        </w:rPr>
      </w:pPr>
      <w:r w:rsidRPr="00D66245">
        <w:rPr>
          <w:rFonts w:ascii="Palatino Linotype" w:eastAsia="Times New Roman" w:hAnsi="Palatino Linotype"/>
          <w:lang w:eastAsia="es-ES"/>
        </w:rPr>
        <w:t>9) Ordenen o aprueben el remate de un bien y resuelvan sobre la liquidación del producto de este.</w:t>
      </w:r>
    </w:p>
    <w:p w14:paraId="281D29E0" w14:textId="77777777" w:rsidR="00B377B2" w:rsidRPr="00D66245" w:rsidRDefault="00B377B2" w:rsidP="000E4E66">
      <w:pPr>
        <w:widowControl w:val="0"/>
        <w:autoSpaceDE w:val="0"/>
        <w:autoSpaceDN w:val="0"/>
        <w:adjustRightInd w:val="0"/>
        <w:spacing w:after="0" w:line="240" w:lineRule="auto"/>
        <w:ind w:left="851"/>
        <w:jc w:val="both"/>
        <w:rPr>
          <w:rFonts w:ascii="Palatino Linotype" w:eastAsia="Times New Roman" w:hAnsi="Palatino Linotype"/>
          <w:lang w:eastAsia="es-ES"/>
        </w:rPr>
      </w:pPr>
      <w:r w:rsidRPr="00D66245">
        <w:rPr>
          <w:rFonts w:ascii="Palatino Linotype" w:eastAsia="Times New Roman" w:hAnsi="Palatino Linotype"/>
          <w:lang w:eastAsia="es-ES"/>
        </w:rPr>
        <w:t xml:space="preserve">10) Lo disponga expresamente la ley. </w:t>
      </w:r>
    </w:p>
    <w:p w14:paraId="01DC3F6F" w14:textId="77777777" w:rsidR="00B377B2" w:rsidRPr="00D66245" w:rsidRDefault="00B377B2" w:rsidP="00F53211">
      <w:pPr>
        <w:spacing w:before="120" w:after="200" w:line="240" w:lineRule="auto"/>
        <w:ind w:left="851" w:right="49"/>
        <w:jc w:val="both"/>
        <w:rPr>
          <w:rFonts w:ascii="Palatino Linotype" w:hAnsi="Palatino Linotype"/>
          <w:iCs/>
        </w:rPr>
      </w:pPr>
      <w:r w:rsidRPr="00D66245">
        <w:rPr>
          <w:rFonts w:ascii="Palatino Linotype" w:hAnsi="Palatino Linotype"/>
          <w:iCs/>
        </w:rPr>
        <w:t xml:space="preserve">Serán también apelables los autos que tengan ese recurso en los procesos sucesorios, los de administración y reorganización con intervención judicial, conforme a la normativa procesal civil. De igual forma, serán apelables las resoluciones que tengan ese recurso según legislación especial. </w:t>
      </w:r>
    </w:p>
    <w:p w14:paraId="797A3C9E"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Como se observa, el principio de taxatividad impugnaticia limita el recurso de apelación, concediéndola únicamente contra cierto tipo de resoluciones.  El Juzgador y los auxiliares judiciales deben conocer muy bien este principio y saber en qué casos procede o no el recurso de apelación.</w:t>
      </w:r>
    </w:p>
    <w:p w14:paraId="61747B8D"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Ello es muy importante, porque si la resolución recurrida no tiene apelación, lo que procede es denegar el recurso por improcedente, como en el caso de autos o providencias</w:t>
      </w:r>
      <w:r w:rsidRPr="00D66245">
        <w:rPr>
          <w:rFonts w:ascii="Palatino Linotype" w:hAnsi="Palatino Linotype"/>
          <w:vertAlign w:val="superscript"/>
          <w:lang w:val="es-ES_tradnl"/>
        </w:rPr>
        <w:footnoteReference w:id="361"/>
      </w:r>
      <w:r w:rsidRPr="00D66245">
        <w:rPr>
          <w:rFonts w:ascii="Palatino Linotype" w:hAnsi="Palatino Linotype"/>
          <w:lang w:val="es-ES_tradnl"/>
        </w:rPr>
        <w:t>.  De lo contrario, la mala práctica de admitir recursos de apelación contra resoluciones que no proceden, por ignorancia del despacho, o por descuido del juzgador, conlleva no solo a una pérdida de tiempo, sino que va en detrimento de la economía y la celeridad procesal que rige la materia</w:t>
      </w:r>
      <w:r w:rsidRPr="00D66245">
        <w:rPr>
          <w:rFonts w:ascii="Palatino Linotype" w:hAnsi="Palatino Linotype"/>
          <w:vertAlign w:val="superscript"/>
          <w:lang w:val="es-ES_tradnl"/>
        </w:rPr>
        <w:footnoteReference w:id="362"/>
      </w:r>
      <w:r w:rsidRPr="00D66245">
        <w:rPr>
          <w:rFonts w:ascii="Palatino Linotype" w:hAnsi="Palatino Linotype"/>
          <w:lang w:val="es-ES_tradnl"/>
        </w:rPr>
        <w:t>.</w:t>
      </w:r>
    </w:p>
    <w:p w14:paraId="4CB4AE42"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En muchas ocasiones el Tribunal agrario declara mal admitida la apelación, justamente porque los juzgados agrarios no advierten esa circunstancia, lo cual conlleva incluso un perjuicio para las mismas partes litigantes. Por eso la Jurisprudencia también ha indicado que en estos casos el Juzgado asume la responsabilidad sobre las resoluciones que dicta, pues la Ley no les concede a algunas el recurso de apelación.</w:t>
      </w:r>
    </w:p>
    <w:p w14:paraId="4A8DF23E" w14:textId="5C160DAA"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rPr>
      </w:pPr>
      <w:r w:rsidRPr="00D66245">
        <w:rPr>
          <w:rFonts w:ascii="Palatino Linotype" w:hAnsi="Palatino Linotype"/>
          <w:lang w:val="es-ES_tradnl"/>
        </w:rPr>
        <w:t>Si cualquiera de las partes interpone el recurso de apelación, y el mismo es admisible, cumple tanto los requisitos de forma y contenido, y además la Ley concede el recurso, el Juzgado debe dictar un auto admitiendo la apelación ante el Tribunal Agrario (situado en el II Circuito Judicial, en Goicoechea, San José).</w:t>
      </w:r>
    </w:p>
    <w:p w14:paraId="42930D50" w14:textId="7E665C9F" w:rsidR="00B377B2" w:rsidRPr="00D66245" w:rsidRDefault="00B377B2" w:rsidP="000E4E66">
      <w:pPr>
        <w:suppressAutoHyphens/>
        <w:autoSpaceDE w:val="0"/>
        <w:autoSpaceDN w:val="0"/>
        <w:adjustRightInd w:val="0"/>
        <w:spacing w:before="120" w:after="200" w:line="240" w:lineRule="auto"/>
        <w:jc w:val="both"/>
        <w:textAlignment w:val="center"/>
        <w:rPr>
          <w:rFonts w:ascii="Palatino Linotype" w:hAnsi="Palatino Linotype"/>
          <w:b/>
          <w:lang w:val="es-ES_tradnl"/>
        </w:rPr>
      </w:pPr>
      <w:r w:rsidRPr="00D66245">
        <w:rPr>
          <w:rFonts w:ascii="Palatino Linotype" w:hAnsi="Palatino Linotype"/>
          <w:b/>
          <w:lang w:val="es-ES_tradnl"/>
        </w:rPr>
        <w:t>7.4.- Apelación diferida</w:t>
      </w:r>
      <w:r w:rsidRPr="00D66245">
        <w:rPr>
          <w:rStyle w:val="Refdenotaalpie"/>
          <w:rFonts w:ascii="Palatino Linotype" w:hAnsi="Palatino Linotype"/>
          <w:b/>
          <w:lang w:val="es-ES_tradnl"/>
        </w:rPr>
        <w:footnoteReference w:id="363"/>
      </w:r>
      <w:r w:rsidRPr="00D66245">
        <w:rPr>
          <w:rFonts w:ascii="Palatino Linotype" w:hAnsi="Palatino Linotype"/>
          <w:b/>
          <w:lang w:val="es-ES_tradnl"/>
        </w:rPr>
        <w:t>.</w:t>
      </w:r>
    </w:p>
    <w:p w14:paraId="1E729945"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Este recurso procede cuando en la audiencia de juicio se dicta una resolución, y se formula recurso de apelación. En caso de que la misma sea admisible, y no ponga fin al proceso, y solo tiene efecto devolutivo, lo procedente es tener por interpuesta la apelación en forma “</w:t>
      </w:r>
      <w:r w:rsidRPr="00D66245">
        <w:rPr>
          <w:rFonts w:ascii="Palatino Linotype" w:hAnsi="Palatino Linotype"/>
          <w:i/>
          <w:lang w:val="es-ES_tradnl"/>
        </w:rPr>
        <w:t>diferida</w:t>
      </w:r>
      <w:r w:rsidRPr="00D66245">
        <w:rPr>
          <w:rFonts w:ascii="Palatino Linotype" w:hAnsi="Palatino Linotype"/>
          <w:lang w:val="es-ES_tradnl"/>
        </w:rPr>
        <w:t>”, sin suspender el procedimiento</w:t>
      </w:r>
      <w:r w:rsidRPr="00D66245">
        <w:rPr>
          <w:rStyle w:val="Refdenotaalpie"/>
          <w:rFonts w:ascii="Palatino Linotype" w:hAnsi="Palatino Linotype"/>
          <w:lang w:val="es-ES_tradnl"/>
        </w:rPr>
        <w:footnoteReference w:id="364"/>
      </w:r>
      <w:r w:rsidRPr="00D66245">
        <w:rPr>
          <w:rFonts w:ascii="Palatino Linotype" w:hAnsi="Palatino Linotype"/>
          <w:lang w:val="es-ES_tradnl"/>
        </w:rPr>
        <w:t>.</w:t>
      </w:r>
    </w:p>
    <w:p w14:paraId="2D6EB26D"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En ese caso el recurso queda condicionado a la impugnación de la sentencia, por parte de quien recurrió en forma diferida, reiterando la apelación y lo objetado tenga trascendencia en el fallo. Entonces, la apelación diferida se resolverá con el de fondo.</w:t>
      </w:r>
      <w:r w:rsidRPr="00D66245">
        <w:rPr>
          <w:rStyle w:val="Refdenotaalpie"/>
          <w:rFonts w:ascii="Palatino Linotype" w:hAnsi="Palatino Linotype"/>
          <w:lang w:val="es-ES_tradnl"/>
        </w:rPr>
        <w:footnoteReference w:id="365"/>
      </w:r>
    </w:p>
    <w:p w14:paraId="0ABFC895"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Sino apeló el fallo, por haber resultado victorioso, su recurso diferido debe ser considerado en caso de que su objeción recobre interés.</w:t>
      </w:r>
    </w:p>
    <w:p w14:paraId="7A7EAC74"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b/>
          <w:lang w:val="es-ES_tradnl"/>
        </w:rPr>
      </w:pPr>
      <w:r w:rsidRPr="00D66245">
        <w:rPr>
          <w:rFonts w:ascii="Palatino Linotype" w:hAnsi="Palatino Linotype"/>
          <w:b/>
          <w:lang w:val="es-ES_tradnl"/>
        </w:rPr>
        <w:t>7.5.- Efectos de la apelación.-</w:t>
      </w:r>
    </w:p>
    <w:p w14:paraId="68AAE469"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Al admitirse el recurso de apelación contra la sentencia y los autos que ponen fin al proceso, será con efectos suspensivos, salvo disposición en contrario.</w:t>
      </w:r>
    </w:p>
    <w:p w14:paraId="7F097D29"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En todo caso, el Juzgado conserva la competencia, en supuestos de apelación respecto de asuntos en legajo separado, medidas cautelares, tutelares y para la ejecución provisional.</w:t>
      </w:r>
      <w:r w:rsidRPr="00D66245">
        <w:rPr>
          <w:rStyle w:val="Refdenotaalpie"/>
          <w:rFonts w:ascii="Palatino Linotype" w:hAnsi="Palatino Linotype"/>
          <w:lang w:val="es-ES_tradnl"/>
        </w:rPr>
        <w:footnoteReference w:id="366"/>
      </w:r>
    </w:p>
    <w:p w14:paraId="2A13991D"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Sin embargo, debe de tomarse en cuenta que éste efecto se produce en aquellos casos distintos al instituto de la apelación “diferida”, cuya eficacia se posterga hasta el momento de la interposición del recurso contra la sentencia definitiva.</w:t>
      </w:r>
      <w:r w:rsidRPr="00D66245">
        <w:rPr>
          <w:rStyle w:val="Refdenotaalpie"/>
          <w:rFonts w:ascii="Palatino Linotype" w:hAnsi="Palatino Linotype"/>
          <w:lang w:val="es-ES_tradnl"/>
        </w:rPr>
        <w:footnoteReference w:id="367"/>
      </w:r>
    </w:p>
    <w:p w14:paraId="2333212C" w14:textId="77777777" w:rsidR="00B377B2" w:rsidRPr="00D66245" w:rsidRDefault="00B377B2" w:rsidP="00295238">
      <w:pPr>
        <w:suppressAutoHyphens/>
        <w:autoSpaceDE w:val="0"/>
        <w:autoSpaceDN w:val="0"/>
        <w:adjustRightInd w:val="0"/>
        <w:spacing w:before="120" w:after="200" w:line="240" w:lineRule="auto"/>
        <w:jc w:val="both"/>
        <w:textAlignment w:val="center"/>
        <w:rPr>
          <w:rFonts w:ascii="Palatino Linotype" w:hAnsi="Palatino Linotype"/>
          <w:b/>
          <w:lang w:val="es-ES_tradnl"/>
        </w:rPr>
      </w:pPr>
      <w:r w:rsidRPr="00D66245">
        <w:rPr>
          <w:rFonts w:ascii="Palatino Linotype" w:hAnsi="Palatino Linotype"/>
          <w:b/>
          <w:lang w:val="es-ES_tradnl"/>
        </w:rPr>
        <w:t>7.6.- Trámite en segunda instancia, prueba y audiencia.-</w:t>
      </w:r>
    </w:p>
    <w:p w14:paraId="7B8C6BAC"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Una vez admitida la apelación, las partes pueden pedir dentro de tercero día, ante el Tribunal agrario, una audiencia oral, donde expresarán sus argumentos sobre el recurso. En este caso el Tribunal dispondrá si dicta o no la sentencia de fondo. De lo contrario dictará la sentencia en 22 días.</w:t>
      </w:r>
      <w:r w:rsidRPr="00D66245">
        <w:rPr>
          <w:rStyle w:val="Refdenotaalpie"/>
          <w:rFonts w:ascii="Palatino Linotype" w:hAnsi="Palatino Linotype"/>
          <w:lang w:val="es-ES_tradnl"/>
        </w:rPr>
        <w:footnoteReference w:id="368"/>
      </w:r>
    </w:p>
    <w:p w14:paraId="550BABC1"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Si se admite u ordena prueba, se pone en conocimiento por tres días, salvo que se evacúe en audiencia, siendo ese el momento propicio para referirse a ella. Concluida la misma, se dictará la resolución final en forma inmediata, o en los 22 días siguientes. Dicho plazo corre a partir del recibo del expediente por quien tenga a cargo su redacción.</w:t>
      </w:r>
    </w:p>
    <w:p w14:paraId="3BC8F822"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 no comparecencia de las partes a la audiencia, no será motivo para no practicar la prueba ordenada, caso en el cual se incorporará y emitirá la sentencia, salvo que se presente solo una parte, en ese caso se hará la audiencia con la que concurra y se escucharán sus conclusiones, y se prescindirá de la prueba que no se haya podido practicar.</w:t>
      </w:r>
      <w:r w:rsidRPr="00D66245">
        <w:rPr>
          <w:rStyle w:val="Refdenotaalpie"/>
          <w:rFonts w:ascii="Palatino Linotype" w:hAnsi="Palatino Linotype"/>
          <w:lang w:val="es-ES_tradnl"/>
        </w:rPr>
        <w:footnoteReference w:id="369"/>
      </w:r>
    </w:p>
    <w:p w14:paraId="27E41535" w14:textId="6200E621"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Como se observa, lo primero que debe revisarse en segunda instancia son los vicios in procedendo (de procedimiento), máxime si la parte lo ha invocado como motivo de nulidad de la sentencia.  En ese caso, la nulidad es de carácter excepcional y el Tribunal solo debe decretarla cuando se ha producido efectiva indefensión a las partes, o se ha omitido alguna etapa esencial del procedimiento. No es posible decretar la nulidad por la nulidad misma, y si el Tribunal Agrario observa que el defecto puede subsanarse en segunda instancia, puede ordenarlo. Si el Tribunal declara la nulidad, de la sentencia, o de los procedimientos, debe ordenar inmediatamente el reenvío del expediente. En este caso, si fuere necesario repetir la audiencia, se realizará por el mismo Tribunal que dictó el pronunciamiento pero con integración distinta.</w:t>
      </w:r>
      <w:r w:rsidRPr="00D66245">
        <w:rPr>
          <w:rStyle w:val="Refdenotaalpie"/>
          <w:rFonts w:ascii="Palatino Linotype" w:hAnsi="Palatino Linotype"/>
          <w:lang w:val="es-ES_tradnl"/>
        </w:rPr>
        <w:footnoteReference w:id="370"/>
      </w:r>
    </w:p>
    <w:p w14:paraId="740E5875"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En el caso de que no existan defectos en el procedimiento, que deban corregirse, el Tribunal Agrario debe proceder a dictar la sentencia dentro de los 22 días siguientes a aquél en que el Juez recibe el expediente.</w:t>
      </w:r>
    </w:p>
    <w:p w14:paraId="65648846" w14:textId="77777777" w:rsidR="00B377B2" w:rsidRPr="00D66245" w:rsidRDefault="00B377B2" w:rsidP="00F53211">
      <w:pPr>
        <w:spacing w:before="120" w:after="200" w:line="240" w:lineRule="auto"/>
        <w:ind w:firstLine="360"/>
        <w:jc w:val="both"/>
        <w:rPr>
          <w:rFonts w:ascii="Palatino Linotype" w:eastAsia="Times New Roman" w:hAnsi="Palatino Linotype"/>
        </w:rPr>
      </w:pPr>
      <w:r w:rsidRPr="00D66245">
        <w:rPr>
          <w:rFonts w:ascii="Palatino Linotype" w:eastAsia="Times New Roman" w:hAnsi="Palatino Linotype"/>
        </w:rPr>
        <w:t>Sentencia oral, transcripción y caducidad del voto separado: Algo que sorprende es que la facultad del voto separado caduca (artículo 77.5), entonces uno se preguntaría, cómo es que caduca si, por regla general “</w:t>
      </w:r>
      <w:r w:rsidRPr="00D66245">
        <w:rPr>
          <w:rFonts w:ascii="Palatino Linotype" w:eastAsia="Times New Roman" w:hAnsi="Palatino Linotype"/>
          <w:i/>
        </w:rPr>
        <w:t>La sentencia se emitirá oralmente después de la exposición de conclusiones o en su caso de la deliberación”</w:t>
      </w:r>
      <w:r w:rsidRPr="00D66245">
        <w:rPr>
          <w:rFonts w:ascii="Palatino Linotype" w:eastAsia="Times New Roman" w:hAnsi="Palatino Linotype"/>
        </w:rPr>
        <w:t xml:space="preserve"> (artículo 79). Sin embargo se dejan dos márgenes: a) Por razones de seguridad e integridad del Tribunal, se puede prorrogar por 5 días el plazo; b) En supuestos de “excepcional complejidad” se puede prorrogar hasta por 22 días. Y si las partes lo solicita o el Tribunal lo dispone “la sentencia deberá transcribirse”.</w:t>
      </w:r>
    </w:p>
    <w:p w14:paraId="5CCCC45D"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b/>
          <w:lang w:val="es-ES_tradnl"/>
        </w:rPr>
      </w:pPr>
      <w:r w:rsidRPr="00D66245">
        <w:rPr>
          <w:rFonts w:ascii="Palatino Linotype" w:hAnsi="Palatino Linotype"/>
          <w:i/>
        </w:rPr>
        <w:t>¿Qué pasa si no se dicta la sentencia en el tiempo señalado?</w:t>
      </w:r>
      <w:r w:rsidRPr="00D66245">
        <w:rPr>
          <w:rFonts w:ascii="Palatino Linotype" w:hAnsi="Palatino Linotype"/>
        </w:rPr>
        <w:t xml:space="preserve"> El Código ordena comunicar al órgano disciplinario respectivo “para lo que corresponda”. Lo cual no deja de ser preocupante, pues sabemos que el problema de la mora judicial es recurrente. Además quién lo comunica?, el mismo juez que incurrió en Mora judicial?</w:t>
      </w:r>
    </w:p>
    <w:p w14:paraId="369602F2"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b/>
          <w:lang w:val="es-ES_tradnl"/>
        </w:rPr>
      </w:pPr>
      <w:r w:rsidRPr="00D66245">
        <w:rPr>
          <w:rFonts w:ascii="Palatino Linotype" w:hAnsi="Palatino Linotype"/>
          <w:b/>
          <w:lang w:val="es-ES_tradnl"/>
        </w:rPr>
        <w:t>7.7.- Apelación por inadmisión.-</w:t>
      </w:r>
      <w:r w:rsidRPr="00D66245">
        <w:rPr>
          <w:rStyle w:val="Refdenotaalpie"/>
          <w:rFonts w:ascii="Palatino Linotype" w:hAnsi="Palatino Linotype"/>
          <w:b/>
          <w:lang w:val="es-ES_tradnl"/>
        </w:rPr>
        <w:footnoteReference w:id="371"/>
      </w:r>
    </w:p>
    <w:p w14:paraId="33FBCB9E"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Este recurso es extraordinario, y procede cuando se deniega un recurso de apelación –no diferido.- Debe presentarse en tercero día, ante el mismo Juzgado, indicando con claridad la resolución originalmente apelada, el auto que la denegó y las razones por las cuales estima es ilegal su rechazo.</w:t>
      </w:r>
    </w:p>
    <w:p w14:paraId="5DBF2DBC"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El Juzgado tramita el legajo físico o digital, con la información necesaria para su resolución, y dentro de tres días debe comunicarlo al Superior, preferiblemente en forma electrónica. </w:t>
      </w:r>
    </w:p>
    <w:p w14:paraId="0A4A6E20"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Su interposición no suspende el curso del procedimiento, salvo que el Tribunal disponga lo contrario, dentro de tres días de haber recibido el mismo.</w:t>
      </w:r>
    </w:p>
    <w:p w14:paraId="646F7985"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Si fuere improcedente, se confirma el auto denegatorio, y se devuelve el legajo al principal. Si es procedente, se revoca el auto denegatorio, admite la apelación y pide el expediente al Juzgado.</w:t>
      </w:r>
    </w:p>
    <w:p w14:paraId="2395D07D" w14:textId="77777777" w:rsidR="00B377B2" w:rsidRPr="00D66245" w:rsidRDefault="00B377B2" w:rsidP="00295238">
      <w:pPr>
        <w:suppressAutoHyphens/>
        <w:autoSpaceDE w:val="0"/>
        <w:autoSpaceDN w:val="0"/>
        <w:adjustRightInd w:val="0"/>
        <w:spacing w:before="120" w:after="200" w:line="240" w:lineRule="auto"/>
        <w:jc w:val="both"/>
        <w:textAlignment w:val="center"/>
        <w:rPr>
          <w:rFonts w:ascii="Palatino Linotype" w:hAnsi="Palatino Linotype"/>
          <w:b/>
          <w:lang w:val="es-ES_tradnl"/>
        </w:rPr>
      </w:pPr>
      <w:r w:rsidRPr="00D66245">
        <w:rPr>
          <w:rFonts w:ascii="Palatino Linotype" w:hAnsi="Palatino Linotype"/>
          <w:b/>
          <w:lang w:val="es-ES_tradnl"/>
        </w:rPr>
        <w:t>8.- Conclusiones.-</w:t>
      </w:r>
    </w:p>
    <w:p w14:paraId="456C17D6"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El nuevo Código Procesal Agrario, contiene un régimen de resoluciones un poco diverso al proceso anterior, dado que únicamente contempla como resoluciones las providencias, los autos y las sentencias. Lo anterior significa una variación, a su vez, en el régimen de las impugnaciones.</w:t>
      </w:r>
    </w:p>
    <w:p w14:paraId="5EDB5112"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Pese a que se mantiene el principio de taxatividad impugnaticia, es claro que ahora se excluye expresamente cualquier recurso contra las providencias. Respecto de los autos, el mismo es procedente, en tercero día, y puede plantearse también verbalmente en la audiencia oral. En cualquier caso se requiere la motivación o sustentación del recurso.</w:t>
      </w:r>
    </w:p>
    <w:p w14:paraId="1EC201B3"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 Ley establece una lista de autos apelables, lo que limita el régimen impugnaticio. Además, se observa la tendencia a garantizar la continuidad del procedimiento, mediante el tipo de la apelación diferida.</w:t>
      </w:r>
    </w:p>
    <w:p w14:paraId="13C7E18F"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Las técnicas de la apelación no cambian, en cuanto la Ley igualmente exige la expresión de las razones de forma y fondo por los cuales se recurre la resolución respectiva. Sin embargo, lógicamente, se requieren muchas destrezas orales cuando el recurso de apelación se formula oralmente –renunciando al plazo legal-, y cuando se debe sostener también en forma oral ante el superior. Por otra parte, se mantiene la posibilidad de ofrecer y evacuar prueba en segunda instancia.</w:t>
      </w:r>
    </w:p>
    <w:p w14:paraId="7624E0E5" w14:textId="77777777" w:rsidR="00B377B2" w:rsidRPr="00D66245"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 xml:space="preserve">Para evitar que se produzcan arbitrariedades, se mantiene el recurso de apelación por inadmisión.- </w:t>
      </w:r>
    </w:p>
    <w:p w14:paraId="7FD4A900" w14:textId="5EA15CB1" w:rsidR="00B377B2" w:rsidRDefault="00B377B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r w:rsidRPr="00D66245">
        <w:rPr>
          <w:rFonts w:ascii="Palatino Linotype" w:hAnsi="Palatino Linotype"/>
          <w:lang w:val="es-ES_tradnl"/>
        </w:rPr>
        <w:t>Los plazos, hay que decirlo, se hacen más razonables para el dictado de las sentencias de fondo, pero son peligrosos si se mantiene el problema de la mora judicial, pues el retardo injustificado, o aún justificado, podría provocar responsabilidad para la judicatura.</w:t>
      </w:r>
    </w:p>
    <w:p w14:paraId="6F6DEA1C" w14:textId="66BB1F05" w:rsidR="00D95FD2" w:rsidRDefault="00D95FD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p>
    <w:p w14:paraId="33A1DD8E" w14:textId="77777777" w:rsidR="00D95FD2" w:rsidRPr="00D66245" w:rsidRDefault="00D95FD2" w:rsidP="00F53211">
      <w:pPr>
        <w:suppressAutoHyphens/>
        <w:autoSpaceDE w:val="0"/>
        <w:autoSpaceDN w:val="0"/>
        <w:adjustRightInd w:val="0"/>
        <w:spacing w:before="120" w:after="200" w:line="240" w:lineRule="auto"/>
        <w:ind w:firstLine="360"/>
        <w:jc w:val="both"/>
        <w:textAlignment w:val="center"/>
        <w:rPr>
          <w:rFonts w:ascii="Palatino Linotype" w:hAnsi="Palatino Linotype"/>
          <w:lang w:val="es-ES_tradnl"/>
        </w:rPr>
      </w:pPr>
    </w:p>
    <w:p w14:paraId="4F5AF25E" w14:textId="77777777" w:rsidR="00B377B2" w:rsidRPr="00D66245" w:rsidRDefault="00B377B2" w:rsidP="00295238">
      <w:pPr>
        <w:spacing w:before="120" w:after="200" w:line="240" w:lineRule="auto"/>
        <w:jc w:val="center"/>
        <w:rPr>
          <w:rFonts w:ascii="Palatino Linotype" w:hAnsi="Palatino Linotype"/>
          <w:b/>
        </w:rPr>
      </w:pPr>
      <w:r w:rsidRPr="00D66245">
        <w:rPr>
          <w:rFonts w:ascii="Palatino Linotype" w:hAnsi="Palatino Linotype"/>
          <w:b/>
        </w:rPr>
        <w:t>Bibliografía.</w:t>
      </w:r>
    </w:p>
    <w:p w14:paraId="6F10CD9F" w14:textId="77777777" w:rsidR="00B377B2" w:rsidRPr="00D66245" w:rsidRDefault="00B377B2" w:rsidP="00F53211">
      <w:pPr>
        <w:pStyle w:val="Textonotapie"/>
        <w:spacing w:before="120" w:after="200"/>
        <w:jc w:val="both"/>
        <w:rPr>
          <w:rFonts w:ascii="Palatino Linotype" w:hAnsi="Palatino Linotype"/>
          <w:sz w:val="22"/>
          <w:szCs w:val="22"/>
        </w:rPr>
      </w:pPr>
      <w:r w:rsidRPr="00D66245">
        <w:rPr>
          <w:rFonts w:ascii="Palatino Linotype" w:hAnsi="Palatino Linotype"/>
          <w:sz w:val="22"/>
          <w:szCs w:val="22"/>
        </w:rPr>
        <w:t xml:space="preserve">ARTAVIA B., Sergio. “La apelación diferida en el Proceso Civil Costarricense”. En: </w:t>
      </w:r>
      <w:r w:rsidRPr="00D66245">
        <w:rPr>
          <w:rFonts w:ascii="Palatino Linotype" w:hAnsi="Palatino Linotype"/>
          <w:i/>
          <w:sz w:val="22"/>
          <w:szCs w:val="22"/>
        </w:rPr>
        <w:t>El recurso de casación</w:t>
      </w:r>
      <w:r w:rsidRPr="00D66245">
        <w:rPr>
          <w:rFonts w:ascii="Palatino Linotype" w:hAnsi="Palatino Linotype"/>
          <w:sz w:val="22"/>
          <w:szCs w:val="22"/>
        </w:rPr>
        <w:t xml:space="preserve">. Instituto Costarricense de Derecho Procesal Científico, IIJ, 2014, p.355-381; </w:t>
      </w:r>
    </w:p>
    <w:p w14:paraId="7C603DA1" w14:textId="77777777" w:rsidR="00B377B2" w:rsidRPr="00D66245" w:rsidRDefault="00B377B2" w:rsidP="00F53211">
      <w:pPr>
        <w:pStyle w:val="Textonotapie"/>
        <w:spacing w:before="120" w:after="200"/>
        <w:jc w:val="both"/>
        <w:rPr>
          <w:rFonts w:ascii="Palatino Linotype" w:hAnsi="Palatino Linotype"/>
          <w:sz w:val="22"/>
          <w:szCs w:val="22"/>
        </w:rPr>
      </w:pPr>
      <w:r w:rsidRPr="00D66245">
        <w:rPr>
          <w:rFonts w:ascii="Palatino Linotype" w:hAnsi="Palatino Linotype"/>
          <w:sz w:val="22"/>
          <w:szCs w:val="22"/>
        </w:rPr>
        <w:t xml:space="preserve">ASAMBLEA LEGISLATIVA. </w:t>
      </w:r>
      <w:r w:rsidRPr="00D66245">
        <w:rPr>
          <w:rFonts w:ascii="Palatino Linotype" w:hAnsi="Palatino Linotype"/>
          <w:i/>
          <w:sz w:val="22"/>
          <w:szCs w:val="22"/>
        </w:rPr>
        <w:t>Código Procesal Agrario</w:t>
      </w:r>
      <w:r w:rsidRPr="00D66245">
        <w:rPr>
          <w:rFonts w:ascii="Palatino Linotype" w:hAnsi="Palatino Linotype"/>
          <w:sz w:val="22"/>
          <w:szCs w:val="22"/>
        </w:rPr>
        <w:t>. Ley 9609 del 27 de setiembre del 2018, Publicada en el diario Oficial La Gaceta No. 41, del 27 de febrero del 2019.</w:t>
      </w:r>
    </w:p>
    <w:p w14:paraId="33898B34" w14:textId="77777777" w:rsidR="00B377B2" w:rsidRPr="00D66245" w:rsidRDefault="00B377B2" w:rsidP="00F53211">
      <w:pPr>
        <w:spacing w:before="120" w:after="200" w:line="240" w:lineRule="auto"/>
        <w:jc w:val="both"/>
        <w:rPr>
          <w:rFonts w:ascii="Palatino Linotype" w:hAnsi="Palatino Linotype"/>
        </w:rPr>
      </w:pPr>
      <w:r w:rsidRPr="00D66245">
        <w:rPr>
          <w:rFonts w:ascii="Palatino Linotype" w:hAnsi="Palatino Linotype"/>
          <w:spacing w:val="-3"/>
        </w:rPr>
        <w:t xml:space="preserve">CHIOVENDA, Giuseppe. </w:t>
      </w:r>
      <w:r w:rsidRPr="00D66245">
        <w:rPr>
          <w:rFonts w:ascii="Palatino Linotype" w:hAnsi="Palatino Linotype"/>
          <w:i/>
          <w:spacing w:val="-3"/>
        </w:rPr>
        <w:t>Curso de Derecho Procesal Civil</w:t>
      </w:r>
      <w:r w:rsidRPr="00D66245">
        <w:rPr>
          <w:rFonts w:ascii="Palatino Linotype" w:hAnsi="Palatino Linotype"/>
          <w:spacing w:val="-3"/>
        </w:rPr>
        <w:t>, México, Editorial Harla, Clásicos del Derecho, Volumen 6, 1997</w:t>
      </w:r>
    </w:p>
    <w:p w14:paraId="3EAE0AA1" w14:textId="77777777" w:rsidR="00B377B2" w:rsidRPr="00D66245" w:rsidRDefault="00B377B2" w:rsidP="00F53211">
      <w:pPr>
        <w:spacing w:before="120" w:after="200" w:line="240" w:lineRule="auto"/>
        <w:jc w:val="both"/>
        <w:rPr>
          <w:rFonts w:ascii="Palatino Linotype" w:hAnsi="Palatino Linotype"/>
        </w:rPr>
      </w:pPr>
      <w:r w:rsidRPr="00D66245">
        <w:rPr>
          <w:rFonts w:ascii="Palatino Linotype" w:hAnsi="Palatino Linotype"/>
          <w:spacing w:val="-3"/>
        </w:rPr>
        <w:t xml:space="preserve">COUTURE, Eduardo. </w:t>
      </w:r>
      <w:r w:rsidRPr="00D66245">
        <w:rPr>
          <w:rFonts w:ascii="Palatino Linotype" w:hAnsi="Palatino Linotype"/>
          <w:i/>
          <w:spacing w:val="-3"/>
        </w:rPr>
        <w:t>Fundamentos del Derecho Procesal Civil</w:t>
      </w:r>
      <w:r w:rsidRPr="00D66245">
        <w:rPr>
          <w:rFonts w:ascii="Palatino Linotype" w:hAnsi="Palatino Linotype"/>
          <w:spacing w:val="-3"/>
        </w:rPr>
        <w:t>, Buenos Aires, Argentina, 3a. Edición, Ediciones Depalma, 1990</w:t>
      </w:r>
    </w:p>
    <w:p w14:paraId="35DA99EE" w14:textId="77777777" w:rsidR="00B377B2" w:rsidRPr="00D66245" w:rsidRDefault="00B377B2" w:rsidP="00F53211">
      <w:pPr>
        <w:spacing w:before="120" w:after="200" w:line="240" w:lineRule="auto"/>
        <w:jc w:val="both"/>
        <w:rPr>
          <w:rFonts w:ascii="Palatino Linotype" w:hAnsi="Palatino Linotype"/>
        </w:rPr>
      </w:pPr>
      <w:r w:rsidRPr="00D66245">
        <w:rPr>
          <w:rFonts w:ascii="Palatino Linotype" w:hAnsi="Palatino Linotype"/>
        </w:rPr>
        <w:t xml:space="preserve">DE SANTO, Victor. </w:t>
      </w:r>
      <w:r w:rsidRPr="00D66245">
        <w:rPr>
          <w:rFonts w:ascii="Palatino Linotype" w:hAnsi="Palatino Linotype"/>
          <w:i/>
        </w:rPr>
        <w:t>Tratado de los Recursos</w:t>
      </w:r>
      <w:r w:rsidRPr="00D66245">
        <w:rPr>
          <w:rFonts w:ascii="Palatino Linotype" w:hAnsi="Palatino Linotype"/>
        </w:rPr>
        <w:t>, Tomo I, Buenos Aires, Editorial Universidad, 1987</w:t>
      </w:r>
    </w:p>
    <w:p w14:paraId="1E501854" w14:textId="77777777" w:rsidR="00B377B2" w:rsidRPr="00D66245" w:rsidRDefault="00B377B2" w:rsidP="00F53211">
      <w:pPr>
        <w:spacing w:before="120" w:after="200" w:line="240" w:lineRule="auto"/>
        <w:jc w:val="both"/>
        <w:rPr>
          <w:rFonts w:ascii="Palatino Linotype" w:hAnsi="Palatino Linotype"/>
        </w:rPr>
      </w:pPr>
      <w:r w:rsidRPr="00D66245">
        <w:rPr>
          <w:rFonts w:ascii="Palatino Linotype" w:hAnsi="Palatino Linotype"/>
        </w:rPr>
        <w:t xml:space="preserve">GARBERI LLOBREGAT, José, y otro. </w:t>
      </w:r>
      <w:r w:rsidRPr="00D66245">
        <w:rPr>
          <w:rFonts w:ascii="Palatino Linotype" w:hAnsi="Palatino Linotype"/>
          <w:i/>
        </w:rPr>
        <w:t>Apelación y Casación en el Proceso Civil</w:t>
      </w:r>
      <w:r w:rsidRPr="00D66245">
        <w:rPr>
          <w:rFonts w:ascii="Palatino Linotype" w:hAnsi="Palatino Linotype"/>
        </w:rPr>
        <w:t>. Madrid, Editorial Colex, 1994.</w:t>
      </w:r>
    </w:p>
    <w:p w14:paraId="01C21254" w14:textId="77777777" w:rsidR="00B377B2" w:rsidRPr="00D66245" w:rsidRDefault="00B377B2" w:rsidP="00F53211">
      <w:pPr>
        <w:spacing w:before="120" w:after="200" w:line="240" w:lineRule="auto"/>
        <w:jc w:val="both"/>
        <w:rPr>
          <w:rFonts w:ascii="Palatino Linotype" w:hAnsi="Palatino Linotype"/>
        </w:rPr>
      </w:pPr>
      <w:r w:rsidRPr="00D66245">
        <w:rPr>
          <w:rFonts w:ascii="Palatino Linotype" w:hAnsi="Palatino Linotype"/>
          <w:lang w:val="es-CR"/>
        </w:rPr>
        <w:t xml:space="preserve">LÓPEZ G. Jorge. “Apelación Diferida”, En: </w:t>
      </w:r>
      <w:r w:rsidRPr="00D66245">
        <w:rPr>
          <w:rFonts w:ascii="Palatino Linotype" w:hAnsi="Palatino Linotype"/>
          <w:i/>
          <w:lang w:val="es-CR"/>
        </w:rPr>
        <w:t>El recurso de casación</w:t>
      </w:r>
      <w:r w:rsidRPr="00D66245">
        <w:rPr>
          <w:rFonts w:ascii="Palatino Linotype" w:hAnsi="Palatino Linotype"/>
          <w:lang w:val="es-CR"/>
        </w:rPr>
        <w:t>. Instituto Costarricense de Derecho Procesal Científico, IIJ, 2014,pág.383-395</w:t>
      </w:r>
    </w:p>
    <w:p w14:paraId="0D45E2C1" w14:textId="77777777" w:rsidR="00B377B2" w:rsidRPr="00D66245" w:rsidRDefault="00B377B2" w:rsidP="00F53211">
      <w:pPr>
        <w:spacing w:before="120" w:after="200" w:line="240" w:lineRule="auto"/>
        <w:jc w:val="both"/>
        <w:rPr>
          <w:rFonts w:ascii="Palatino Linotype" w:hAnsi="Palatino Linotype"/>
        </w:rPr>
      </w:pPr>
      <w:r w:rsidRPr="00D66245">
        <w:rPr>
          <w:rFonts w:ascii="Palatino Linotype" w:hAnsi="Palatino Linotype"/>
        </w:rPr>
        <w:t xml:space="preserve">PALACIO, Lino, </w:t>
      </w:r>
      <w:r w:rsidRPr="00D66245">
        <w:rPr>
          <w:rFonts w:ascii="Palatino Linotype" w:hAnsi="Palatino Linotype"/>
          <w:i/>
        </w:rPr>
        <w:t>Manual de Derecho Procesal Civil</w:t>
      </w:r>
      <w:r w:rsidRPr="00D66245">
        <w:rPr>
          <w:rFonts w:ascii="Palatino Linotype" w:hAnsi="Palatino Linotype"/>
        </w:rPr>
        <w:t>, Buenos Aires, Editorial Abeledo Perrot, 11ª. Edición, 1995</w:t>
      </w:r>
    </w:p>
    <w:p w14:paraId="4D18CF78" w14:textId="77777777" w:rsidR="00B377B2" w:rsidRPr="00D66245" w:rsidRDefault="00B377B2" w:rsidP="00F53211">
      <w:pPr>
        <w:pStyle w:val="PIESAGRARIO"/>
        <w:spacing w:before="120" w:after="200" w:line="240" w:lineRule="auto"/>
        <w:rPr>
          <w:rFonts w:ascii="Palatino Linotype" w:hAnsi="Palatino Linotype" w:cs="Times New Roman"/>
          <w:color w:val="auto"/>
          <w:spacing w:val="-3"/>
          <w:sz w:val="22"/>
          <w:szCs w:val="22"/>
        </w:rPr>
      </w:pPr>
      <w:r w:rsidRPr="00D66245">
        <w:rPr>
          <w:rFonts w:ascii="Palatino Linotype" w:hAnsi="Palatino Linotype" w:cs="Times New Roman"/>
          <w:color w:val="auto"/>
          <w:sz w:val="22"/>
          <w:szCs w:val="22"/>
        </w:rPr>
        <w:t xml:space="preserve">PICADO V. Carlos. </w:t>
      </w:r>
      <w:r w:rsidRPr="00D66245">
        <w:rPr>
          <w:rFonts w:ascii="Palatino Linotype" w:hAnsi="Palatino Linotype" w:cs="Times New Roman"/>
          <w:i/>
          <w:color w:val="auto"/>
          <w:sz w:val="22"/>
          <w:szCs w:val="22"/>
        </w:rPr>
        <w:t>Reforma Procesal Civil Práctica</w:t>
      </w:r>
      <w:r w:rsidRPr="00D66245">
        <w:rPr>
          <w:rFonts w:ascii="Palatino Linotype" w:hAnsi="Palatino Linotype" w:cs="Times New Roman"/>
          <w:color w:val="auto"/>
          <w:sz w:val="22"/>
          <w:szCs w:val="22"/>
        </w:rPr>
        <w:t>. San José, IIJ, 2018</w:t>
      </w:r>
    </w:p>
    <w:p w14:paraId="55AEA3CA" w14:textId="77777777" w:rsidR="00B377B2" w:rsidRPr="00D66245" w:rsidRDefault="00B377B2" w:rsidP="00F53211">
      <w:pPr>
        <w:pStyle w:val="PIESAGRARIO"/>
        <w:spacing w:before="120" w:after="200" w:line="240" w:lineRule="auto"/>
        <w:rPr>
          <w:rFonts w:ascii="Palatino Linotype" w:hAnsi="Palatino Linotype" w:cs="Times New Roman"/>
          <w:color w:val="auto"/>
          <w:spacing w:val="-3"/>
          <w:sz w:val="22"/>
          <w:szCs w:val="22"/>
        </w:rPr>
      </w:pPr>
      <w:r w:rsidRPr="00D66245">
        <w:rPr>
          <w:rFonts w:ascii="Palatino Linotype" w:hAnsi="Palatino Linotype" w:cs="Times New Roman"/>
          <w:color w:val="auto"/>
          <w:spacing w:val="-3"/>
          <w:sz w:val="22"/>
          <w:szCs w:val="22"/>
        </w:rPr>
        <w:t>Sala Constitucional, No. 1371-92 de las 14:40 horas del 26 de mayo de 1992</w:t>
      </w:r>
    </w:p>
    <w:p w14:paraId="34C5783D" w14:textId="77777777" w:rsidR="00B377B2" w:rsidRPr="00D66245" w:rsidRDefault="00B377B2" w:rsidP="00F53211">
      <w:pPr>
        <w:pStyle w:val="PIESAGRARIO"/>
        <w:spacing w:before="120" w:after="200" w:line="240" w:lineRule="auto"/>
        <w:rPr>
          <w:rFonts w:ascii="Palatino Linotype" w:hAnsi="Palatino Linotype" w:cs="Times New Roman"/>
          <w:color w:val="auto"/>
          <w:sz w:val="22"/>
          <w:szCs w:val="22"/>
        </w:rPr>
      </w:pPr>
      <w:r w:rsidRPr="00D66245">
        <w:rPr>
          <w:rFonts w:ascii="Palatino Linotype" w:hAnsi="Palatino Linotype" w:cs="Times New Roman"/>
          <w:color w:val="auto"/>
          <w:sz w:val="22"/>
          <w:szCs w:val="22"/>
        </w:rPr>
        <w:t>Sala Constitucional, No. 4801 de las 8:45 horas del 1 octubre de 1993.</w:t>
      </w:r>
    </w:p>
    <w:p w14:paraId="743F283E" w14:textId="77777777" w:rsidR="00B377B2" w:rsidRPr="00D66245" w:rsidRDefault="00B377B2" w:rsidP="00F53211">
      <w:pPr>
        <w:pStyle w:val="Textonotapie"/>
        <w:spacing w:before="120" w:after="200"/>
        <w:jc w:val="both"/>
        <w:rPr>
          <w:rFonts w:ascii="Palatino Linotype" w:hAnsi="Palatino Linotype"/>
          <w:sz w:val="22"/>
          <w:szCs w:val="22"/>
        </w:rPr>
      </w:pPr>
      <w:r w:rsidRPr="00D66245">
        <w:rPr>
          <w:rFonts w:ascii="Palatino Linotype" w:hAnsi="Palatino Linotype"/>
          <w:sz w:val="22"/>
          <w:szCs w:val="22"/>
        </w:rPr>
        <w:t xml:space="preserve">RIVAS. Adolfo. </w:t>
      </w:r>
      <w:r w:rsidRPr="00D66245">
        <w:rPr>
          <w:rFonts w:ascii="Palatino Linotype" w:hAnsi="Palatino Linotype"/>
          <w:i/>
          <w:sz w:val="22"/>
          <w:szCs w:val="22"/>
        </w:rPr>
        <w:t>Tratado de los recursos ordinarios</w:t>
      </w:r>
      <w:r w:rsidRPr="00D66245">
        <w:rPr>
          <w:rFonts w:ascii="Palatino Linotype" w:hAnsi="Palatino Linotype"/>
          <w:sz w:val="22"/>
          <w:szCs w:val="22"/>
        </w:rPr>
        <w:t>. Buenos Aires, Editorial Abaco, 1991, pág. 66.</w:t>
      </w:r>
    </w:p>
    <w:p w14:paraId="0F3BBF6B" w14:textId="77777777" w:rsidR="00D95FD2" w:rsidRDefault="00B377B2" w:rsidP="00D95FD2">
      <w:pPr>
        <w:pStyle w:val="Textonotapie"/>
        <w:spacing w:before="120" w:after="200"/>
        <w:jc w:val="both"/>
        <w:rPr>
          <w:rFonts w:ascii="Palatino Linotype" w:hAnsi="Palatino Linotype"/>
          <w:sz w:val="22"/>
          <w:szCs w:val="22"/>
        </w:rPr>
        <w:sectPr w:rsidR="00D95FD2" w:rsidSect="00CE03BC">
          <w:headerReference w:type="even" r:id="rId63"/>
          <w:type w:val="oddPage"/>
          <w:pgSz w:w="12242" w:h="15842" w:code="1"/>
          <w:pgMar w:top="1474" w:right="2098" w:bottom="1021" w:left="2778" w:header="851" w:footer="2835" w:gutter="0"/>
          <w:cols w:space="708"/>
          <w:titlePg/>
          <w:docGrid w:linePitch="360"/>
        </w:sectPr>
      </w:pPr>
      <w:r w:rsidRPr="00D66245">
        <w:rPr>
          <w:rFonts w:ascii="Palatino Linotype" w:hAnsi="Palatino Linotype"/>
          <w:sz w:val="22"/>
          <w:szCs w:val="22"/>
        </w:rPr>
        <w:t xml:space="preserve">VESCOVI, Enrique. </w:t>
      </w:r>
      <w:r w:rsidRPr="00D66245">
        <w:rPr>
          <w:rFonts w:ascii="Palatino Linotype" w:hAnsi="Palatino Linotype"/>
          <w:i/>
          <w:sz w:val="22"/>
          <w:szCs w:val="22"/>
        </w:rPr>
        <w:t>Los recursos judiciales y demás medios impugnativos en Iberoamérica</w:t>
      </w:r>
      <w:r w:rsidRPr="00D66245">
        <w:rPr>
          <w:rFonts w:ascii="Palatino Linotype" w:hAnsi="Palatino Linotype"/>
          <w:sz w:val="22"/>
          <w:szCs w:val="22"/>
        </w:rPr>
        <w:t>. Depalma, Buenos Aires, Argentina, 1988.</w:t>
      </w:r>
      <w:bookmarkStart w:id="68" w:name="_Hlk8652287"/>
    </w:p>
    <w:p w14:paraId="4A0B3A44" w14:textId="77777777" w:rsidR="00D95FD2" w:rsidRDefault="00D95FD2" w:rsidP="00D95FD2">
      <w:pPr>
        <w:pStyle w:val="Textonotapie"/>
        <w:spacing w:before="120" w:after="200"/>
        <w:jc w:val="both"/>
        <w:rPr>
          <w:rFonts w:ascii="Palatino Linotype" w:hAnsi="Palatino Linotype" w:cs="Times New Roman"/>
          <w:b/>
          <w:lang w:val="es-ES_tradnl"/>
        </w:rPr>
      </w:pPr>
    </w:p>
    <w:p w14:paraId="0EB07F6B" w14:textId="77777777" w:rsidR="00D95FD2" w:rsidRDefault="00D95FD2" w:rsidP="00D95FD2">
      <w:pPr>
        <w:pStyle w:val="Textonotapie"/>
        <w:spacing w:before="120" w:after="200"/>
        <w:jc w:val="both"/>
        <w:rPr>
          <w:rFonts w:ascii="Palatino Linotype" w:hAnsi="Palatino Linotype" w:cs="Times New Roman"/>
          <w:b/>
          <w:lang w:val="es-ES_tradnl"/>
        </w:rPr>
      </w:pPr>
    </w:p>
    <w:p w14:paraId="51197BDF" w14:textId="77777777" w:rsidR="00D95FD2" w:rsidRDefault="00D95FD2" w:rsidP="00D95FD2">
      <w:pPr>
        <w:pStyle w:val="Textonotapie"/>
        <w:spacing w:before="120" w:after="200"/>
        <w:jc w:val="both"/>
        <w:rPr>
          <w:rFonts w:ascii="Palatino Linotype" w:hAnsi="Palatino Linotype" w:cs="Times New Roman"/>
          <w:b/>
          <w:lang w:val="es-ES_tradnl"/>
        </w:rPr>
      </w:pPr>
    </w:p>
    <w:p w14:paraId="69AB75D8" w14:textId="2414E81E" w:rsidR="00B377B2" w:rsidRPr="00D66245" w:rsidRDefault="000256DD" w:rsidP="00D95FD2">
      <w:pPr>
        <w:pStyle w:val="Textonotapie"/>
        <w:spacing w:before="120" w:after="200"/>
        <w:jc w:val="both"/>
        <w:rPr>
          <w:rFonts w:ascii="Palatino Linotype" w:hAnsi="Palatino Linotype" w:cs="Times New Roman"/>
          <w:b/>
          <w:lang w:val="es-ES_tradnl"/>
        </w:rPr>
      </w:pPr>
      <w:r w:rsidRPr="00D66245">
        <w:rPr>
          <w:rFonts w:ascii="Palatino Linotype" w:hAnsi="Palatino Linotype" w:cs="Times New Roman"/>
          <w:b/>
          <w:lang w:val="es-ES_tradnl"/>
        </w:rPr>
        <w:t>FIABILIDAD DE LA PRUEBA TESTIMONIAL, LOS RECONOCIMIENTOS OCULARES Y LOS PERITAJES DE CREDIBILIDAD</w:t>
      </w:r>
    </w:p>
    <w:p w14:paraId="38FCF39D" w14:textId="77777777" w:rsidR="007224AD" w:rsidRPr="00D66245" w:rsidRDefault="007224AD" w:rsidP="000117D4">
      <w:pPr>
        <w:spacing w:before="120" w:after="200"/>
        <w:jc w:val="right"/>
        <w:rPr>
          <w:rFonts w:ascii="Palatino Linotype" w:hAnsi="Palatino Linotype" w:cs="Times New Roman"/>
          <w:b/>
          <w:i/>
          <w:lang w:val="es-ES_tradnl"/>
        </w:rPr>
      </w:pPr>
    </w:p>
    <w:p w14:paraId="2A6C51A8" w14:textId="4312881F" w:rsidR="000117D4" w:rsidRPr="00D66245" w:rsidRDefault="00B377B2" w:rsidP="000117D4">
      <w:pPr>
        <w:spacing w:before="120" w:after="200"/>
        <w:jc w:val="right"/>
        <w:rPr>
          <w:rFonts w:ascii="Palatino Linotype" w:hAnsi="Palatino Linotype" w:cs="Times New Roman"/>
          <w:b/>
          <w:lang w:val="es-ES_tradnl"/>
        </w:rPr>
      </w:pPr>
      <w:r w:rsidRPr="00D66245">
        <w:rPr>
          <w:rFonts w:ascii="Palatino Linotype" w:hAnsi="Palatino Linotype" w:cs="Times New Roman"/>
          <w:b/>
          <w:lang w:val="es-ES_tradnl"/>
        </w:rPr>
        <w:t>Jeffry José Mora Sánchez</w:t>
      </w:r>
      <w:bookmarkEnd w:id="68"/>
      <w:r w:rsidRPr="00D66245">
        <w:rPr>
          <w:rStyle w:val="Refdenotaalpie"/>
          <w:rFonts w:ascii="Palatino Linotype" w:hAnsi="Palatino Linotype" w:cs="Times New Roman"/>
          <w:b/>
          <w:vertAlign w:val="baseline"/>
          <w:lang w:val="es-ES_tradnl"/>
        </w:rPr>
        <w:footnoteReference w:customMarkFollows="1" w:id="372"/>
        <w:t>*</w:t>
      </w:r>
    </w:p>
    <w:p w14:paraId="52EBECFC" w14:textId="77777777" w:rsidR="000117D4" w:rsidRPr="00D66245" w:rsidRDefault="000117D4">
      <w:pPr>
        <w:rPr>
          <w:rFonts w:ascii="Palatino Linotype" w:hAnsi="Palatino Linotype" w:cs="Times New Roman"/>
          <w:i/>
          <w:lang w:val="es-ES_tradnl"/>
        </w:rPr>
      </w:pPr>
      <w:r w:rsidRPr="00D66245">
        <w:rPr>
          <w:rFonts w:ascii="Palatino Linotype" w:hAnsi="Palatino Linotype" w:cs="Times New Roman"/>
          <w:i/>
          <w:lang w:val="es-ES_tradnl"/>
        </w:rPr>
        <w:br w:type="page"/>
      </w:r>
    </w:p>
    <w:p w14:paraId="007FC99D" w14:textId="18857526" w:rsidR="00B377B2" w:rsidRPr="00D66245" w:rsidRDefault="00B377B2" w:rsidP="000117D4">
      <w:pPr>
        <w:spacing w:before="120" w:after="200"/>
        <w:jc w:val="both"/>
        <w:rPr>
          <w:rFonts w:ascii="Palatino Linotype" w:hAnsi="Palatino Linotype" w:cs="Times New Roman"/>
        </w:rPr>
      </w:pPr>
      <w:r w:rsidRPr="00D66245">
        <w:rPr>
          <w:rFonts w:ascii="Palatino Linotype" w:hAnsi="Palatino Linotype" w:cs="Times New Roman"/>
          <w:b/>
        </w:rPr>
        <w:t xml:space="preserve">Resumen: </w:t>
      </w:r>
      <w:r w:rsidRPr="00D66245">
        <w:rPr>
          <w:rFonts w:ascii="Palatino Linotype" w:hAnsi="Palatino Linotype" w:cs="Times New Roman"/>
        </w:rPr>
        <w:t>Este texto pretende ubicar bajo los reflectores el testimonio, siendo este medio probatorio el más determinante en los procesos penales y, a su vez, el que mayores dificultades representa. El análisis comprende, de forma prevalente, algunas de las distorsiones más frecuentes, relacionadas con quienes mantienen la dualidad víctima-testigo, las declaraciones de personas menores de edad, así como dos medios probatorios, intrínsecamente ligados al testimonio, que se consideran, por diversas razones, especialmente febles y de escasa fiabilidad: los reconocimientos oculares y los llamados peritajes de credibilidad. Se concluye con algunas sugerencias a fin de propiciar un análisis racional de tales medios de prueba, siempre en el marco del ordenamiento jurídico costarricense.</w:t>
      </w:r>
    </w:p>
    <w:p w14:paraId="08776F19" w14:textId="77777777" w:rsidR="00B377B2" w:rsidRPr="00D66245" w:rsidRDefault="00B377B2" w:rsidP="00F53211">
      <w:pPr>
        <w:spacing w:before="120" w:after="200"/>
        <w:jc w:val="both"/>
        <w:rPr>
          <w:rFonts w:ascii="Palatino Linotype" w:hAnsi="Palatino Linotype" w:cs="Times New Roman"/>
          <w:b/>
        </w:rPr>
      </w:pPr>
      <w:r w:rsidRPr="00D66245">
        <w:rPr>
          <w:rFonts w:ascii="Palatino Linotype" w:hAnsi="Palatino Linotype" w:cs="Times New Roman"/>
          <w:b/>
        </w:rPr>
        <w:t xml:space="preserve">Palabras clave: </w:t>
      </w:r>
      <w:r w:rsidRPr="00D66245">
        <w:rPr>
          <w:rFonts w:ascii="Palatino Linotype" w:hAnsi="Palatino Linotype" w:cs="Times New Roman"/>
        </w:rPr>
        <w:t>Prueba testimonial, fiabilidad, inmediación, reconocimientos oculares, estándar de prueba.</w:t>
      </w:r>
      <w:r w:rsidRPr="00D66245">
        <w:rPr>
          <w:rFonts w:ascii="Palatino Linotype" w:hAnsi="Palatino Linotype" w:cs="Times New Roman"/>
          <w:b/>
        </w:rPr>
        <w:t xml:space="preserve"> </w:t>
      </w:r>
    </w:p>
    <w:p w14:paraId="043F7672" w14:textId="77777777" w:rsidR="00B377B2" w:rsidRPr="00D66245" w:rsidRDefault="00B377B2" w:rsidP="00F53211">
      <w:pPr>
        <w:pStyle w:val="HTMLconformatoprevio"/>
        <w:spacing w:before="120" w:after="200"/>
        <w:jc w:val="both"/>
        <w:rPr>
          <w:rFonts w:ascii="Palatino Linotype" w:hAnsi="Palatino Linotype" w:cs="Times New Roman"/>
          <w:sz w:val="22"/>
          <w:szCs w:val="22"/>
          <w:lang w:val="en"/>
        </w:rPr>
      </w:pPr>
      <w:r w:rsidRPr="00D66245">
        <w:rPr>
          <w:rFonts w:ascii="Palatino Linotype" w:hAnsi="Palatino Linotype" w:cs="Times New Roman"/>
          <w:b/>
          <w:sz w:val="22"/>
          <w:szCs w:val="22"/>
          <w:lang w:val="en-US"/>
        </w:rPr>
        <w:t xml:space="preserve">Abstract: </w:t>
      </w:r>
      <w:r w:rsidRPr="00D66245">
        <w:rPr>
          <w:rFonts w:ascii="Palatino Linotype" w:hAnsi="Palatino Linotype" w:cs="Times New Roman"/>
          <w:sz w:val="22"/>
          <w:szCs w:val="22"/>
          <w:lang w:val="en"/>
        </w:rPr>
        <w:t xml:space="preserve">This text seeks to place the testimony under the spotlight, because this element of evidence is usually the most decisive in criminal proceedings and, in addition, the one that presents the greatest difficulties. The analysis includes, in a prevalent manner, some of the most frequent distortions related to those who maintain the victim-witness duality, the testimonies of minors, as well as two elements of proof, intrinsically linked to the testimony, which are considered, for diverse reasons, especially weak and of low reliability: the eyewitness identifications and the so-called credibility assessments. It concludes with some suggestions in order to promote a rational analysis of such proof, always within the framework of the Costa Rican legal system. </w:t>
      </w:r>
    </w:p>
    <w:p w14:paraId="2C0945D7" w14:textId="5344D745" w:rsidR="00B377B2" w:rsidRPr="00D66245" w:rsidRDefault="00B377B2" w:rsidP="00F53211">
      <w:pPr>
        <w:spacing w:before="120" w:after="200"/>
        <w:jc w:val="both"/>
        <w:rPr>
          <w:rFonts w:ascii="Palatino Linotype" w:hAnsi="Palatino Linotype" w:cs="Times New Roman"/>
          <w:b/>
          <w:lang w:val="en-US"/>
        </w:rPr>
      </w:pPr>
      <w:r w:rsidRPr="00D66245">
        <w:rPr>
          <w:rFonts w:ascii="Palatino Linotype" w:hAnsi="Palatino Linotype" w:cs="Times New Roman"/>
          <w:b/>
          <w:lang w:val="en-US"/>
        </w:rPr>
        <w:t xml:space="preserve">Keywords: </w:t>
      </w:r>
      <w:r w:rsidRPr="00D66245">
        <w:rPr>
          <w:rFonts w:ascii="Palatino Linotype" w:hAnsi="Palatino Linotype" w:cs="Times New Roman"/>
          <w:lang w:val="en-US"/>
        </w:rPr>
        <w:t>Testimony, reliability, immediacy, eyewitness identifications, standard of proof.</w:t>
      </w:r>
    </w:p>
    <w:p w14:paraId="6F13B424" w14:textId="193C2AAB" w:rsidR="00214F2D" w:rsidRDefault="00B377B2" w:rsidP="00F53211">
      <w:pPr>
        <w:spacing w:before="120" w:after="200"/>
        <w:jc w:val="both"/>
        <w:rPr>
          <w:rFonts w:ascii="Palatino Linotype" w:hAnsi="Palatino Linotype" w:cs="Times New Roman"/>
        </w:rPr>
      </w:pPr>
      <w:r w:rsidRPr="00D66245">
        <w:rPr>
          <w:rFonts w:ascii="Palatino Linotype" w:hAnsi="Palatino Linotype" w:cs="Times New Roman"/>
          <w:b/>
        </w:rPr>
        <w:t>Sumario</w:t>
      </w:r>
      <w:r w:rsidRPr="00D66245">
        <w:rPr>
          <w:rFonts w:ascii="Palatino Linotype" w:hAnsi="Palatino Linotype" w:cs="Times New Roman"/>
        </w:rPr>
        <w:t>: 1. Introducción. 2.</w:t>
      </w:r>
      <w:r w:rsidRPr="00D66245">
        <w:rPr>
          <w:rFonts w:ascii="Palatino Linotype" w:hAnsi="Palatino Linotype" w:cs="Times New Roman"/>
          <w:b/>
        </w:rPr>
        <w:t xml:space="preserve"> </w:t>
      </w:r>
      <w:r w:rsidRPr="00D66245">
        <w:rPr>
          <w:rFonts w:ascii="Palatino Linotype" w:hAnsi="Palatino Linotype" w:cs="Times New Roman"/>
        </w:rPr>
        <w:t xml:space="preserve">La prueba testimonial. a. El testimonio de menores de edad. b. La valoración de la declaración de la víctima-testigo. i. Valoraciones que incurren en la falacia </w:t>
      </w:r>
      <w:r w:rsidRPr="00D66245">
        <w:rPr>
          <w:rFonts w:ascii="Palatino Linotype" w:hAnsi="Palatino Linotype" w:cs="Times New Roman"/>
          <w:i/>
        </w:rPr>
        <w:t xml:space="preserve">petitio principii. </w:t>
      </w:r>
      <w:r w:rsidRPr="00D66245">
        <w:rPr>
          <w:rFonts w:ascii="Palatino Linotype" w:hAnsi="Palatino Linotype" w:cs="Times New Roman"/>
        </w:rPr>
        <w:t>ii. Definición pretoriana de un “estándar” probatorio diferenciado. iii. Relativización del principio de presunción de inocencia. iv. Utilización de proposiciones sociales. 3. Los reconocimientos oculares. a. Generalidades. b. Su práctica en Costa Rica. c. Problemas y causas. i. Regulación y práctica del procedimiento deficientes. ii. Cuestiones operativas que potencian defectos. iii. Control jurisdiccional insuficiente. d. Análisis de un caso: Reconocimiento ocular de Jorge Mateluna. 4. Los peritajes de credibilidad.  5. Conclusiones. a. En cuanto al testimonio. b. En cuanto a las diligencias de reconocimiento ocular. i. Reforma legal y establecimiento de protocolos de actuación. ii. Implementación de mecanismos tecnológicos. iii. Capacitación y proactividad de los órganos de control jurisdiccional. c. En cuanto a los peritajes de credibilidad. 6. Bibliografía consultada.</w:t>
      </w:r>
    </w:p>
    <w:p w14:paraId="343D9DC4" w14:textId="77777777" w:rsidR="00214F2D" w:rsidRDefault="00214F2D">
      <w:pPr>
        <w:rPr>
          <w:rFonts w:ascii="Palatino Linotype" w:hAnsi="Palatino Linotype" w:cs="Times New Roman"/>
        </w:rPr>
      </w:pPr>
      <w:r>
        <w:rPr>
          <w:rFonts w:ascii="Palatino Linotype" w:hAnsi="Palatino Linotype" w:cs="Times New Roman"/>
        </w:rPr>
        <w:br w:type="page"/>
      </w:r>
    </w:p>
    <w:p w14:paraId="3A916A37" w14:textId="2313320C" w:rsidR="00B377B2" w:rsidRPr="00214F2D" w:rsidRDefault="00B377B2" w:rsidP="00F53211">
      <w:pPr>
        <w:spacing w:before="120" w:after="200"/>
        <w:ind w:left="5670"/>
        <w:jc w:val="right"/>
        <w:rPr>
          <w:rFonts w:ascii="Palatino Linotype" w:hAnsi="Palatino Linotype" w:cs="Times New Roman"/>
          <w:sz w:val="18"/>
          <w:szCs w:val="18"/>
        </w:rPr>
      </w:pPr>
      <w:r w:rsidRPr="00214F2D">
        <w:rPr>
          <w:rFonts w:ascii="Palatino Linotype" w:hAnsi="Palatino Linotype" w:cs="Times New Roman"/>
          <w:sz w:val="18"/>
          <w:szCs w:val="18"/>
        </w:rPr>
        <w:t>“</w:t>
      </w:r>
      <w:r w:rsidRPr="00214F2D">
        <w:rPr>
          <w:rFonts w:ascii="Palatino Linotype" w:hAnsi="Palatino Linotype" w:cs="Times New Roman"/>
          <w:i/>
          <w:sz w:val="18"/>
          <w:szCs w:val="18"/>
        </w:rPr>
        <w:t>La memoria es la base de la personalidad individual, así como la tradición lo es de la personalidad colectiva de un pueblo</w:t>
      </w:r>
      <w:r w:rsidRPr="00214F2D">
        <w:rPr>
          <w:rFonts w:ascii="Palatino Linotype" w:hAnsi="Palatino Linotype" w:cs="Times New Roman"/>
          <w:sz w:val="18"/>
          <w:szCs w:val="18"/>
        </w:rPr>
        <w:t xml:space="preserve">” </w:t>
      </w:r>
    </w:p>
    <w:p w14:paraId="77A482BD" w14:textId="77777777" w:rsidR="00B377B2" w:rsidRPr="00214F2D" w:rsidRDefault="00B377B2" w:rsidP="00F53211">
      <w:pPr>
        <w:spacing w:before="120" w:after="200"/>
        <w:ind w:left="5670"/>
        <w:jc w:val="right"/>
        <w:rPr>
          <w:rFonts w:ascii="Palatino Linotype" w:hAnsi="Palatino Linotype" w:cs="Times New Roman"/>
          <w:sz w:val="18"/>
          <w:szCs w:val="18"/>
        </w:rPr>
      </w:pPr>
      <w:r w:rsidRPr="00214F2D">
        <w:rPr>
          <w:rFonts w:ascii="Palatino Linotype" w:hAnsi="Palatino Linotype" w:cs="Times New Roman"/>
          <w:b/>
          <w:i/>
          <w:sz w:val="18"/>
          <w:szCs w:val="18"/>
        </w:rPr>
        <w:t>Miguel de Unamuno</w:t>
      </w:r>
    </w:p>
    <w:p w14:paraId="7C97F694" w14:textId="0CF53B8B" w:rsidR="00B377B2" w:rsidRPr="00214F2D" w:rsidRDefault="004B1E4B" w:rsidP="00F53211">
      <w:pPr>
        <w:spacing w:before="120" w:after="200"/>
        <w:ind w:left="5670"/>
        <w:jc w:val="right"/>
        <w:rPr>
          <w:rFonts w:ascii="Palatino Linotype" w:hAnsi="Palatino Linotype" w:cs="Times New Roman"/>
          <w:sz w:val="18"/>
          <w:szCs w:val="18"/>
        </w:rPr>
      </w:pPr>
      <w:r w:rsidRPr="00214F2D">
        <w:rPr>
          <w:rFonts w:ascii="Palatino Linotype" w:hAnsi="Palatino Linotype" w:cs="Times New Roman"/>
          <w:sz w:val="18"/>
          <w:szCs w:val="18"/>
        </w:rPr>
        <w:t xml:space="preserve"> </w:t>
      </w:r>
      <w:r w:rsidR="00B377B2" w:rsidRPr="00214F2D">
        <w:rPr>
          <w:rFonts w:ascii="Palatino Linotype" w:hAnsi="Palatino Linotype" w:cs="Times New Roman"/>
          <w:sz w:val="18"/>
          <w:szCs w:val="18"/>
        </w:rPr>
        <w:t>“</w:t>
      </w:r>
      <w:r w:rsidR="00B377B2" w:rsidRPr="00214F2D">
        <w:rPr>
          <w:rFonts w:ascii="Palatino Linotype" w:hAnsi="Palatino Linotype" w:cs="Times New Roman"/>
          <w:i/>
          <w:sz w:val="18"/>
          <w:szCs w:val="18"/>
        </w:rPr>
        <w:t>Hoy sé que todo nos mira, nada pasa inadvertido y hasta el papel de las paredes tiene mejor memoria que los hombres</w:t>
      </w:r>
      <w:r w:rsidR="00B377B2" w:rsidRPr="00214F2D">
        <w:rPr>
          <w:rFonts w:ascii="Palatino Linotype" w:hAnsi="Palatino Linotype" w:cs="Times New Roman"/>
          <w:sz w:val="18"/>
          <w:szCs w:val="18"/>
        </w:rPr>
        <w:t>”</w:t>
      </w:r>
    </w:p>
    <w:p w14:paraId="6CDB8E10" w14:textId="77777777" w:rsidR="00B377B2" w:rsidRPr="00214F2D" w:rsidRDefault="00B377B2" w:rsidP="00F53211">
      <w:pPr>
        <w:spacing w:before="120" w:after="200"/>
        <w:ind w:left="5670"/>
        <w:jc w:val="right"/>
        <w:rPr>
          <w:rFonts w:ascii="Palatino Linotype" w:hAnsi="Palatino Linotype" w:cs="Times New Roman"/>
          <w:b/>
          <w:sz w:val="18"/>
          <w:szCs w:val="18"/>
        </w:rPr>
      </w:pPr>
      <w:r w:rsidRPr="00214F2D">
        <w:rPr>
          <w:rFonts w:ascii="Palatino Linotype" w:hAnsi="Palatino Linotype" w:cs="Times New Roman"/>
          <w:b/>
          <w:sz w:val="18"/>
          <w:szCs w:val="18"/>
        </w:rPr>
        <w:t>Günter Grass</w:t>
      </w:r>
    </w:p>
    <w:p w14:paraId="3A49FF7A" w14:textId="36FA08A8" w:rsidR="00B377B2" w:rsidRPr="00214F2D" w:rsidRDefault="004B1E4B" w:rsidP="00F53211">
      <w:pPr>
        <w:spacing w:before="120" w:after="200"/>
        <w:ind w:left="5670"/>
        <w:jc w:val="right"/>
        <w:rPr>
          <w:rFonts w:ascii="Palatino Linotype" w:hAnsi="Palatino Linotype" w:cs="Times New Roman"/>
          <w:sz w:val="18"/>
          <w:szCs w:val="18"/>
        </w:rPr>
      </w:pPr>
      <w:r w:rsidRPr="00214F2D">
        <w:rPr>
          <w:rFonts w:ascii="Palatino Linotype" w:hAnsi="Palatino Linotype" w:cs="Times New Roman"/>
          <w:sz w:val="18"/>
          <w:szCs w:val="18"/>
        </w:rPr>
        <w:t xml:space="preserve"> </w:t>
      </w:r>
      <w:r w:rsidR="00B377B2" w:rsidRPr="00214F2D">
        <w:rPr>
          <w:rFonts w:ascii="Palatino Linotype" w:hAnsi="Palatino Linotype" w:cs="Times New Roman"/>
          <w:sz w:val="18"/>
          <w:szCs w:val="18"/>
        </w:rPr>
        <w:t>“</w:t>
      </w:r>
      <w:r w:rsidR="00B377B2" w:rsidRPr="00214F2D">
        <w:rPr>
          <w:rFonts w:ascii="Palatino Linotype" w:hAnsi="Palatino Linotype" w:cs="Times New Roman"/>
          <w:i/>
          <w:sz w:val="18"/>
          <w:szCs w:val="18"/>
        </w:rPr>
        <w:t>Somos nuestra memoria, somos ese quimérico museo de formas inconstantes, ese montón de espejos rotos</w:t>
      </w:r>
      <w:r w:rsidR="00B377B2" w:rsidRPr="00214F2D">
        <w:rPr>
          <w:rFonts w:ascii="Palatino Linotype" w:hAnsi="Palatino Linotype" w:cs="Times New Roman"/>
          <w:sz w:val="18"/>
          <w:szCs w:val="18"/>
        </w:rPr>
        <w:t xml:space="preserve">” </w:t>
      </w:r>
    </w:p>
    <w:p w14:paraId="43DAC6E2" w14:textId="77777777" w:rsidR="00B377B2" w:rsidRPr="00214F2D" w:rsidRDefault="00B377B2" w:rsidP="00F53211">
      <w:pPr>
        <w:spacing w:before="120" w:after="200"/>
        <w:ind w:left="5670"/>
        <w:jc w:val="right"/>
        <w:rPr>
          <w:rFonts w:ascii="Palatino Linotype" w:hAnsi="Palatino Linotype" w:cs="Times New Roman"/>
          <w:b/>
          <w:sz w:val="18"/>
          <w:szCs w:val="18"/>
        </w:rPr>
      </w:pPr>
      <w:r w:rsidRPr="00214F2D">
        <w:rPr>
          <w:rFonts w:ascii="Palatino Linotype" w:hAnsi="Palatino Linotype" w:cs="Times New Roman"/>
          <w:b/>
          <w:sz w:val="18"/>
          <w:szCs w:val="18"/>
        </w:rPr>
        <w:t>Jorge Luis Borges</w:t>
      </w:r>
    </w:p>
    <w:p w14:paraId="6F13228C" w14:textId="72185E31" w:rsidR="00214F2D" w:rsidRDefault="00B377B2" w:rsidP="00F53211">
      <w:pPr>
        <w:spacing w:before="120" w:after="200"/>
        <w:ind w:left="5670"/>
        <w:jc w:val="right"/>
        <w:rPr>
          <w:rFonts w:ascii="Palatino Linotype" w:hAnsi="Palatino Linotype" w:cs="Times New Roman"/>
          <w:b/>
          <w:sz w:val="18"/>
          <w:szCs w:val="18"/>
        </w:rPr>
      </w:pPr>
      <w:r w:rsidRPr="00214F2D">
        <w:rPr>
          <w:rFonts w:ascii="Palatino Linotype" w:hAnsi="Palatino Linotype" w:cs="Times New Roman"/>
          <w:sz w:val="18"/>
          <w:szCs w:val="18"/>
        </w:rPr>
        <w:t>“</w:t>
      </w:r>
      <w:r w:rsidRPr="00214F2D">
        <w:rPr>
          <w:rFonts w:ascii="Palatino Linotype" w:hAnsi="Palatino Linotype" w:cs="Times New Roman"/>
          <w:i/>
          <w:sz w:val="18"/>
          <w:szCs w:val="18"/>
        </w:rPr>
        <w:t>La vida no es la que uno vivió, sino la que uno recuerda y cómo la recuerda para contarla</w:t>
      </w:r>
      <w:r w:rsidRPr="00214F2D">
        <w:rPr>
          <w:rFonts w:ascii="Palatino Linotype" w:hAnsi="Palatino Linotype" w:cs="Times New Roman"/>
          <w:sz w:val="18"/>
          <w:szCs w:val="18"/>
        </w:rPr>
        <w:t xml:space="preserve">” </w:t>
      </w:r>
      <w:r w:rsidRPr="00214F2D">
        <w:rPr>
          <w:rFonts w:ascii="Palatino Linotype" w:hAnsi="Palatino Linotype" w:cs="Times New Roman"/>
          <w:b/>
          <w:sz w:val="18"/>
          <w:szCs w:val="18"/>
        </w:rPr>
        <w:t>Gabriel García Márquez</w:t>
      </w:r>
    </w:p>
    <w:p w14:paraId="2BE2602F" w14:textId="77777777" w:rsidR="00214F2D" w:rsidRDefault="00214F2D">
      <w:pPr>
        <w:rPr>
          <w:rFonts w:ascii="Palatino Linotype" w:hAnsi="Palatino Linotype" w:cs="Times New Roman"/>
          <w:b/>
          <w:sz w:val="18"/>
          <w:szCs w:val="18"/>
        </w:rPr>
      </w:pPr>
      <w:r>
        <w:rPr>
          <w:rFonts w:ascii="Palatino Linotype" w:hAnsi="Palatino Linotype" w:cs="Times New Roman"/>
          <w:b/>
          <w:sz w:val="18"/>
          <w:szCs w:val="18"/>
        </w:rPr>
        <w:br w:type="page"/>
      </w:r>
    </w:p>
    <w:p w14:paraId="6DE2887F" w14:textId="77777777" w:rsidR="00B377B2" w:rsidRPr="00D66245" w:rsidRDefault="00B377B2" w:rsidP="000117D4">
      <w:pPr>
        <w:pStyle w:val="Prrafodelista"/>
        <w:numPr>
          <w:ilvl w:val="0"/>
          <w:numId w:val="10"/>
        </w:numPr>
        <w:spacing w:before="120" w:after="200" w:line="360" w:lineRule="auto"/>
        <w:ind w:left="0" w:firstLine="0"/>
        <w:contextualSpacing w:val="0"/>
        <w:jc w:val="both"/>
        <w:rPr>
          <w:rFonts w:ascii="Palatino Linotype" w:hAnsi="Palatino Linotype" w:cs="Times New Roman"/>
          <w:b/>
          <w:lang w:val="es-ES_tradnl"/>
        </w:rPr>
      </w:pPr>
      <w:r w:rsidRPr="00D66245">
        <w:rPr>
          <w:rFonts w:ascii="Palatino Linotype" w:hAnsi="Palatino Linotype" w:cs="Times New Roman"/>
          <w:b/>
          <w:lang w:val="es-ES_tradnl"/>
        </w:rPr>
        <w:t>Introducción</w:t>
      </w:r>
    </w:p>
    <w:p w14:paraId="2F6342B4"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El sistema democrático, en la mayoría de los países de occidente, atraviesa una aguda crisis de legitimidad. El aumento (real o fabricado desde la prensa</w:t>
      </w:r>
      <w:r w:rsidRPr="00D66245">
        <w:rPr>
          <w:rStyle w:val="Refdenotaalpie"/>
          <w:rFonts w:ascii="Palatino Linotype" w:hAnsi="Palatino Linotype" w:cs="Times New Roman"/>
        </w:rPr>
        <w:footnoteReference w:id="373"/>
      </w:r>
      <w:r w:rsidRPr="00D66245">
        <w:rPr>
          <w:rFonts w:ascii="Palatino Linotype" w:hAnsi="Palatino Linotype" w:cs="Times New Roman"/>
          <w:lang w:val="es-ES_tradnl"/>
        </w:rPr>
        <w:t xml:space="preserve"> y el poder político) de la criminalidad, motiva el reclamo de la ciudadanía por respuestas a corto plazo, las que, con escasas excepciones, desembocan en una visión simplista del problema, en desmedro de las razones profundas del delito, como las limitaciones en el acceso a empleo, salud y educación, trasladando al orden represivo penal la exigencia de recuperación de la estabilidad y la seguridad. </w:t>
      </w:r>
    </w:p>
    <w:p w14:paraId="1D5FB869"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Las protestas generadas ejercen presión en los diferentes actores de la administración pública, desde los representantes del poder legislativo, que responden con una explosión de normas represivas (siempre sexis en esta coyuntura), hasta el judicial, es decir, los jueces, que reflejan en sus resoluciones un progresivo relajamiento de los principios que instituyen el Estado de derecho, cediendo, poco a poco, a una visión que potencia la dimensión procesal de la víctima</w:t>
      </w:r>
      <w:r w:rsidRPr="00D66245">
        <w:rPr>
          <w:rStyle w:val="Refdenotaalpie"/>
          <w:rFonts w:ascii="Palatino Linotype" w:hAnsi="Palatino Linotype" w:cs="Times New Roman"/>
        </w:rPr>
        <w:footnoteReference w:id="374"/>
      </w:r>
      <w:r w:rsidRPr="00D66245">
        <w:rPr>
          <w:rFonts w:ascii="Palatino Linotype" w:hAnsi="Palatino Linotype" w:cs="Times New Roman"/>
          <w:lang w:val="es-ES_tradnl"/>
        </w:rPr>
        <w:t>, en mengua de los derechos que le asisten al imputado. Se impone así, una noción casi obscena del garantismo penal</w:t>
      </w:r>
      <w:r w:rsidRPr="00D66245">
        <w:rPr>
          <w:rStyle w:val="Refdenotaalpie"/>
          <w:rFonts w:ascii="Palatino Linotype" w:hAnsi="Palatino Linotype" w:cs="Times New Roman"/>
          <w:lang w:val="es-ES_tradnl"/>
        </w:rPr>
        <w:footnoteReference w:id="375"/>
      </w:r>
      <w:r w:rsidRPr="00D66245">
        <w:rPr>
          <w:rFonts w:ascii="Palatino Linotype" w:hAnsi="Palatino Linotype" w:cs="Times New Roman"/>
          <w:lang w:val="es-ES_tradnl"/>
        </w:rPr>
        <w:t>.</w:t>
      </w:r>
    </w:p>
    <w:p w14:paraId="2F8DD4F6"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 xml:space="preserve">Por otra parte, no parece existir duda en cuanto a la relevancia de la prueba testimonial en los procesos penales. En la mayoría de casos, el testigo, como órgano de prueba, brinda al juzgador la información preponderante para la reconstrucción del hecho que se acusa, a partir de la narración de lo que ha percibido sensorialmente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{"citationItems":[{"id":"ITEM-1","itemData":{"author":[{"dropping-particle":"","family":"Mora Sánchez","given":"Jeffry José","non-dropping-particle":"","parse-names":false,"suffix":""}],"container-title":"La Nación","id":"ITEM-1","issued":{"date-parts":[["2016","9","10"]]},"publisher-place":"San José","title":"Las trampas de la memoria y la prueba testimonial","type":"article-newspaper"},"uris":["http://www.mendeley.com/documents/?uuid=e19b9654-9ba4-4128-8ffb-971b696d4089"]}],"mendeley":{"formattedCitation":"(Mora Sánchez, 2016)","plainTextFormattedCitation":"(Mora Sánchez, 2016)","previouslyFormattedCitation":"(Mora Sánchez, 2016)"},"properties":{"noteIndex":0},"schema":"https://github.com/citation-style-language/schema/raw/master/csl-citation.json"}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(Mora Sánchez, 2016)</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con lo que cobra vigencia aquella conocida frase de William Brennan, juez de la Suprema Corte de los Estados Unidos de Norteamérica, en donde afirmaba que “no hay nada más convincente que un ser vivo que sube al estrado, señala al acusado con el dedo y dice ‘es él’”</w:t>
      </w:r>
      <w:r w:rsidRPr="00D66245">
        <w:rPr>
          <w:rStyle w:val="Refdenotaalpie"/>
          <w:rFonts w:ascii="Palatino Linotype" w:hAnsi="Palatino Linotype" w:cs="Times New Roman"/>
          <w:lang w:val="es-ES_tradnl"/>
        </w:rPr>
        <w:footnoteReference w:id="376"/>
      </w:r>
      <w:r w:rsidRPr="00D66245">
        <w:rPr>
          <w:rFonts w:ascii="Palatino Linotype" w:hAnsi="Palatino Linotype" w:cs="Times New Roman"/>
          <w:vertAlign w:val="superscript"/>
          <w:lang w:val="es-ES_tradnl"/>
        </w:rPr>
        <w:t>.</w:t>
      </w:r>
      <w:r w:rsidRPr="00D66245">
        <w:rPr>
          <w:rFonts w:ascii="Palatino Linotype" w:hAnsi="Palatino Linotype" w:cs="Times New Roman"/>
          <w:lang w:val="es-ES_tradnl"/>
        </w:rPr>
        <w:t xml:space="preserve"> </w:t>
      </w:r>
    </w:p>
    <w:p w14:paraId="13BDC27C"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 xml:space="preserve">Ahora bien, si la prueba testimonial fuese un medio probatorio especialmente fiable, podríamos afirmar, sin reparo alguno, que es posible confiar en la administración de justicia, cuya operación se sostendría así sobre sólidas bases epistémicas. Sin embargo, los problemas surgen cuando se toma consciencia de que la exactitud del relato de las personas testigos, aún en condiciones óptimas en cuanto a la percepción del evento y el abordaje judicial que se les realice, apenas alcanza el nivel de azar (50%)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author":[{"dropping-particle":"","family":"Diges","given":"Margarita","non-dropping-particle":"","parse-names":false,"suffix":""},{"dropping-particle":"","family":"Pérez-Mata","given":"Nieves","non-dropping-particle":"","parse-names":false,"suffix":""}],"container-title":"Identificaciones fotográficas y en rueda de reconocimiento. Un análisis desde el Derecho procesal penal y la psicología del testimonio","id":"ITEM-1","issued":{"date-parts":[["2014"]]},"publisher":"Marcial Pons","title":"La prueba de identificación desde la psicología del testimonio","type":"chapter"},"locator":"79","uris":["http://www.mendeley.com/documents/?uuid=4239216f-cb8f-4db9-a5c2-b6609f2db014"]}],"mendeley":{"formattedCitation":"(Diges &amp; Pérez-Mata, 2014, p. 79)","plainTextFormattedCitation":"(Diges &amp; Pérez-Mata, 2014, p. 79)","previouslyFormattedCitation":"(Diges &amp; Pérez-Mata, 2014, p. 79)"},"properties":{"noteIndex":0},"schema":"https://github.com/citation-style-language/schema/raw/master/csl-citation.json"}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(Diges &amp; Pérez-Mata, 2014, p. 79)</w:t>
      </w:r>
      <w:r w:rsidRPr="00D66245">
        <w:rPr>
          <w:rFonts w:ascii="Palatino Linotype" w:hAnsi="Palatino Linotype" w:cs="Times New Roman"/>
          <w:lang w:val="es-ES_tradnl"/>
        </w:rPr>
        <w:fldChar w:fldCharType="end"/>
      </w:r>
      <w:r w:rsidRPr="00D66245">
        <w:rPr>
          <w:rStyle w:val="Refdenotaalpie"/>
          <w:rFonts w:ascii="Palatino Linotype" w:hAnsi="Palatino Linotype" w:cs="Times New Roman"/>
          <w:lang w:val="es-ES_tradnl"/>
        </w:rPr>
        <w:footnoteReference w:id="377"/>
      </w:r>
      <w:r w:rsidRPr="00D66245">
        <w:rPr>
          <w:rFonts w:ascii="Palatino Linotype" w:hAnsi="Palatino Linotype" w:cs="Times New Roman"/>
          <w:lang w:val="es-ES_tradnl"/>
        </w:rPr>
        <w:t>.</w:t>
      </w:r>
    </w:p>
    <w:p w14:paraId="6EE9F16C"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 xml:space="preserve">Puede entonces adelantarse que, según lo señalado, la conjunción de un modelo punitivo tendiente a la hiperinflación y la desmedida confianza en prueba en esencia feble, como lo es la testimonial, constituyen la receta perfecta para un sistema de justicia penal potencialmente infractor de derechos fundamentales, como el de defensa, con una altísima probabilidad de incurrir en errores irreparables para las personas procesadas e incluso con posibles consecuencias perniciosas para las propias víctimas del delito, por ejemplo, al permitir, al unísono, la condena de una persona inocente y la impunidad del culpable.  </w:t>
      </w:r>
    </w:p>
    <w:p w14:paraId="608A1D44"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 xml:space="preserve">Habida cuenta de la relevancia que presenta el tema en la actualidad, en las siguientes líneas se intentará trazar algunas advertencias en cuanto a medios probatorios particularmente </w:t>
      </w:r>
      <w:r w:rsidRPr="00D66245">
        <w:rPr>
          <w:rFonts w:ascii="Palatino Linotype" w:hAnsi="Palatino Linotype" w:cs="Times New Roman"/>
          <w:i/>
          <w:lang w:val="es-ES_tradnl"/>
        </w:rPr>
        <w:t>peligrosos</w:t>
      </w:r>
      <w:r w:rsidRPr="00D66245">
        <w:rPr>
          <w:rFonts w:ascii="Palatino Linotype" w:hAnsi="Palatino Linotype" w:cs="Times New Roman"/>
          <w:lang w:val="es-ES_tradnl"/>
        </w:rPr>
        <w:t>, si se emplea una valoración poco rigurosa e intuitiva, todos ellos ligados con el testimonio.</w:t>
      </w:r>
    </w:p>
    <w:p w14:paraId="79B5D1E1" w14:textId="77777777" w:rsidR="00B377B2" w:rsidRPr="00D66245" w:rsidRDefault="00B377B2" w:rsidP="000117D4">
      <w:pPr>
        <w:pStyle w:val="Prrafodelista"/>
        <w:numPr>
          <w:ilvl w:val="0"/>
          <w:numId w:val="10"/>
        </w:numPr>
        <w:spacing w:before="120" w:after="200" w:line="240" w:lineRule="auto"/>
        <w:ind w:left="0" w:firstLine="0"/>
        <w:contextualSpacing w:val="0"/>
        <w:jc w:val="both"/>
        <w:rPr>
          <w:rFonts w:ascii="Palatino Linotype" w:hAnsi="Palatino Linotype" w:cs="Times New Roman"/>
          <w:b/>
          <w:lang w:val="es-ES"/>
        </w:rPr>
      </w:pPr>
      <w:r w:rsidRPr="00D66245">
        <w:rPr>
          <w:rFonts w:ascii="Palatino Linotype" w:hAnsi="Palatino Linotype" w:cs="Times New Roman"/>
          <w:b/>
          <w:lang w:val="es-ES"/>
        </w:rPr>
        <w:t>La prueba testimonial</w:t>
      </w:r>
    </w:p>
    <w:p w14:paraId="25FF70AD"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La sicología del testimonio, que se ha definido como “una aplicación de los conocimientos, procedimientos y herramientas desarrolladas desde la psicología de la memoria a los casos en los que los testigos y víctimas son los que proporcionan las pruebas”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author":[{"dropping-particle":"","family":"Diges","given":"Margarita","non-dropping-particle":"","parse-names":false,"suffix":""},{"dropping-particle":"","family":"Pérez-Mata","given":"Nieves","non-dropping-particle":"","parse-names":false,"suffix":""}],"container-title":"Identificaciones fotográficas y en rueda de reconocimiento. Un análisis desde el Derecho procesal penal y la psicología del testimonio","id":"ITEM-1","issued":{"date-parts":[["2014"]]},"publisher":"Marcial Pons","title":"La prueba de identificación desde la psicología del testimonio","type":"chapter"},"locator":"34","uris":["http://www.mendeley.com/documents/?uuid=4239216f-cb8f-4db9-a5c2-b6609f2db014"]}],"mendeley":{"formattedCitation":"(Diges &amp; Pérez-Mata, 2014, p. 34)","plainTextFormattedCitation":"(Diges &amp; Pérez-Mata, 2014, p. 34)","previouslyFormattedCitation":"(Diges &amp; Pérez-Mata, 2014, p. 34)"},"properties":{"noteIndex":0},"schema":"https://github.com/citation-style-language/schema/raw/master/csl-citation.json"}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(Diges &amp; Pérez-Mata, 2014, p. 34)</w:t>
      </w:r>
      <w:r w:rsidRPr="00D66245">
        <w:rPr>
          <w:rFonts w:ascii="Palatino Linotype" w:hAnsi="Palatino Linotype" w:cs="Times New Roman"/>
        </w:rPr>
        <w:fldChar w:fldCharType="end"/>
      </w:r>
      <w:r w:rsidRPr="00D66245">
        <w:rPr>
          <w:rFonts w:ascii="Palatino Linotype" w:hAnsi="Palatino Linotype" w:cs="Times New Roman"/>
        </w:rPr>
        <w:t>, ha permitido comprender cuan febles son nuestros recuerdos, dado que, al ser las memoria de tipo reconstructivo, tanto en el proceso de codificación de la información, como en su almacenamiento y recuperación, se presenta un mecanismo que “se parece más a pintar que a fotografiar”</w:t>
      </w:r>
      <w:r w:rsidRPr="00D66245">
        <w:rPr>
          <w:rStyle w:val="Refdenotaalpie"/>
          <w:rFonts w:ascii="Palatino Linotype" w:hAnsi="Palatino Linotype" w:cs="Times New Roman"/>
        </w:rPr>
        <w:footnoteReference w:id="378"/>
      </w:r>
      <w:r w:rsidRPr="00D66245">
        <w:rPr>
          <w:rFonts w:ascii="Palatino Linotype" w:hAnsi="Palatino Linotype" w:cs="Times New Roman"/>
        </w:rPr>
        <w:t>, produciéndose, desde los primeros momentos, una sensible pérdida y modificación de los datos percibidos.</w:t>
      </w:r>
    </w:p>
    <w:p w14:paraId="33284366"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Sin embargo, actualmente, en los procesos penales, los interrogatorios a las partes siguen, de forma casi exclusiva, la intuición o la tradición. La tendencia del </w:t>
      </w:r>
      <w:r w:rsidRPr="00D66245">
        <w:rPr>
          <w:rFonts w:ascii="Palatino Linotype" w:hAnsi="Palatino Linotype" w:cs="Times New Roman"/>
          <w:bCs/>
        </w:rPr>
        <w:t>conductismo</w:t>
      </w:r>
      <w:r w:rsidRPr="00D66245">
        <w:rPr>
          <w:rFonts w:ascii="Palatino Linotype" w:hAnsi="Palatino Linotype" w:cs="Times New Roman"/>
        </w:rPr>
        <w:t xml:space="preserve"> (reacciones de los testigos a través del aprendizaje y la conducta) en los 70’s, motivó el auge del estudio de la memoria y las técnicas de interrogatorio que perviven hasta el día de hoy. Desde la psicología del testimonio se ha desmitificado la suficiencia de elementos conductuales externos para determinar la fiabilidad de un testimonio</w:t>
      </w:r>
      <w:r w:rsidRPr="00D66245">
        <w:rPr>
          <w:rStyle w:val="Refdenotaalpie"/>
          <w:rFonts w:ascii="Palatino Linotype" w:hAnsi="Palatino Linotype"/>
        </w:rPr>
        <w:footnoteReference w:id="379"/>
      </w:r>
      <w:r w:rsidRPr="00D66245">
        <w:rPr>
          <w:rFonts w:ascii="Palatino Linotype" w:hAnsi="Palatino Linotype" w:cs="Times New Roman"/>
        </w:rPr>
        <w:t>, sin embargo, la propensión judicial a hacer recaer los juicios valorativos en el mero comportamiento del deponente se encuentra hondamente arraigada y sigue siendo un lugar común en las sentencias</w:t>
      </w:r>
      <w:r w:rsidRPr="00D66245">
        <w:rPr>
          <w:rStyle w:val="Refdenotaalpie"/>
          <w:rFonts w:ascii="Palatino Linotype" w:hAnsi="Palatino Linotype"/>
        </w:rPr>
        <w:footnoteReference w:id="380"/>
      </w:r>
      <w:r w:rsidRPr="00D66245">
        <w:rPr>
          <w:rFonts w:ascii="Palatino Linotype" w:hAnsi="Palatino Linotype" w:cs="Times New Roman"/>
          <w:vertAlign w:val="superscript"/>
        </w:rPr>
        <w:t>.</w:t>
      </w:r>
      <w:r w:rsidRPr="00D66245">
        <w:rPr>
          <w:rFonts w:ascii="Palatino Linotype" w:hAnsi="Palatino Linotype" w:cs="Times New Roman"/>
        </w:rPr>
        <w:t xml:space="preserve"> Adicionalmente, la continua mención de frases “cajoneras” y vacías, como forma de eludir la explicitación de argumentos arbitrarios, encubriendo prejuicios e imposibilitando el control intersubjetivo de los mismos, sin duda alguna socava todas las garantías que pretende ofrecer el proceso, en tanto, de nada sirve resguardar el derecho de defensa y otros principios a través de un proceso debido, si finalmente la resolución pudiera recaer en el inasequible parecer subjetivo del órgano decisor. </w:t>
      </w:r>
    </w:p>
    <w:p w14:paraId="7F371E03"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Tal y como lo ha destacado Nieva, citando a Manzanero, la psicología del testimonio ha puesto en evidencia la necesidad de valorar la credibilidad del testimonio y no del testigo, aún cuando, como ya se ha indicado, en la actualidad siguen teniendo un enorme peso las impresiones que los jueces tienen de la conducta del testigo, provocando sentencias fundadas en mera intuición, impulsados por la tendencia a sobrevalorar la propia capacidad de detectar las mentiras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{"citationItems":[{"id":"ITEM-1","itemData":{"ISBN":"978-84-9768-757-7","author":[{"dropping-particle":"","family":"Nieva Fenoll","given":"Jordi","non-dropping-particle":"","parse-names":false,"suffix":""}],"id":"ITEM-1","issued":{"date-parts":[["2010"]]},"number-of-pages":"374","publisher":"Marcial Pons","publisher-place":"Madrid","title":"La valoración de la prueba","type":"book"},"locator":"220-222","uris":["http://www.mendeley.com/documents/?uuid=02cb8119-8982-42e4-bf20-49756a2587da"]}],"mendeley":{"formattedCitation":"(Nieva Fenoll, 2010, pp. 220–222)","plainTextFormattedCitation":"(Nieva Fenoll, 2010, pp. 220–222)","previouslyFormattedCitation":"(Nieva Fenoll, 2010, pp. 220–222)"},"properties":{"noteIndex":0},"schema":"https://github.com/citation-style-language/schema/raw/master/csl-citation.json"}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(Nieva Fenoll, 2010, pp. 220–222)</w:t>
      </w:r>
      <w:r w:rsidRPr="00D66245">
        <w:rPr>
          <w:rFonts w:ascii="Palatino Linotype" w:hAnsi="Palatino Linotype" w:cs="Times New Roman"/>
        </w:rPr>
        <w:fldChar w:fldCharType="end"/>
      </w:r>
      <w:r w:rsidRPr="00D66245">
        <w:rPr>
          <w:rStyle w:val="Refdenotaalpie"/>
          <w:rFonts w:ascii="Palatino Linotype" w:hAnsi="Palatino Linotype"/>
        </w:rPr>
        <w:footnoteReference w:id="381"/>
      </w:r>
      <w:r w:rsidRPr="00D66245">
        <w:rPr>
          <w:rFonts w:ascii="Palatino Linotype" w:hAnsi="Palatino Linotype" w:cs="Times New Roman"/>
        </w:rPr>
        <w:t xml:space="preserve">. </w:t>
      </w:r>
    </w:p>
    <w:p w14:paraId="619F1968"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rPr>
        <w:t>Precisamente, quizá uno de los aspectos básicos que deben destacarse, como piedra angular, a la hora de evaluar la prueba testimonial, pese a estar sólidamente arraigada en nuestra cultura jurídica, es la intuición</w:t>
      </w:r>
      <w:r w:rsidRPr="00D66245">
        <w:rPr>
          <w:rStyle w:val="Refdenotaalpie"/>
          <w:rFonts w:ascii="Palatino Linotype" w:hAnsi="Palatino Linotype" w:cs="Times New Roman"/>
        </w:rPr>
        <w:footnoteReference w:id="382"/>
      </w:r>
      <w:r w:rsidRPr="00D66245">
        <w:rPr>
          <w:rFonts w:ascii="Palatino Linotype" w:hAnsi="Palatino Linotype" w:cs="Times New Roman"/>
        </w:rPr>
        <w:t xml:space="preserve"> y su necesaria exclusión. Asimismo, no es inusual emplear las llamadas “máximas de la experiencia” como sucedáneas de las pruebas o como elementos propicios para llenar lagunas. Esto puede resultar eficaz en la vida cotidiana, pero debe desterrarse de la valoración de la prueba. Estas nociones suelen citarse de forma genérica, “</w:t>
      </w:r>
      <w:r w:rsidRPr="00D66245">
        <w:rPr>
          <w:rFonts w:ascii="Palatino Linotype" w:hAnsi="Palatino Linotype" w:cs="Times New Roman"/>
          <w:iCs/>
        </w:rPr>
        <w:t>como una especie de cláusula de estilo que obvia cualquier razonamiento (</w:t>
      </w:r>
      <w:r w:rsidRPr="00D66245">
        <w:rPr>
          <w:rFonts w:ascii="Palatino Linotype" w:hAnsi="Palatino Linotype" w:cs="Times New Roman"/>
          <w:iCs/>
          <w:cs/>
          <w:lang w:bidi="mr-IN"/>
        </w:rPr>
        <w:t>…</w:t>
      </w:r>
      <w:r w:rsidRPr="00D66245">
        <w:rPr>
          <w:rFonts w:ascii="Palatino Linotype" w:hAnsi="Palatino Linotype" w:cs="Times New Roman"/>
          <w:iCs/>
          <w:lang w:val="es-ES_tradnl"/>
        </w:rPr>
        <w:t>) en ocasiones llenas de prejuicios y no atienden en absoluto al método científico”</w:t>
      </w:r>
      <w:r w:rsidRPr="00D66245">
        <w:rPr>
          <w:rFonts w:ascii="Palatino Linotype" w:hAnsi="Palatino Linotype" w:cs="Times New Roman"/>
          <w:iCs/>
          <w:lang w:val="es-ES_tradnl"/>
        </w:rPr>
        <w:fldChar w:fldCharType="begin" w:fldLock="1"/>
      </w:r>
      <w:r w:rsidRPr="00D66245">
        <w:rPr>
          <w:rFonts w:ascii="Palatino Linotype" w:hAnsi="Palatino Linotype" w:cs="Times New Roman"/>
          <w:iCs/>
          <w:lang w:val="es-ES_tradnl"/>
        </w:rPr>
        <w:instrText>ADDIN CSL_CITATION {"citationItems":[{"id":"ITEM-1","itemData":{"ISBN":"978-84-9768-757-7","author":[{"dropping-particle":"","family":"Nieva Fenoll","given":"Jordi","non-dropping-particle":"","parse-names":false,"suffix":""}],"id":"ITEM-1","issued":{"date-parts":[["2010"]]},"number-of-pages":"374","publisher":"Marcial Pons","publisher-place":"Madrid","title":"La valoración de la prueba","type":"book"},"locator":"211","uris":["http://www.mendeley.com/documents/?uuid=02cb8119-8982-42e4-bf20-49756a2587da"]}],"mendeley":{"formattedCitation":"(Nieva Fenoll, 2010, p. 211)","plainTextFormattedCitation":"(Nieva Fenoll, 2010, p. 211)","previouslyFormattedCitation":"(Nieva Fenoll, 2010, p. 211)"},"properties":{"noteIndex":0},"schema":"https://github.com/citation-style-language/schema/raw/master/csl-citation.json"}</w:instrText>
      </w:r>
      <w:r w:rsidRPr="00D66245">
        <w:rPr>
          <w:rFonts w:ascii="Palatino Linotype" w:hAnsi="Palatino Linotype" w:cs="Times New Roman"/>
          <w:iCs/>
          <w:lang w:val="es-ES_tradnl"/>
        </w:rPr>
        <w:fldChar w:fldCharType="separate"/>
      </w:r>
      <w:r w:rsidRPr="00D66245">
        <w:rPr>
          <w:rFonts w:ascii="Palatino Linotype" w:hAnsi="Palatino Linotype" w:cs="Times New Roman"/>
          <w:iCs/>
          <w:noProof/>
          <w:lang w:val="es-ES_tradnl"/>
        </w:rPr>
        <w:t>(Nieva Fenoll, 2010, p. 211)</w:t>
      </w:r>
      <w:r w:rsidRPr="00D66245">
        <w:rPr>
          <w:rFonts w:ascii="Palatino Linotype" w:hAnsi="Palatino Linotype" w:cs="Times New Roman"/>
          <w:iCs/>
          <w:lang w:val="es-ES_tradnl"/>
        </w:rPr>
        <w:fldChar w:fldCharType="end"/>
      </w:r>
      <w:r w:rsidRPr="00D66245">
        <w:rPr>
          <w:rFonts w:ascii="Palatino Linotype" w:hAnsi="Palatino Linotype" w:cs="Times New Roman"/>
          <w:i/>
          <w:iCs/>
          <w:lang w:val="es-ES_tradnl"/>
        </w:rPr>
        <w:t xml:space="preserve">. </w:t>
      </w:r>
      <w:r w:rsidRPr="00D66245">
        <w:rPr>
          <w:rFonts w:ascii="Palatino Linotype" w:hAnsi="Palatino Linotype" w:cs="Times New Roman"/>
          <w:iCs/>
          <w:lang w:val="es-ES_tradnl"/>
        </w:rPr>
        <w:t xml:space="preserve">Si se utilizan, </w:t>
      </w:r>
      <w:r w:rsidRPr="00D66245">
        <w:rPr>
          <w:rFonts w:ascii="Palatino Linotype" w:hAnsi="Palatino Linotype" w:cs="Times New Roman"/>
          <w:lang w:val="es-ES_tradnl"/>
        </w:rPr>
        <w:t>debe hacerse un esfuerzo por dar contenido a tales máximas.</w:t>
      </w:r>
    </w:p>
    <w:p w14:paraId="6FC2BFDA"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No pocas veces los razonamientos meramente intuitivos son cubiertos “por un manto de presunciones mal construidas que intentan dar una apariencia de motivación a la resolución. Es algo parecido a lo que ocurre cuando motivando la parte más jurídica de la sentencia, citan y reproducen literal e inmotivadamente jurisprudencia, sentencia tras sentencia”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{"citationItems":[{"id":"ITEM-1","itemData":{"ISBN":"978-84-9768-757-7","author":[{"dropping-particle":"","family":"Nieva Fenoll","given":"Jordi","non-dropping-particle":"","parse-names":false,"suffix":""}],"id":"ITEM-1","issued":{"date-parts":[["2010"]]},"number-of-pages":"374","publisher":"Marcial Pons","publisher-place":"Madrid","title":"La valoración de la prueba","type":"book"},"locator":"208","uris":["http://www.mendeley.com/documents/?uuid=02cb8119-8982-42e4-bf20-49756a2587da"]}],"mendeley":{"formattedCitation":"(Nieva Fenoll, 2010, p. 208)","plainTextFormattedCitation":"(Nieva Fenoll, 2010, p. 208)","previouslyFormattedCitation":"(Nieva Fenoll, 2010, p. 208)"},"properties":{"noteIndex":0},"schema":"https://github.com/citation-style-language/schema/raw/master/csl-citation.json"}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(Nieva Fenoll, 2010, p. 208)</w:t>
      </w:r>
      <w:r w:rsidRPr="00D66245">
        <w:rPr>
          <w:rFonts w:ascii="Palatino Linotype" w:hAnsi="Palatino Linotype" w:cs="Times New Roman"/>
        </w:rPr>
        <w:fldChar w:fldCharType="end"/>
      </w:r>
      <w:r w:rsidRPr="00D66245">
        <w:rPr>
          <w:rFonts w:ascii="Palatino Linotype" w:hAnsi="Palatino Linotype" w:cs="Times New Roman"/>
        </w:rPr>
        <w:t>. Debe recordarse, siguiendo a Nieva, que “lo que no se puede motivar no existe”.</w:t>
      </w:r>
    </w:p>
    <w:p w14:paraId="47A48BF6"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Es por ello por lo que, dada la complejidad que entraña la prueba testimonial y las dificultades correlativas a su valoración, resulta imprescindible que el derecho se abra al conocimiento científico, rescatando los insumos provenientes de otras áreas del pensamiento humano, con lo que se viabiliza dejar atrás viejas estructuras de </w:t>
      </w:r>
      <w:r w:rsidRPr="00D66245">
        <w:rPr>
          <w:rFonts w:ascii="Palatino Linotype" w:hAnsi="Palatino Linotype" w:cs="Times New Roman"/>
          <w:i/>
        </w:rPr>
        <w:t>análisis</w:t>
      </w:r>
      <w:r w:rsidRPr="00D66245">
        <w:rPr>
          <w:rFonts w:ascii="Palatino Linotype" w:hAnsi="Palatino Linotype" w:cs="Times New Roman"/>
        </w:rPr>
        <w:t xml:space="preserve"> como las expuestas. Sobre la memoria, la ciencia aporta interesantes aspectos a tomar en cuenta, por ejemplo</w:t>
      </w:r>
      <w:r w:rsidRPr="00D66245">
        <w:rPr>
          <w:rStyle w:val="Refdenotaalpie"/>
          <w:rFonts w:ascii="Palatino Linotype" w:hAnsi="Palatino Linotype" w:cs="Times New Roman"/>
          <w:vertAlign w:val="baseline"/>
        </w:rPr>
        <w:t xml:space="preserve"> </w:t>
      </w:r>
      <w:r w:rsidRPr="00D66245">
        <w:rPr>
          <w:rStyle w:val="Refdenotaalpie"/>
          <w:rFonts w:ascii="Palatino Linotype" w:hAnsi="Palatino Linotype" w:cs="Times New Roman"/>
        </w:rPr>
        <w:footnoteReference w:id="383"/>
      </w:r>
      <w:r w:rsidRPr="00D66245">
        <w:rPr>
          <w:rFonts w:ascii="Palatino Linotype" w:hAnsi="Palatino Linotype" w:cs="Times New Roman"/>
        </w:rPr>
        <w:t>:</w:t>
      </w:r>
    </w:p>
    <w:p w14:paraId="4B8ED2E7" w14:textId="77777777" w:rsidR="00B377B2" w:rsidRPr="00D66245" w:rsidRDefault="00B377B2" w:rsidP="00F53211">
      <w:pPr>
        <w:pStyle w:val="Prrafodelista"/>
        <w:numPr>
          <w:ilvl w:val="0"/>
          <w:numId w:val="13"/>
        </w:numPr>
        <w:spacing w:before="120" w:after="200" w:line="240" w:lineRule="auto"/>
        <w:contextualSpacing w:val="0"/>
        <w:jc w:val="both"/>
        <w:rPr>
          <w:rFonts w:ascii="Palatino Linotype" w:hAnsi="Palatino Linotype" w:cs="Times New Roman"/>
          <w:lang w:val="es-ES"/>
        </w:rPr>
      </w:pPr>
      <w:r w:rsidRPr="00D66245">
        <w:rPr>
          <w:rFonts w:ascii="Palatino Linotype" w:hAnsi="Palatino Linotype" w:cs="Times New Roman"/>
          <w:lang w:val="es-ES"/>
        </w:rPr>
        <w:t>La capacidad para recordar estímulos auditivos es superior a la de los estímulos visuales.</w:t>
      </w:r>
    </w:p>
    <w:p w14:paraId="413DBEAF" w14:textId="77777777" w:rsidR="00B377B2" w:rsidRPr="00D66245" w:rsidRDefault="00B377B2" w:rsidP="00F53211">
      <w:pPr>
        <w:pStyle w:val="Prrafodelista"/>
        <w:numPr>
          <w:ilvl w:val="0"/>
          <w:numId w:val="13"/>
        </w:numPr>
        <w:spacing w:before="120" w:after="200" w:line="240" w:lineRule="auto"/>
        <w:contextualSpacing w:val="0"/>
        <w:jc w:val="both"/>
        <w:rPr>
          <w:rFonts w:ascii="Palatino Linotype" w:hAnsi="Palatino Linotype" w:cs="Times New Roman"/>
          <w:lang w:val="es-ES"/>
        </w:rPr>
      </w:pPr>
      <w:r w:rsidRPr="00D66245">
        <w:rPr>
          <w:rFonts w:ascii="Palatino Linotype" w:hAnsi="Palatino Linotype" w:cs="Times New Roman"/>
          <w:lang w:val="es-ES"/>
        </w:rPr>
        <w:t>Se recuerda mejor los primeros y últimos datos de una lista.</w:t>
      </w:r>
    </w:p>
    <w:p w14:paraId="78C92673" w14:textId="77777777" w:rsidR="00B377B2" w:rsidRPr="00D66245" w:rsidRDefault="00B377B2" w:rsidP="00F53211">
      <w:pPr>
        <w:pStyle w:val="Prrafodelista"/>
        <w:numPr>
          <w:ilvl w:val="0"/>
          <w:numId w:val="13"/>
        </w:numPr>
        <w:spacing w:before="120" w:after="200" w:line="240" w:lineRule="auto"/>
        <w:contextualSpacing w:val="0"/>
        <w:jc w:val="both"/>
        <w:rPr>
          <w:rFonts w:ascii="Palatino Linotype" w:hAnsi="Palatino Linotype" w:cs="Times New Roman"/>
          <w:lang w:val="es-ES"/>
        </w:rPr>
      </w:pPr>
      <w:r w:rsidRPr="00D66245">
        <w:rPr>
          <w:rFonts w:ascii="Palatino Linotype" w:hAnsi="Palatino Linotype" w:cs="Times New Roman"/>
          <w:lang w:val="es-ES"/>
        </w:rPr>
        <w:t>En cuanto a la memoria a largo plazo, se distinguen dos tipos: La episódica (autobiográfica) y la semántica (conocimientos para la interpretación del mundo, que permite valorar los datos de la memoria episódica).</w:t>
      </w:r>
    </w:p>
    <w:p w14:paraId="57D4F2AD" w14:textId="77777777" w:rsidR="00B377B2" w:rsidRPr="00D66245" w:rsidRDefault="00B377B2" w:rsidP="00F53211">
      <w:pPr>
        <w:pStyle w:val="Prrafodelista"/>
        <w:numPr>
          <w:ilvl w:val="0"/>
          <w:numId w:val="13"/>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lang w:val="es-ES"/>
        </w:rPr>
        <w:t xml:space="preserve">Con respecto a la memoria episódica se distinguen 3 procesos: La </w:t>
      </w:r>
      <w:r w:rsidRPr="00D66245">
        <w:rPr>
          <w:rFonts w:ascii="Palatino Linotype" w:hAnsi="Palatino Linotype" w:cs="Times New Roman"/>
          <w:bCs/>
          <w:i/>
          <w:lang w:val="es-ES"/>
        </w:rPr>
        <w:t>codificación</w:t>
      </w:r>
      <w:r w:rsidRPr="00D66245">
        <w:rPr>
          <w:rFonts w:ascii="Palatino Linotype" w:hAnsi="Palatino Linotype" w:cs="Times New Roman"/>
          <w:i/>
          <w:lang w:val="es-ES"/>
        </w:rPr>
        <w:t xml:space="preserve"> </w:t>
      </w:r>
      <w:r w:rsidRPr="00D66245">
        <w:rPr>
          <w:rFonts w:ascii="Palatino Linotype" w:hAnsi="Palatino Linotype" w:cs="Times New Roman"/>
          <w:lang w:val="es-ES"/>
        </w:rPr>
        <w:t xml:space="preserve">(toma información percibida, la selecciona, la interpreta </w:t>
      </w:r>
      <w:r w:rsidRPr="00D66245">
        <w:rPr>
          <w:rFonts w:ascii="Palatino Linotype" w:hAnsi="Palatino Linotype" w:cs="Times New Roman"/>
          <w:cs/>
          <w:lang w:val="es-ES" w:bidi="mr-IN"/>
        </w:rPr>
        <w:t>–</w:t>
      </w:r>
      <w:r w:rsidRPr="00D66245">
        <w:rPr>
          <w:rFonts w:ascii="Palatino Linotype" w:hAnsi="Palatino Linotype" w:cs="Times New Roman"/>
          <w:lang w:val="es-ES"/>
        </w:rPr>
        <w:t xml:space="preserve">dotándola de significado- y la integra a estructuras preexistentes, formando la llamada “huella de la memoria”), </w:t>
      </w:r>
      <w:r w:rsidRPr="00D66245">
        <w:rPr>
          <w:rFonts w:ascii="Palatino Linotype" w:hAnsi="Palatino Linotype" w:cs="Times New Roman"/>
          <w:bCs/>
          <w:i/>
          <w:lang w:val="es-ES"/>
        </w:rPr>
        <w:t>retención</w:t>
      </w:r>
      <w:r w:rsidRPr="00D66245">
        <w:rPr>
          <w:rFonts w:ascii="Palatino Linotype" w:hAnsi="Palatino Linotype" w:cs="Times New Roman"/>
          <w:b/>
          <w:bCs/>
          <w:lang w:val="es-ES"/>
        </w:rPr>
        <w:t xml:space="preserve"> </w:t>
      </w:r>
      <w:r w:rsidRPr="00D66245">
        <w:rPr>
          <w:rFonts w:ascii="Palatino Linotype" w:hAnsi="Palatino Linotype" w:cs="Times New Roman"/>
          <w:lang w:val="es-ES"/>
        </w:rPr>
        <w:t xml:space="preserve">(en esta fase las huellas de la memoria se deterioran con el paso del tiempo y la información se recodifica, se producen </w:t>
      </w:r>
      <w:r w:rsidRPr="00D66245">
        <w:rPr>
          <w:rFonts w:ascii="Palatino Linotype" w:hAnsi="Palatino Linotype" w:cs="Times New Roman"/>
          <w:i/>
          <w:lang w:val="es-ES"/>
        </w:rPr>
        <w:t>falsos recuerdos</w:t>
      </w:r>
      <w:r w:rsidRPr="00D66245">
        <w:rPr>
          <w:rFonts w:ascii="Palatino Linotype" w:hAnsi="Palatino Linotype" w:cs="Times New Roman"/>
          <w:lang w:val="es-ES"/>
        </w:rPr>
        <w:t xml:space="preserve"> y </w:t>
      </w:r>
      <w:r w:rsidRPr="00D66245">
        <w:rPr>
          <w:rFonts w:ascii="Palatino Linotype" w:hAnsi="Palatino Linotype" w:cs="Times New Roman"/>
          <w:i/>
          <w:lang w:val="es-ES"/>
        </w:rPr>
        <w:t>solapamientos</w:t>
      </w:r>
      <w:r w:rsidRPr="00D66245">
        <w:rPr>
          <w:rFonts w:ascii="Palatino Linotype" w:hAnsi="Palatino Linotype" w:cs="Times New Roman"/>
          <w:lang w:val="es-ES"/>
        </w:rPr>
        <w:t xml:space="preserve">) y la </w:t>
      </w:r>
      <w:r w:rsidRPr="00D66245">
        <w:rPr>
          <w:rFonts w:ascii="Palatino Linotype" w:hAnsi="Palatino Linotype" w:cs="Times New Roman"/>
          <w:bCs/>
          <w:i/>
          <w:lang w:val="es-ES"/>
        </w:rPr>
        <w:t>recuperación</w:t>
      </w:r>
      <w:r w:rsidRPr="00D66245">
        <w:rPr>
          <w:rFonts w:ascii="Palatino Linotype" w:hAnsi="Palatino Linotype" w:cs="Times New Roman"/>
          <w:lang w:val="es-ES"/>
        </w:rPr>
        <w:t xml:space="preserve"> (búsqueda en la memoria del recuerdo; este es el aspecto más interesante a efectos procesales).</w:t>
      </w:r>
    </w:p>
    <w:p w14:paraId="1F6EBC14" w14:textId="77777777" w:rsidR="00B377B2" w:rsidRPr="00D66245" w:rsidRDefault="00B377B2" w:rsidP="00F53211">
      <w:pPr>
        <w:pStyle w:val="Prrafodelista"/>
        <w:numPr>
          <w:ilvl w:val="0"/>
          <w:numId w:val="13"/>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lang w:val="es-ES"/>
        </w:rPr>
        <w:t>Las personas perciben normalmente solamente lo que les interesa.</w:t>
      </w:r>
    </w:p>
    <w:p w14:paraId="76320DF3" w14:textId="77777777" w:rsidR="00B377B2" w:rsidRPr="00D66245" w:rsidRDefault="00B377B2" w:rsidP="00F53211">
      <w:pPr>
        <w:pStyle w:val="Prrafodelista"/>
        <w:numPr>
          <w:ilvl w:val="0"/>
          <w:numId w:val="13"/>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lang w:val="es-ES"/>
        </w:rPr>
        <w:t xml:space="preserve">La </w:t>
      </w:r>
      <w:r w:rsidRPr="00D66245">
        <w:rPr>
          <w:rFonts w:ascii="Palatino Linotype" w:hAnsi="Palatino Linotype" w:cs="Times New Roman"/>
          <w:bCs/>
          <w:i/>
          <w:lang w:val="es-ES"/>
        </w:rPr>
        <w:t>confianza</w:t>
      </w:r>
      <w:r w:rsidRPr="00D66245">
        <w:rPr>
          <w:rFonts w:ascii="Palatino Linotype" w:hAnsi="Palatino Linotype" w:cs="Times New Roman"/>
          <w:lang w:val="es-ES"/>
        </w:rPr>
        <w:t xml:space="preserve"> que exprese un individuo en su memoria al declarar (sensación de saber) </w:t>
      </w:r>
      <w:r w:rsidRPr="00D66245">
        <w:rPr>
          <w:rFonts w:ascii="Palatino Linotype" w:hAnsi="Palatino Linotype" w:cs="Times New Roman"/>
          <w:bCs/>
          <w:lang w:val="es-ES"/>
        </w:rPr>
        <w:t>no tiene absolutamente nada que ver con la exactitud de sus recuerdos</w:t>
      </w:r>
      <w:r w:rsidRPr="00D66245">
        <w:rPr>
          <w:rFonts w:ascii="Palatino Linotype" w:hAnsi="Palatino Linotype" w:cs="Times New Roman"/>
          <w:lang w:val="es-ES"/>
        </w:rPr>
        <w:t>.</w:t>
      </w:r>
    </w:p>
    <w:p w14:paraId="794E1670" w14:textId="77777777" w:rsidR="00B377B2" w:rsidRPr="00D66245" w:rsidRDefault="00B377B2" w:rsidP="00F53211">
      <w:pPr>
        <w:pStyle w:val="Prrafodelista"/>
        <w:numPr>
          <w:ilvl w:val="0"/>
          <w:numId w:val="13"/>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lang w:val="es-ES"/>
        </w:rPr>
        <w:t>El contexto en que se generó la huella de la memoria es importante para recordarla.</w:t>
      </w:r>
    </w:p>
    <w:p w14:paraId="43BFCDEF" w14:textId="77777777" w:rsidR="00B377B2" w:rsidRPr="00D66245" w:rsidRDefault="00B377B2" w:rsidP="00F53211">
      <w:pPr>
        <w:pStyle w:val="Prrafodelista"/>
        <w:numPr>
          <w:ilvl w:val="0"/>
          <w:numId w:val="13"/>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lang w:val="es-ES"/>
        </w:rPr>
        <w:t>El llamado “contexto cognitivo” puede resultar relevante (el testigo debe recordar detalles físicos del lugar, secuencia de hechos, sus propias reacciones, etc.).</w:t>
      </w:r>
    </w:p>
    <w:p w14:paraId="304C1E6B" w14:textId="77777777" w:rsidR="00B377B2" w:rsidRPr="00D66245" w:rsidRDefault="00B377B2" w:rsidP="00F53211">
      <w:pPr>
        <w:pStyle w:val="Prrafodelista"/>
        <w:numPr>
          <w:ilvl w:val="0"/>
          <w:numId w:val="13"/>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lang w:val="es-ES"/>
        </w:rPr>
        <w:t>Los hechos desagradables se olvidan antes que los agradables, los relevantes y los que tienen implicaciones emocionales.</w:t>
      </w:r>
    </w:p>
    <w:p w14:paraId="7337CB7B" w14:textId="77777777" w:rsidR="00B377B2" w:rsidRPr="00D66245" w:rsidRDefault="00B377B2" w:rsidP="00F53211">
      <w:pPr>
        <w:pStyle w:val="Prrafodelista"/>
        <w:numPr>
          <w:ilvl w:val="0"/>
          <w:numId w:val="13"/>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lang w:val="es-ES"/>
        </w:rPr>
        <w:t xml:space="preserve">La memoria </w:t>
      </w:r>
      <w:r w:rsidRPr="00D66245">
        <w:rPr>
          <w:rFonts w:ascii="Palatino Linotype" w:hAnsi="Palatino Linotype" w:cs="Times New Roman"/>
          <w:bCs/>
          <w:lang w:val="es-ES"/>
        </w:rPr>
        <w:t>no graba la realidad, sino que la interpreta y reconstruye</w:t>
      </w:r>
      <w:r w:rsidRPr="00D66245">
        <w:rPr>
          <w:rFonts w:ascii="Palatino Linotype" w:hAnsi="Palatino Linotype" w:cs="Times New Roman"/>
          <w:lang w:val="es-ES"/>
        </w:rPr>
        <w:t>.</w:t>
      </w:r>
    </w:p>
    <w:p w14:paraId="3E861B01" w14:textId="77777777" w:rsidR="00B377B2" w:rsidRPr="00D66245" w:rsidRDefault="00B377B2" w:rsidP="00F53211">
      <w:pPr>
        <w:pStyle w:val="Prrafodelista"/>
        <w:numPr>
          <w:ilvl w:val="0"/>
          <w:numId w:val="13"/>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lang w:val="es-ES"/>
        </w:rPr>
        <w:t>El estrés generado por la violencia (memorias traumáticas) perjudica la calidad del recuerdo.</w:t>
      </w:r>
    </w:p>
    <w:p w14:paraId="39C6CFCD" w14:textId="77777777" w:rsidR="00B377B2" w:rsidRPr="00D66245" w:rsidRDefault="00B377B2" w:rsidP="00F53211">
      <w:pPr>
        <w:pStyle w:val="Prrafodelista"/>
        <w:numPr>
          <w:ilvl w:val="0"/>
          <w:numId w:val="13"/>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lang w:val="es-ES"/>
        </w:rPr>
        <w:t xml:space="preserve">Para valorar la </w:t>
      </w:r>
      <w:r w:rsidRPr="00D66245">
        <w:rPr>
          <w:rFonts w:ascii="Palatino Linotype" w:hAnsi="Palatino Linotype" w:cs="Times New Roman"/>
          <w:bCs/>
          <w:i/>
          <w:lang w:val="es-ES"/>
        </w:rPr>
        <w:t>credibilidad</w:t>
      </w:r>
      <w:r w:rsidRPr="00D66245">
        <w:rPr>
          <w:rFonts w:ascii="Palatino Linotype" w:hAnsi="Palatino Linotype" w:cs="Times New Roman"/>
          <w:b/>
          <w:bCs/>
          <w:lang w:val="es-ES"/>
        </w:rPr>
        <w:t xml:space="preserve"> </w:t>
      </w:r>
      <w:r w:rsidRPr="00D66245">
        <w:rPr>
          <w:rFonts w:ascii="Palatino Linotype" w:hAnsi="Palatino Linotype" w:cs="Times New Roman"/>
          <w:lang w:val="es-ES"/>
        </w:rPr>
        <w:t xml:space="preserve">de la declaración de una persona se han planteado métodos poco éticos y que además no funcionan (polígrafos, sueros de verdad, etc.), así como aspectos relacionados con las emociones del declarante que es mejor no tomar en cuenta, si se quiere un examen objetivo (se confunde la confianza o firmeza que expresa el declarante con la exactitud de su declaración); por ello, en muchos jueces, tiene relevancia el llamado </w:t>
      </w:r>
      <w:r w:rsidRPr="00D66245">
        <w:rPr>
          <w:rFonts w:ascii="Palatino Linotype" w:hAnsi="Palatino Linotype" w:cs="Times New Roman"/>
          <w:i/>
          <w:lang w:val="es-ES"/>
        </w:rPr>
        <w:t>heurístico de la representatividad</w:t>
      </w:r>
      <w:r w:rsidRPr="00D66245">
        <w:rPr>
          <w:rFonts w:ascii="Palatino Linotype" w:hAnsi="Palatino Linotype" w:cs="Times New Roman"/>
          <w:lang w:val="es-ES"/>
        </w:rPr>
        <w:t xml:space="preserve">. </w:t>
      </w:r>
    </w:p>
    <w:p w14:paraId="1B1ECE88" w14:textId="77777777" w:rsidR="00B377B2" w:rsidRPr="00D66245" w:rsidRDefault="00B377B2" w:rsidP="00F53211">
      <w:pPr>
        <w:pStyle w:val="Prrafodelista"/>
        <w:numPr>
          <w:ilvl w:val="0"/>
          <w:numId w:val="13"/>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lang w:val="es-ES"/>
        </w:rPr>
        <w:t>Uno de los problemas más visibles, como ya se apuntó, en la valoración de la credibilidad, es que las personas sobrevaloran su propia capacidad de detectar las mentiras.</w:t>
      </w:r>
    </w:p>
    <w:p w14:paraId="1B2E693E"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Desde la perspectiva asentada, las </w:t>
      </w:r>
      <w:r w:rsidRPr="00D66245">
        <w:rPr>
          <w:rFonts w:ascii="Palatino Linotype" w:hAnsi="Palatino Linotype" w:cs="Times New Roman"/>
          <w:bCs/>
        </w:rPr>
        <w:t>circunstancias que efectivamente pueden ser controlables por el juez,</w:t>
      </w:r>
      <w:r w:rsidRPr="00D66245">
        <w:rPr>
          <w:rFonts w:ascii="Palatino Linotype" w:hAnsi="Palatino Linotype" w:cs="Times New Roman"/>
        </w:rPr>
        <w:t xml:space="preserve"> en la valoración de la prueba testimonial, de forma objetiva y sin someter a un examen a la persona declarante (heurístico de la representatividad), son las siguientes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{"citationItems":[{"id":"ITEM-1","itemData":{"ISBN":"978-84-9768-757-7","author":[{"dropping-particle":"","family":"Nieva Fenoll","given":"Jordi","non-dropping-particle":"","parse-names":false,"suffix":""}],"id":"ITEM-1","issued":{"date-parts":[["2010"]]},"number-of-pages":"374","publisher":"Marcial Pons","publisher-place":"Madrid","title":"La valoración de la prueba","type":"book"},"locator":"222-230","uris":["http://www.mendeley.com/documents/?uuid=02cb8119-8982-42e4-bf20-49756a2587da"]}],"mendeley":{"formattedCitation":"(Nieva Fenoll, 2010, pp. 222–230)","plainTextFormattedCitation":"(Nieva Fenoll, 2010, pp. 222–230)","previouslyFormattedCitation":"(Nieva Fenoll, 2010, pp. 222–230)"},"properties":{"noteIndex":0},"schema":"https://github.com/citation-style-language/schema/raw/master/csl-citation.json"}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(Nieva Fenoll, 2010, pp. 222–230)</w:t>
      </w:r>
      <w:r w:rsidRPr="00D66245">
        <w:rPr>
          <w:rFonts w:ascii="Palatino Linotype" w:hAnsi="Palatino Linotype" w:cs="Times New Roman"/>
        </w:rPr>
        <w:fldChar w:fldCharType="end"/>
      </w:r>
      <w:r w:rsidRPr="00D66245">
        <w:rPr>
          <w:rFonts w:ascii="Palatino Linotype" w:hAnsi="Palatino Linotype" w:cs="Times New Roman"/>
        </w:rPr>
        <w:t>:</w:t>
      </w:r>
    </w:p>
    <w:p w14:paraId="271E0F66" w14:textId="77777777" w:rsidR="00B377B2" w:rsidRPr="00D66245" w:rsidRDefault="00B377B2" w:rsidP="00F53211">
      <w:pPr>
        <w:pStyle w:val="Prrafodelista"/>
        <w:numPr>
          <w:ilvl w:val="0"/>
          <w:numId w:val="13"/>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b/>
          <w:bCs/>
          <w:lang w:val="es-ES"/>
        </w:rPr>
        <w:t>La coherencia de los relatos</w:t>
      </w:r>
      <w:r w:rsidRPr="00D66245">
        <w:rPr>
          <w:rFonts w:ascii="Palatino Linotype" w:hAnsi="Palatino Linotype" w:cs="Times New Roman"/>
          <w:lang w:val="es-ES"/>
        </w:rPr>
        <w:t xml:space="preserve">: Estructura lógica (debe sospecharse de una declaración “demasiado perfecta”) y ausencia de contradicciones (tomando en cuenta que los </w:t>
      </w:r>
      <w:r w:rsidRPr="00D66245">
        <w:rPr>
          <w:rFonts w:ascii="Palatino Linotype" w:hAnsi="Palatino Linotype" w:cs="Times New Roman"/>
          <w:i/>
          <w:lang w:val="es-ES"/>
        </w:rPr>
        <w:t>desacuerdos intrasujeto</w:t>
      </w:r>
      <w:r w:rsidRPr="00D66245">
        <w:rPr>
          <w:rFonts w:ascii="Palatino Linotype" w:hAnsi="Palatino Linotype" w:cs="Times New Roman"/>
          <w:lang w:val="es-ES"/>
        </w:rPr>
        <w:t xml:space="preserve"> no implican automáticamente una mentira). Este aspecto es insuficiente por si mismo para afirmar la veracidad o no de un testimonio.</w:t>
      </w:r>
    </w:p>
    <w:p w14:paraId="4741858F" w14:textId="77777777" w:rsidR="00B377B2" w:rsidRPr="00D66245" w:rsidRDefault="00B377B2" w:rsidP="00F53211">
      <w:pPr>
        <w:pStyle w:val="Prrafodelista"/>
        <w:numPr>
          <w:ilvl w:val="0"/>
          <w:numId w:val="13"/>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b/>
          <w:bCs/>
          <w:lang w:val="es-ES"/>
        </w:rPr>
        <w:t>La contextualización del relato</w:t>
      </w:r>
      <w:r w:rsidRPr="00D66245">
        <w:rPr>
          <w:rFonts w:ascii="Palatino Linotype" w:hAnsi="Palatino Linotype" w:cs="Times New Roman"/>
          <w:lang w:val="es-ES"/>
        </w:rPr>
        <w:t>: El declarante debe describir datos del ambiente vital, espacial o temporal en el que los hechos tuvieron lugar (qué hizo antes o después del hecho, temperatura o condiciones climáticas, qué escuchaba, etc.).</w:t>
      </w:r>
    </w:p>
    <w:p w14:paraId="37ADA00F" w14:textId="77777777" w:rsidR="00B377B2" w:rsidRPr="00D66245" w:rsidRDefault="00B377B2" w:rsidP="00F53211">
      <w:pPr>
        <w:pStyle w:val="Prrafodelista"/>
        <w:numPr>
          <w:ilvl w:val="0"/>
          <w:numId w:val="13"/>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b/>
          <w:bCs/>
          <w:lang w:val="es-ES"/>
        </w:rPr>
        <w:t>Las “corroboraciones periféricas”</w:t>
      </w:r>
      <w:r w:rsidRPr="00D66245">
        <w:rPr>
          <w:rFonts w:ascii="Palatino Linotype" w:hAnsi="Palatino Linotype" w:cs="Times New Roman"/>
          <w:lang w:val="es-ES"/>
        </w:rPr>
        <w:t>: No tienen que venir siempre de personas, podría tratarse de hechos que ocurran al mismo tiempo que el hecho principal (debe valorarse con cautela, el hecho de que las declaraciones no coincidan no determina sin más la falsedad; tampoco que coincidan significa sin más la veracidad).</w:t>
      </w:r>
    </w:p>
    <w:p w14:paraId="1AE22283" w14:textId="77777777" w:rsidR="00B377B2" w:rsidRPr="00D66245" w:rsidRDefault="00B377B2" w:rsidP="00F53211">
      <w:pPr>
        <w:pStyle w:val="Prrafodelista"/>
        <w:numPr>
          <w:ilvl w:val="0"/>
          <w:numId w:val="13"/>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b/>
          <w:bCs/>
          <w:lang w:val="es-ES"/>
        </w:rPr>
        <w:t>La existencia de detalles oportunistas a favor del declarante</w:t>
      </w:r>
      <w:r w:rsidRPr="00D66245">
        <w:rPr>
          <w:rFonts w:ascii="Palatino Linotype" w:hAnsi="Palatino Linotype" w:cs="Times New Roman"/>
          <w:lang w:val="es-ES"/>
        </w:rPr>
        <w:t>: Manifestaciones sobre el carácter o la intencionalidad de una de las partes, o justificaciones de las propias actuaciones o de quien se pretende beneficiar. Podría ser indicativo de falsedad o, al menos, de pérdida de objetividad.</w:t>
      </w:r>
    </w:p>
    <w:p w14:paraId="32576B37"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Lógicamente, la presencia o ausencia, en mayor o menor medida, de alguno de los indicadores expuestos, no implica necesariamente desechar o acoger la información vertida en una declaración, pues, como se ha evidenciado, la valoración del testimonio es quizá una de las actividades más complejas que existen, siendo muy probable que, en ciertos casos, un “buen actor” estructure intencionalmente un relato, en apariencia fiable, pero que no se corresponda con la verdad de lo ocurrido, mientras que la narración de ciertos hechos por parte de alguien que incurra en nerviosismo y, por ende, presente lagunas y contradicciones sea, sin embargo, ajustado a la realidad. Mención separada merecen aquellos casos en que el declarante crea en la sinceridad de su versión, pese a lo cuál esta no sea verdadera, influenciado por errores en la percepción o interpretación, o incluso falsos recuerdos</w:t>
      </w:r>
      <w:r w:rsidRPr="00D66245">
        <w:rPr>
          <w:rStyle w:val="Refdenotaalpie"/>
          <w:rFonts w:ascii="Palatino Linotype" w:hAnsi="Palatino Linotype"/>
        </w:rPr>
        <w:footnoteReference w:id="384"/>
      </w:r>
      <w:r w:rsidRPr="00D66245">
        <w:rPr>
          <w:rFonts w:ascii="Palatino Linotype" w:hAnsi="Palatino Linotype" w:cs="Times New Roman"/>
        </w:rPr>
        <w:t>.</w:t>
      </w:r>
    </w:p>
    <w:p w14:paraId="7754F9CE"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En España, por ejemplo, se han establecido jurisprudencialmente, como indicadores de valoración de prueba testimonial, la verosimilitud, la ausencia de incredibilidad subjetiva y la persistencia en la incriminación. Sin embargo, estos lineamientos suelen asumirse “con cierto automatismo”</w:t>
      </w:r>
      <w:r w:rsidRPr="00D66245">
        <w:rPr>
          <w:rStyle w:val="Refdenotaalpie"/>
          <w:rFonts w:ascii="Palatino Linotype" w:hAnsi="Palatino Linotype"/>
        </w:rPr>
        <w:footnoteReference w:id="385"/>
      </w:r>
      <w:r w:rsidRPr="00D66245">
        <w:rPr>
          <w:rFonts w:ascii="Palatino Linotype" w:hAnsi="Palatino Linotype" w:cs="Times New Roman"/>
        </w:rPr>
        <w:t>, como si se tratase de un listado taxativo cuya verificación acarrea la veracidad del testimonio, es decir, equiparándolos a un estándar de prueba</w:t>
      </w:r>
      <w:r w:rsidRPr="00D66245">
        <w:rPr>
          <w:rStyle w:val="Refdenotaalpie"/>
          <w:rFonts w:ascii="Palatino Linotype" w:hAnsi="Palatino Linotype"/>
        </w:rPr>
        <w:footnoteReference w:id="386"/>
      </w:r>
      <w:r w:rsidRPr="00D66245">
        <w:rPr>
          <w:rFonts w:ascii="Palatino Linotype" w:hAnsi="Palatino Linotype" w:cs="Times New Roman"/>
        </w:rPr>
        <w:t xml:space="preserve">. </w:t>
      </w:r>
    </w:p>
    <w:p w14:paraId="3090E1CC"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Otro de los problemas que atañen directamente a la valoración de la prueba testimonial es el de la llamada concepción “mística de la inmediación”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{"citationItems":[{"id":"ITEM-1","itemData":{"ISBN":"978-84-9879-572-1","author":[{"dropping-particle":"","family":"Ibáñez","given":"Perfecto Andrés","non-dropping-particle":"","parse-names":false,"suffix":""}],"id":"ITEM-1","issued":{"date-parts":[["2015"]]},"number-of-pages":"556","publisher":"Editorial Trotta","publisher-place":"Madrid","title":"Tercero en discordia. Jurisdicción y Juez del Estado Constitucional","type":"book"},"locator":"272-277","uris":["http://www.mendeley.com/documents/?uuid=db0a4cc6-bda8-4599-874b-30f83a2d8111"]}],"mendeley":{"formattedCitation":"(Ibáñez, 2015, pp. 272–277)","plainTextFormattedCitation":"(Ibáñez, 2015, pp. 272–277)","previouslyFormattedCitation":"(Ibáñez, 2015, pp. 272–277)"},"properties":{"noteIndex":0},"schema":"https://github.com/citation-style-language/schema/raw/master/csl-citation.json"}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(Ibáñez, 2015, pp. 272–277)</w:t>
      </w:r>
      <w:r w:rsidRPr="00D66245">
        <w:rPr>
          <w:rFonts w:ascii="Palatino Linotype" w:hAnsi="Palatino Linotype" w:cs="Times New Roman"/>
        </w:rPr>
        <w:fldChar w:fldCharType="end"/>
      </w:r>
      <w:r w:rsidRPr="00D66245">
        <w:rPr>
          <w:rFonts w:ascii="Palatino Linotype" w:hAnsi="Palatino Linotype" w:cs="Times New Roman"/>
        </w:rPr>
        <w:t xml:space="preserve">, privilegiando el contacto directo que en la producción de la prueba tiene el órgano decisor. En muchos delitos, especialmente aquellos de particular repercusión mediática, se pueden observar  rasgos de la denominada </w:t>
      </w:r>
      <w:r w:rsidRPr="00D66245">
        <w:rPr>
          <w:rFonts w:ascii="Palatino Linotype" w:hAnsi="Palatino Linotype" w:cs="Times New Roman"/>
          <w:i/>
        </w:rPr>
        <w:t>concepción persuasiva de la prueba</w:t>
      </w:r>
      <w:r w:rsidRPr="00D66245">
        <w:rPr>
          <w:rFonts w:ascii="Palatino Linotype" w:hAnsi="Palatino Linotype" w:cs="Times New Roman"/>
        </w:rPr>
        <w:t xml:space="preserve">, especialmente la presencia de una noción intensa de la inmediación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{"citationItems":[{"id":"ITEM-1","itemData":{"DOI":"10.4000/revus.4016","ISSN":"1581-7652","abstract":"Referencia electrónica Jordi Ferrer Beltrán, « El control de la valoración de la prueba en segunda instancia », Revus [Online], 33 | 2017, Online since 30 December 2017, connection on 01 January 2018. 1 Inmediación, inferencias probatorias y control del razonamiento probatorio 1 La proliferación de importantísimas reformas procesales durante las últimas dos décadas en muchos países, especialmente del área iberoamericana, tanto en lo referente al proceso civil como al penal, ha producido un cierto revival de debates que llevan mucho tiempo entre nosotros. Algunos de ellos han posibilitado repensar viejos tópicos a la luz de nuevos argumentos. En otros casos, en cambio, simplemente estamos frente a contumaces errores que se resisten a desaparecer del argumentario de los juristas. Quisiera dedicar este trabajo al análisis de uno de estos malos argumentos resistentes: el que vincula la oralidad del proceso judicial con la inmediación y la imposibilidad de control sobre la valoración de la prueba en segunda instancia (o en casación). Vale la pena advertir, sin embargo, que las tesis que aquí analizaré críticamente, así como los argumentos que defenderé, no son particulares de la cultura jurídica o de los sistemas jurídicos latinoamericanos, por lo que haré referencia a ellos sólo como excusa para la presentación de mi análisis sobre las posibilidades de control en segunda instancia del razonamiento probatorio.","author":[{"dropping-particle":"","family":"Ferrer Beltrán","given":"Jordi","non-dropping-particle":"","parse-names":false,"suffix":""}],"id":"ITEM-1","issue":"33","issued":{"date-parts":[["2017"]]},"page":"107-126","publisher":"Revus (Journal for constitutional theory and philosophy of law)","title":"El control de la valoración de la prueba en segunda instancia: Inmediación e inferencias probatorias","type":"article-journal"},"locator":"3","uris":["http://www.mendeley.com/documents/?uuid=f3655ef7-9e49-4e13-ad0b-16193b36d1df"]}],"mendeley":{"formattedCitation":"(Ferrer Beltrán, 2017, p. 3)","plainTextFormattedCitation":"(Ferrer Beltrán, 2017, p. 3)","previouslyFormattedCitation":"(Ferrer Beltrán, 2017, p. 3)"},"properties":{"noteIndex":0},"schema":"https://github.com/citation-style-language/schema/raw/master/csl-citation.json"}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(Ferrer Beltrán, 2017, p. 3)</w:t>
      </w:r>
      <w:r w:rsidRPr="00D66245">
        <w:rPr>
          <w:rFonts w:ascii="Palatino Linotype" w:hAnsi="Palatino Linotype" w:cs="Times New Roman"/>
        </w:rPr>
        <w:fldChar w:fldCharType="end"/>
      </w:r>
      <w:r w:rsidRPr="00D66245">
        <w:rPr>
          <w:rFonts w:ascii="Palatino Linotype" w:hAnsi="Palatino Linotype" w:cs="Times New Roman"/>
        </w:rPr>
        <w:t>, que propicia se ponga el acento de la valoración en el comportamiento del testigo</w:t>
      </w:r>
      <w:r w:rsidRPr="00D66245">
        <w:rPr>
          <w:rStyle w:val="Refdenotaalpie"/>
          <w:rFonts w:ascii="Palatino Linotype" w:hAnsi="Palatino Linotype"/>
        </w:rPr>
        <w:footnoteReference w:id="387"/>
      </w:r>
      <w:r w:rsidRPr="00D66245">
        <w:rPr>
          <w:rFonts w:ascii="Palatino Linotype" w:hAnsi="Palatino Linotype" w:cs="Times New Roman"/>
        </w:rPr>
        <w:t xml:space="preserve">.  </w:t>
      </w:r>
    </w:p>
    <w:p w14:paraId="4E74DA9D" w14:textId="44524E3A"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Efectuado un sintético repaso de algunas de las cuestiones frecuentemente discutidas con relación al testimonio, no siendo el objeto del presente trabajo profundizar en un área ya extensamente tratada por multiplicidad de autores</w:t>
      </w:r>
      <w:r w:rsidRPr="00D66245">
        <w:rPr>
          <w:rStyle w:val="Refdenotaalpie"/>
          <w:rFonts w:ascii="Palatino Linotype" w:hAnsi="Palatino Linotype" w:cs="Times New Roman"/>
          <w:vertAlign w:val="baseline"/>
        </w:rPr>
        <w:footnoteReference w:id="388"/>
      </w:r>
      <w:r w:rsidRPr="00D66245">
        <w:rPr>
          <w:rFonts w:ascii="Palatino Linotype" w:hAnsi="Palatino Linotype" w:cs="Times New Roman"/>
        </w:rPr>
        <w:t xml:space="preserve"> y obviando un tratamiento prolijo sobre la problemática general relativa a la prueba testimonial, en lo que sigue simplemente se hará referencia a dos clases de testimonio que presentan especiales complejidades y suscitan constantes discordancias en los procesos judiciales: el testimonio de personas menores de edad y la declaración de víctimas-testigos.</w:t>
      </w:r>
    </w:p>
    <w:p w14:paraId="73F3915F" w14:textId="77777777" w:rsidR="00B377B2" w:rsidRPr="00D66245" w:rsidRDefault="00B377B2" w:rsidP="005A584C">
      <w:pPr>
        <w:pStyle w:val="Prrafodelista"/>
        <w:numPr>
          <w:ilvl w:val="0"/>
          <w:numId w:val="11"/>
        </w:numPr>
        <w:spacing w:before="120" w:after="200" w:line="240" w:lineRule="auto"/>
        <w:ind w:left="0" w:firstLine="0"/>
        <w:contextualSpacing w:val="0"/>
        <w:jc w:val="both"/>
        <w:rPr>
          <w:rFonts w:ascii="Palatino Linotype" w:hAnsi="Palatino Linotype" w:cs="Times New Roman"/>
          <w:b/>
          <w:lang w:val="es-ES"/>
        </w:rPr>
      </w:pPr>
      <w:r w:rsidRPr="00D66245">
        <w:rPr>
          <w:rFonts w:ascii="Palatino Linotype" w:hAnsi="Palatino Linotype" w:cs="Times New Roman"/>
          <w:b/>
          <w:lang w:val="es-ES"/>
        </w:rPr>
        <w:t>El testimonio de menores de edad</w:t>
      </w:r>
    </w:p>
    <w:p w14:paraId="0B21F917"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Si el entorno judicial resulta hostil aún para personas adultas, incluso aquellas que, estando familiarizadas con la actividad tribunalicia, por azares del destino se ven inmersas en una causa judicial como parte directamente interesada y no a partir del rol que desempeñan profesionalmente, no es difícil pensar en lo inquietante que puede ser ese ambiente para una persona menor de edad. </w:t>
      </w:r>
    </w:p>
    <w:p w14:paraId="6E4357F9"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Aunado a ello, si al estrés consustancial al proceso judicial se le suman las endémicas disfuncionalidades del sistema judicial costarricense, relacionadas con la excesiva duración de estos procesos, múltiples intervenciones sobre testigos y víctimas y escasa preparación de los funcionarios en el abordaje de esta y otra población vulnerable, resulta evidente que el derrotero que atraviesa un menor vinculado a una causa penal constituye una verdadera tortura.</w:t>
      </w:r>
    </w:p>
    <w:p w14:paraId="23F50BC5"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Pero más allá de las repercusiones directas del proceso para las víctimas y testigos menores de edad y su potencial revictimización</w:t>
      </w:r>
      <w:r w:rsidRPr="00D66245">
        <w:rPr>
          <w:rStyle w:val="Refdenotaalpie"/>
          <w:rFonts w:ascii="Palatino Linotype" w:hAnsi="Palatino Linotype" w:cs="Times New Roman"/>
        </w:rPr>
        <w:footnoteReference w:id="389"/>
      </w:r>
      <w:r w:rsidRPr="00D66245">
        <w:rPr>
          <w:rFonts w:ascii="Palatino Linotype" w:hAnsi="Palatino Linotype" w:cs="Times New Roman"/>
        </w:rPr>
        <w:t>, la potencial sugestión que las personas que entrevisten a niñas o niños puedan trasmitirles, podría resultar fatal para los fines de averiguación de la verdad de lo acontecido</w:t>
      </w:r>
      <w:r w:rsidRPr="00D66245">
        <w:rPr>
          <w:rStyle w:val="Refdenotaalpie"/>
          <w:rFonts w:ascii="Palatino Linotype" w:hAnsi="Palatino Linotype" w:cs="Times New Roman"/>
        </w:rPr>
        <w:footnoteReference w:id="390"/>
      </w:r>
      <w:r w:rsidRPr="00D66245">
        <w:rPr>
          <w:rFonts w:ascii="Palatino Linotype" w:hAnsi="Palatino Linotype" w:cs="Times New Roman"/>
        </w:rPr>
        <w:t xml:space="preserve">. </w:t>
      </w:r>
    </w:p>
    <w:p w14:paraId="1CEEAFA7"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Psicólogas del testimonio como Diges y Pérez Mata han sugerido algunos aspectos puntuales que permiten la obtención de relatos con mucha mayor fiabilidad y con menor afectación a las personas menores de edad, entre estos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author":[{"dropping-particle":"","family":"Pérez-Mata","given":"Nieves","non-dropping-particle":"","parse-names":false,"suffix":""},{"dropping-particle":"","family":"Diges","given":"Margarita","non-dropping-particle":"","parse-names":false,"suffix":""}],"id":"ITEM-1","issued":{"date-parts":[["2017"]]},"number-of-pages":"287","publisher":"Centro de Estudios Carbonell","publisher-place":"Ciudad de México","title":"La prueba testimonial","type":"book"},"locator":"81-169","suppress-author":1,"uris":["http://www.mendeley.com/documents/?uuid=3f358167-e145-4496-80bb-fcbd2195c011"]}],"mendeley":{"formattedCitation":"(2017, pp. 81–169)","plainTextFormattedCitation":"(2017, pp. 81–169)","previouslyFormattedCitation":"(2017, pp. 81–169)"},"properties":{"noteIndex":0},"schema":"https://github.com/citation-style-language/schema/raw/master/csl-citation.json"}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(2017, pp. 81–169)</w:t>
      </w:r>
      <w:r w:rsidRPr="00D66245">
        <w:rPr>
          <w:rFonts w:ascii="Palatino Linotype" w:hAnsi="Palatino Linotype" w:cs="Times New Roman"/>
        </w:rPr>
        <w:fldChar w:fldCharType="end"/>
      </w:r>
      <w:r w:rsidRPr="00D66245">
        <w:rPr>
          <w:rFonts w:ascii="Palatino Linotype" w:hAnsi="Palatino Linotype" w:cs="Times New Roman"/>
        </w:rPr>
        <w:t>:</w:t>
      </w:r>
    </w:p>
    <w:p w14:paraId="15AC0030" w14:textId="77777777" w:rsidR="00B377B2" w:rsidRPr="00D66245" w:rsidRDefault="00B377B2" w:rsidP="00F53211">
      <w:pPr>
        <w:pStyle w:val="Prrafodelista"/>
        <w:numPr>
          <w:ilvl w:val="0"/>
          <w:numId w:val="14"/>
        </w:numPr>
        <w:spacing w:before="120" w:after="200" w:line="240" w:lineRule="auto"/>
        <w:contextualSpacing w:val="0"/>
        <w:jc w:val="both"/>
        <w:rPr>
          <w:rFonts w:ascii="Palatino Linotype" w:hAnsi="Palatino Linotype" w:cs="Times New Roman"/>
          <w:lang w:val="es-ES"/>
        </w:rPr>
      </w:pPr>
      <w:r w:rsidRPr="00D66245">
        <w:rPr>
          <w:rFonts w:ascii="Palatino Linotype" w:hAnsi="Palatino Linotype" w:cs="Times New Roman"/>
          <w:lang w:val="es-ES"/>
        </w:rPr>
        <w:t>Realización de una única entrevista a la persona menor de edad, mediante la preconstitución de la prueba en fase de investigación. En el caso costarricense podría pensarse en una reforma legislativa que amplíe los supuestos para el anticipo jurisdiccional de prueba en este tipo de casos.</w:t>
      </w:r>
    </w:p>
    <w:p w14:paraId="028FEC56" w14:textId="77777777" w:rsidR="00B377B2" w:rsidRPr="00D66245" w:rsidRDefault="00B377B2" w:rsidP="00F53211">
      <w:pPr>
        <w:pStyle w:val="Prrafodelista"/>
        <w:numPr>
          <w:ilvl w:val="0"/>
          <w:numId w:val="14"/>
        </w:numPr>
        <w:spacing w:before="120" w:after="200" w:line="240" w:lineRule="auto"/>
        <w:contextualSpacing w:val="0"/>
        <w:jc w:val="both"/>
        <w:rPr>
          <w:rFonts w:ascii="Palatino Linotype" w:hAnsi="Palatino Linotype" w:cs="Times New Roman"/>
          <w:lang w:val="es-ES"/>
        </w:rPr>
      </w:pPr>
      <w:r w:rsidRPr="00D66245">
        <w:rPr>
          <w:rFonts w:ascii="Palatino Linotype" w:hAnsi="Palatino Linotype" w:cs="Times New Roman"/>
          <w:lang w:val="es-ES"/>
        </w:rPr>
        <w:t>La grabación de la diligencia en audio y video, ya sea que se efectúe como un anticipo de prueba o no, a fin de que las partes y el tribunal posteriormente puedan evaluar la existencia de sesgos u otras circunstancias que pudieran afectar el relato de la persona menor de edad.</w:t>
      </w:r>
    </w:p>
    <w:p w14:paraId="666A49E0" w14:textId="77777777" w:rsidR="00B377B2" w:rsidRPr="00D66245" w:rsidRDefault="00B377B2" w:rsidP="00F53211">
      <w:pPr>
        <w:pStyle w:val="Prrafodelista"/>
        <w:numPr>
          <w:ilvl w:val="0"/>
          <w:numId w:val="14"/>
        </w:numPr>
        <w:spacing w:before="120" w:after="200" w:line="240" w:lineRule="auto"/>
        <w:contextualSpacing w:val="0"/>
        <w:jc w:val="both"/>
        <w:rPr>
          <w:rFonts w:ascii="Palatino Linotype" w:hAnsi="Palatino Linotype" w:cs="Times New Roman"/>
          <w:lang w:val="es-ES"/>
        </w:rPr>
      </w:pPr>
      <w:r w:rsidRPr="00D66245">
        <w:rPr>
          <w:rFonts w:ascii="Palatino Linotype" w:hAnsi="Palatino Linotype" w:cs="Times New Roman"/>
          <w:lang w:val="es-ES"/>
        </w:rPr>
        <w:t>La entrevista forense o de investigación debe efectuarse por personal experto, constantemente actualizado, de acuerdo con los insumos que brinda la psicología del testimonio</w:t>
      </w:r>
      <w:r w:rsidRPr="00D66245">
        <w:rPr>
          <w:rStyle w:val="Refdenotaalpie"/>
          <w:rFonts w:ascii="Palatino Linotype" w:hAnsi="Palatino Linotype" w:cs="Times New Roman"/>
          <w:vertAlign w:val="baseline"/>
          <w:lang w:val="es-ES"/>
        </w:rPr>
        <w:footnoteReference w:id="391"/>
      </w:r>
      <w:r w:rsidRPr="00D66245">
        <w:rPr>
          <w:rFonts w:ascii="Palatino Linotype" w:hAnsi="Palatino Linotype" w:cs="Times New Roman"/>
          <w:lang w:val="es-ES"/>
        </w:rPr>
        <w:t>.</w:t>
      </w:r>
    </w:p>
    <w:p w14:paraId="39349F40"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En cualquier caso, para la valoración de la prueba testimonial de menores de edad, es preciso recordar que los niños y las niñas son mucho más sugestionables que las personas adultas, de forma tal que resultan “más propensos a recordar las informaciones falsas que se les han ido presentando, y más aún si quien les formula las preguntas está revestido para ellos de una cierta autoridad”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ISBN":"978-84-9879-158-7","author":[{"dropping-particle":"","family":"Mazzoni","given":"Giuliana","non-dropping-particle":"","parse-names":false,"suffix":""}],"id":"ITEM-1","issued":{"date-parts":[["2010"]]},"number-of-pages":"182","publisher":"Editorial Trotta","publisher-place":"Madrid","title":"¿Se puede creer a un testigo? El testimonio y las trampas de la memoria","translator":[{"dropping-particle":"","family":"Revuelta","given":"José Manuel","non-dropping-particle":"","parse-names":false,"suffix":""}],"type":"book"},"locator":"90","uris":["http://www.mendeley.com/documents/?uuid=a5a7389f-5590-4583-91d5-6b53f07fc138"]}],"mendeley":{"formattedCitation":"(Mazzoni, 2010, p. 90)","plainTextFormattedCitation":"(Mazzoni, 2010, p. 90)","previouslyFormattedCitation":"(Mazzoni, 2010, p. 90)"},"properties":{"noteIndex":0},"schema":"https://github.com/citation-style-language/schema/raw/master/csl-citation.json"}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(Mazzoni, 2010, p. 90)</w:t>
      </w:r>
      <w:r w:rsidRPr="00D66245">
        <w:rPr>
          <w:rFonts w:ascii="Palatino Linotype" w:hAnsi="Palatino Linotype" w:cs="Times New Roman"/>
        </w:rPr>
        <w:fldChar w:fldCharType="end"/>
      </w:r>
      <w:r w:rsidRPr="00D66245">
        <w:rPr>
          <w:rFonts w:ascii="Palatino Linotype" w:hAnsi="Palatino Linotype" w:cs="Times New Roman"/>
        </w:rPr>
        <w:t>.</w:t>
      </w:r>
    </w:p>
    <w:p w14:paraId="27B795CF" w14:textId="77777777" w:rsidR="00B377B2" w:rsidRPr="00D66245" w:rsidRDefault="00B377B2" w:rsidP="005A584C">
      <w:pPr>
        <w:pStyle w:val="Prrafodelista"/>
        <w:numPr>
          <w:ilvl w:val="0"/>
          <w:numId w:val="11"/>
        </w:numPr>
        <w:spacing w:before="120" w:after="200" w:line="240" w:lineRule="auto"/>
        <w:ind w:left="0" w:firstLine="0"/>
        <w:contextualSpacing w:val="0"/>
        <w:jc w:val="both"/>
        <w:rPr>
          <w:rFonts w:ascii="Palatino Linotype" w:hAnsi="Palatino Linotype" w:cs="Times New Roman"/>
          <w:b/>
          <w:lang w:val="es-ES"/>
        </w:rPr>
      </w:pPr>
      <w:r w:rsidRPr="00D66245">
        <w:rPr>
          <w:rFonts w:ascii="Palatino Linotype" w:hAnsi="Palatino Linotype" w:cs="Times New Roman"/>
          <w:b/>
          <w:lang w:val="es-ES"/>
        </w:rPr>
        <w:t>La valoración de la declaración de la víctima-testigo</w:t>
      </w:r>
      <w:r w:rsidRPr="00D66245">
        <w:rPr>
          <w:rStyle w:val="Refdenotaalpie"/>
          <w:rFonts w:ascii="Palatino Linotype" w:hAnsi="Palatino Linotype" w:cs="Times New Roman"/>
          <w:lang w:val="es-ES"/>
        </w:rPr>
        <w:footnoteReference w:id="392"/>
      </w:r>
      <w:r w:rsidRPr="00D66245">
        <w:rPr>
          <w:rFonts w:ascii="Palatino Linotype" w:hAnsi="Palatino Linotype" w:cs="Times New Roman"/>
          <w:b/>
          <w:lang w:val="es-ES"/>
        </w:rPr>
        <w:t>.</w:t>
      </w:r>
    </w:p>
    <w:p w14:paraId="60545045"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El testimonio de la víctima-testigo y su virtualidad como único soporte probatorio para una sentencia condenatoria es, sin duda, uno de los temas más polémicos en la actualidad. En cierta tipología delictual, especialmente aquella relacionada con criminalidad afincada en discriminación por género, probablemente impulsado por un multifactorial y avieso recrudecimiento del modelo punitivo Estatal, se vislumbra en la práctica tribunalicia una suerte de estándar probatorio diferenciado, que permite sensibles carencias en el fundamento fáctico de las condenatorias penales. La percepción de esta situación ha motivado que algún sector de la doctrina incluso abogue por la reconsideración de las máximas </w:t>
      </w:r>
      <w:r w:rsidRPr="00D66245">
        <w:rPr>
          <w:rFonts w:ascii="Palatino Linotype" w:hAnsi="Palatino Linotype" w:cs="Times New Roman"/>
          <w:i/>
        </w:rPr>
        <w:t>testimonium unius non valet</w:t>
      </w:r>
      <w:r w:rsidRPr="00D66245">
        <w:rPr>
          <w:rFonts w:ascii="Palatino Linotype" w:hAnsi="Palatino Linotype" w:cs="Times New Roman"/>
        </w:rPr>
        <w:t xml:space="preserve"> y </w:t>
      </w:r>
      <w:r w:rsidRPr="00D66245">
        <w:rPr>
          <w:rFonts w:ascii="Palatino Linotype" w:hAnsi="Palatino Linotype" w:cs="Times New Roman"/>
          <w:i/>
        </w:rPr>
        <w:t>nemo testis in propria causa</w:t>
      </w:r>
      <w:r w:rsidRPr="00D66245">
        <w:rPr>
          <w:rFonts w:ascii="Palatino Linotype" w:hAnsi="Palatino Linotype" w:cs="Times New Roman"/>
        </w:rPr>
        <w:t>, replanteándose, desde la noción misma de víctima, asumida como tal desde la propia denuncia</w:t>
      </w:r>
      <w:r w:rsidRPr="00D66245">
        <w:rPr>
          <w:rStyle w:val="Refdenotaalpie"/>
          <w:rFonts w:ascii="Palatino Linotype" w:hAnsi="Palatino Linotype"/>
        </w:rPr>
        <w:footnoteReference w:id="393"/>
      </w:r>
      <w:r w:rsidRPr="00D66245">
        <w:rPr>
          <w:rFonts w:ascii="Palatino Linotype" w:hAnsi="Palatino Linotype" w:cs="Times New Roman"/>
        </w:rPr>
        <w:t>, hasta los cuestionables dictámenes periciales sobre la fiabilidad del testimonio</w:t>
      </w:r>
      <w:r w:rsidRPr="00D66245">
        <w:rPr>
          <w:rStyle w:val="Refdenotaalpie"/>
          <w:rFonts w:ascii="Palatino Linotype" w:hAnsi="Palatino Linotype"/>
        </w:rPr>
        <w:footnoteReference w:id="394"/>
      </w:r>
      <w:r w:rsidRPr="00D66245">
        <w:rPr>
          <w:rFonts w:ascii="Palatino Linotype" w:hAnsi="Palatino Linotype" w:cs="Times New Roman"/>
        </w:rPr>
        <w:t xml:space="preserve">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{"citationItems":[{"id":"ITEM-1","itemData":{"author":[{"dropping-particle":"","family":"Sancinetti","given":"Marcelo","non-dropping-particle":"","parse-names":false,"suffix":""}],"container-title":"Revista Pensamiento Penal","id":"ITEM-1","issued":{"date-parts":[["2012"]]},"title":"Las imputaciones por abuso sexual libradas a la arbitrariedad del denunciante","type":"article-journal"},"uris":["http://www.mendeley.com/documents/?uuid=783ffa67-5ffc-4219-88c5-b38b8764e246"]}],"mendeley":{"formattedCitation":"(Sancinetti, 2012)","plainTextFormattedCitation":"(Sancinetti, 2012)","previouslyFormattedCitation":"(Sancinetti, 2012)"},"properties":{"noteIndex":0},"schema":"https://github.com/citation-style-language/schema/raw/master/csl-citation.json"}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(Sancinetti, 2012)</w:t>
      </w:r>
      <w:r w:rsidRPr="00D66245">
        <w:rPr>
          <w:rFonts w:ascii="Palatino Linotype" w:hAnsi="Palatino Linotype" w:cs="Times New Roman"/>
        </w:rPr>
        <w:fldChar w:fldCharType="end"/>
      </w:r>
      <w:r w:rsidRPr="00D66245">
        <w:rPr>
          <w:rFonts w:ascii="Palatino Linotype" w:hAnsi="Palatino Linotype" w:cs="Times New Roman"/>
        </w:rPr>
        <w:t>.</w:t>
      </w:r>
    </w:p>
    <w:p w14:paraId="75BC8D6A"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En cualquier caso, lo cierto es que existen algunas prácticas jurisprudenciales incorrectas que, lejos de propiciar la racionalización del proceso penal, en beneficio de todos los intervinientes, tienden a aumentar la arbitrariedad y el subjetivismo en la decisión. A continuación, se enumerarán algunas de las más usuales. </w:t>
      </w:r>
    </w:p>
    <w:p w14:paraId="15C06D98" w14:textId="77777777" w:rsidR="00B377B2" w:rsidRPr="00D66245" w:rsidRDefault="00B377B2" w:rsidP="005A584C">
      <w:pPr>
        <w:pStyle w:val="Prrafodelista"/>
        <w:numPr>
          <w:ilvl w:val="0"/>
          <w:numId w:val="23"/>
        </w:numPr>
        <w:spacing w:before="120" w:after="200" w:line="240" w:lineRule="auto"/>
        <w:ind w:left="0" w:firstLine="0"/>
        <w:contextualSpacing w:val="0"/>
        <w:jc w:val="both"/>
        <w:rPr>
          <w:rFonts w:ascii="Palatino Linotype" w:hAnsi="Palatino Linotype" w:cs="Times New Roman"/>
          <w:b/>
          <w:lang w:val="es-ES"/>
        </w:rPr>
      </w:pPr>
      <w:r w:rsidRPr="00D66245">
        <w:rPr>
          <w:rFonts w:ascii="Palatino Linotype" w:hAnsi="Palatino Linotype" w:cs="Times New Roman"/>
          <w:b/>
          <w:lang w:val="es-ES"/>
        </w:rPr>
        <w:t xml:space="preserve">Valoraciones que incurren en la falacia </w:t>
      </w:r>
      <w:r w:rsidRPr="00D66245">
        <w:rPr>
          <w:rFonts w:ascii="Palatino Linotype" w:hAnsi="Palatino Linotype" w:cs="Times New Roman"/>
          <w:b/>
          <w:i/>
          <w:lang w:val="es-ES"/>
        </w:rPr>
        <w:t>petitio principii</w:t>
      </w:r>
    </w:p>
    <w:p w14:paraId="314E1581"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La idea que subyace a este vicio es que “</w:t>
      </w:r>
      <w:r w:rsidRPr="00D66245">
        <w:rPr>
          <w:rFonts w:ascii="Palatino Linotype" w:hAnsi="Palatino Linotype" w:cs="Times New Roman"/>
          <w:i/>
        </w:rPr>
        <w:t>nadie debe padecer el perjuicio de que el suceso que motiva el procedimiento penal se desarrolle en la intimidad de la víctima y del inculpado, so pena de propiciar situaciones de impunidad</w:t>
      </w:r>
      <w:r w:rsidRPr="00D66245">
        <w:rPr>
          <w:rFonts w:ascii="Palatino Linotype" w:hAnsi="Palatino Linotype" w:cs="Times New Roman"/>
        </w:rPr>
        <w:t>”</w:t>
      </w:r>
      <w:r w:rsidRPr="00D66245">
        <w:rPr>
          <w:rStyle w:val="Refdenotaalpie"/>
          <w:rFonts w:ascii="Palatino Linotype" w:hAnsi="Palatino Linotype"/>
        </w:rPr>
        <w:footnoteReference w:id="395"/>
      </w:r>
      <w:r w:rsidRPr="00D66245">
        <w:rPr>
          <w:rFonts w:ascii="Palatino Linotype" w:hAnsi="Palatino Linotype" w:cs="Times New Roman"/>
        </w:rPr>
        <w:t>. El razonamiento involucra una evidente falacia de petición de principio</w:t>
      </w:r>
      <w:r w:rsidRPr="00D66245">
        <w:rPr>
          <w:rStyle w:val="Refdenotaalpie"/>
          <w:rFonts w:ascii="Palatino Linotype" w:hAnsi="Palatino Linotype"/>
        </w:rPr>
        <w:footnoteReference w:id="396"/>
      </w:r>
      <w:r w:rsidRPr="00D66245">
        <w:rPr>
          <w:rFonts w:ascii="Palatino Linotype" w:hAnsi="Palatino Linotype" w:cs="Times New Roman"/>
        </w:rPr>
        <w:t>, pues se parte de la premisa de que la denuncia de la persona presunta ofendida es veraz, precisamente para justificar que sería intolerable que las circunstancias de modo en que habrían ocurrido los hechos (en un ámbito íntimo, sin más testigos que la propia víctima) resultase óbice para la determinación de la responsabilidad por los mismos; razonamiento que no tendría sentido si se cercena esa asunción de veracidad de la denuncia, cuya corroboración constituye precisamente el fin del proceso. Se acredita así la palpable circularidad del postulado</w:t>
      </w:r>
      <w:r w:rsidRPr="00D66245">
        <w:rPr>
          <w:rStyle w:val="Refdenotaalpie"/>
          <w:rFonts w:ascii="Palatino Linotype" w:hAnsi="Palatino Linotype"/>
        </w:rPr>
        <w:footnoteReference w:id="397"/>
      </w:r>
      <w:r w:rsidRPr="00D66245">
        <w:rPr>
          <w:rFonts w:ascii="Palatino Linotype" w:hAnsi="Palatino Linotype" w:cs="Times New Roman"/>
        </w:rPr>
        <w:t>.</w:t>
      </w:r>
    </w:p>
    <w:p w14:paraId="61B73D7D" w14:textId="07B7479E" w:rsidR="00B377B2" w:rsidRPr="00D66245" w:rsidRDefault="00B377B2" w:rsidP="003F74C9">
      <w:pPr>
        <w:pStyle w:val="Prrafodelista"/>
        <w:numPr>
          <w:ilvl w:val="0"/>
          <w:numId w:val="24"/>
        </w:numPr>
        <w:spacing w:before="120" w:after="200" w:line="240" w:lineRule="auto"/>
        <w:ind w:left="0" w:firstLine="0"/>
        <w:contextualSpacing w:val="0"/>
        <w:jc w:val="both"/>
        <w:rPr>
          <w:rFonts w:ascii="Palatino Linotype" w:hAnsi="Palatino Linotype" w:cs="Times New Roman"/>
        </w:rPr>
      </w:pPr>
      <w:r w:rsidRPr="00D66245">
        <w:rPr>
          <w:rFonts w:ascii="Palatino Linotype" w:hAnsi="Palatino Linotype" w:cs="Times New Roman"/>
          <w:b/>
          <w:lang w:val="es-ES"/>
        </w:rPr>
        <w:t>Definición pretoriana de un “estándar” probatorio diferenciado</w:t>
      </w:r>
    </w:p>
    <w:p w14:paraId="4DBEC152"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Puede admitirse que los estándares de prueba “suponen el carácter gradual de la corroboración de una proposición”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{"citationItems":[{"id":"ITEM-1","itemData":{"ISBN":"84-9768-240-8","author":[{"dropping-particle":"","family":"Ferrer Beltrán","given":"Jordi","non-dropping-particle":"","parse-names":false,"suffix":""}],"edition":"2ª edición","id":"ITEM-1","issued":{"date-parts":[["2005"]]},"number-of-pages":"111","publisher":"Marcial Pons","publisher-place":"Madrid","title":"Prueba y verdad en el derecho","type":"book"},"uris":["http://www.mendeley.com/documents/?uuid=ed031225-6aea-47df-a591-29032a77a2ee"]}],"mendeley":{"formattedCitation":"(Ferrer Beltrán, 2005)","manualFormatting":"(Ferrer, 2005, p. 69)","plainTextFormattedCitation":"(Ferrer Beltrán, 2005)","previouslyFormattedCitation":"(Ferrer Beltrán, 2005)"},"properties":{"noteIndex":0},"schema":"https://github.com/citation-style-language/schema/raw/master/csl-citation.json"}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(Ferrer, 2005, p. 69)</w:t>
      </w:r>
      <w:r w:rsidRPr="00D66245">
        <w:rPr>
          <w:rFonts w:ascii="Palatino Linotype" w:hAnsi="Palatino Linotype" w:cs="Times New Roman"/>
        </w:rPr>
        <w:fldChar w:fldCharType="end"/>
      </w:r>
      <w:r w:rsidRPr="00D66245">
        <w:rPr>
          <w:rFonts w:ascii="Palatino Linotype" w:hAnsi="Palatino Linotype" w:cs="Times New Roman"/>
        </w:rPr>
        <w:t xml:space="preserve">, lo que posibilita la definición de umbrales diferenciados y distintos niveles de exigencia, de acuerdo con una agenda política determinada y los valores que se estime pertinente resguardar. Sin embargo, por razones obvias, relativas a la vigencia del principio de legalidad y a la necesidad de seguridad jurídica, la determinación de los estándares de prueba debe disponerse legislativamente y no por vía jurisprudencial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{"citationItems":[{"id":"ITEM-1","itemData":{"author":[{"dropping-particle":"","family":"Vázquez","given":"Carmen","non-dropping-particle":"","parse-names":false,"suffix":""}],"container-title":"Jueces para la Democracia","id":"ITEM-1","issued":{"date-parts":[["2016"]]},"page":"92-112","title":"La prueba pericial en la experiencia Estadounidense. El caso Daubert","type":"article-journal","volume":"86"},"locator":"268","uris":["http://www.mendeley.com/documents/?uuid=d98cb09e-ffa6-4a86-9c40-ce95a21476ea"]},{"id":"ITEM-2","itemData":{"ISBN":"978-84-9768-499-6","author":[{"dropping-particle":"","family":"Ferrer Beltrán","given":"Jordi","non-dropping-particle":"","parse-names":false,"suffix":""}],"id":"ITEM-2","issued":{"date-parts":[["2007"]]},"number-of-pages":"166","publisher":"Marcial Pons","publisher-place":"Madrid","title":"La Valoración Racional de la Prueba","type":"book"},"locator":"142 y ss.","uris":["http://www.mendeley.com/documents/?uuid=6ef7121b-42e1-4ce3-8bff-d087c7c3d3b0"]}],"mendeley":{"formattedCitation":"(Ferrer Beltrán, 2007, p. 142 y ss.; Vázquez, 2016, p. 268)","plainTextFormattedCitation":"(Ferrer Beltrán, 2007, p. 142 y ss.; Vázquez, 2016, p. 268)","previouslyFormattedCitation":"(Ferrer Beltrán, 2007, p. 142 y ss.; Vázquez, 2016, p. 268)"},"properties":{"noteIndex":0},"schema":"https://github.com/citation-style-language/schema/raw/master/csl-citation.json"}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(Ferrer Beltrán, 2007, p. 142 y ss.; Vázquez, 2016, p. 268)</w:t>
      </w:r>
      <w:r w:rsidRPr="00D66245">
        <w:rPr>
          <w:rFonts w:ascii="Palatino Linotype" w:hAnsi="Palatino Linotype" w:cs="Times New Roman"/>
        </w:rPr>
        <w:fldChar w:fldCharType="end"/>
      </w:r>
      <w:r w:rsidRPr="00D66245">
        <w:rPr>
          <w:rFonts w:ascii="Palatino Linotype" w:hAnsi="Palatino Linotype" w:cs="Times New Roman"/>
        </w:rPr>
        <w:t>. Empero, es posible observar, en muchas sentencias judiciales, la desnaturalización de ciertas pautas de valoración de la prueba, instrumentalizándolas de forma que funjan como verdaderos estándares, generalmente para flexibilizar los requerimientos que el umbral general implica</w:t>
      </w:r>
      <w:r w:rsidRPr="00D66245">
        <w:rPr>
          <w:rStyle w:val="Refdenotaalpie"/>
          <w:rFonts w:ascii="Palatino Linotype" w:hAnsi="Palatino Linotype"/>
        </w:rPr>
        <w:footnoteReference w:id="398"/>
      </w:r>
      <w:r w:rsidRPr="00D66245">
        <w:rPr>
          <w:rFonts w:ascii="Palatino Linotype" w:hAnsi="Palatino Linotype" w:cs="Times New Roman"/>
        </w:rPr>
        <w:t>. Esta práctica debe rechazarse, pues trae consigo inseguridad y riñe con valores esenciales en un proceso penal propio de un Estado de Derecho.</w:t>
      </w:r>
    </w:p>
    <w:p w14:paraId="0E1422A5"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Desde esta perspectiva, la inexistencia, al menos en el caso costarricense, de un estándar de prueba distinto para tipologías delictuales diversas, impide otorgar un tratamiento privilegiado a la víctima-testigo, independientemente del delito que se trate y las dificultades probatorias que entrañe</w:t>
      </w:r>
      <w:r w:rsidRPr="00D66245">
        <w:rPr>
          <w:rStyle w:val="Refdenotaalpie"/>
          <w:rFonts w:ascii="Palatino Linotype" w:hAnsi="Palatino Linotype"/>
        </w:rPr>
        <w:footnoteReference w:id="399"/>
      </w:r>
      <w:r w:rsidRPr="00D66245">
        <w:rPr>
          <w:rFonts w:ascii="Palatino Linotype" w:hAnsi="Palatino Linotype" w:cs="Times New Roman"/>
        </w:rPr>
        <w:t xml:space="preserve">. En este punto, la necesidad de cumplir con idéntico umbral de prueba que para cualquier otro delito, podría generar impunidad en algunos casos en que no se cuente con medios de prueba que corroboren el relato de la víctima, sin embargo, precisamente la distribución del riesgo a favor del imputado se ha dispuesto en virtud del alto costo de error en caso de una condena falsa. </w:t>
      </w:r>
    </w:p>
    <w:p w14:paraId="4B9A62D4" w14:textId="565BA7E9" w:rsidR="00B377B2" w:rsidRPr="00D66245" w:rsidRDefault="00B377B2" w:rsidP="005A584C">
      <w:pPr>
        <w:pStyle w:val="Prrafodelista"/>
        <w:numPr>
          <w:ilvl w:val="0"/>
          <w:numId w:val="24"/>
        </w:numPr>
        <w:spacing w:before="120" w:after="200" w:line="240" w:lineRule="auto"/>
        <w:ind w:left="0" w:firstLine="0"/>
        <w:contextualSpacing w:val="0"/>
        <w:jc w:val="both"/>
        <w:rPr>
          <w:rFonts w:ascii="Palatino Linotype" w:hAnsi="Palatino Linotype" w:cs="Times New Roman"/>
        </w:rPr>
      </w:pPr>
      <w:r w:rsidRPr="00D66245">
        <w:rPr>
          <w:rFonts w:ascii="Palatino Linotype" w:hAnsi="Palatino Linotype" w:cs="Times New Roman"/>
          <w:b/>
          <w:lang w:val="es-ES"/>
        </w:rPr>
        <w:t>Relativización del principio de presunción de inocencia</w:t>
      </w:r>
    </w:p>
    <w:p w14:paraId="7CCE3A80"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La presunción de inocencia </w:t>
      </w:r>
      <w:r w:rsidRPr="00D66245">
        <w:rPr>
          <w:rFonts w:ascii="Palatino Linotype" w:hAnsi="Palatino Linotype" w:cs="Times New Roman"/>
          <w:i/>
        </w:rPr>
        <w:t>no admite derogaciones ni atenuaciones</w:t>
      </w:r>
      <w:r w:rsidRPr="00D66245">
        <w:rPr>
          <w:rFonts w:ascii="Palatino Linotype" w:hAnsi="Palatino Linotype" w:cs="Times New Roman"/>
        </w:rPr>
        <w:t>. Esta posición es compatible con las características de no relativización e inalterabilidad que la doctrina ha atribuido al principio en cuestión, lo que impediría que argumentos relacionados con la tipología delictiva, el momento procesal, la forma de realización del delito</w:t>
      </w:r>
      <w:r w:rsidRPr="00D66245">
        <w:rPr>
          <w:rStyle w:val="Refdenotaalpie"/>
          <w:rFonts w:ascii="Palatino Linotype" w:hAnsi="Palatino Linotype"/>
        </w:rPr>
        <w:footnoteReference w:id="400"/>
      </w:r>
      <w:r w:rsidRPr="00D66245">
        <w:rPr>
          <w:rFonts w:ascii="Palatino Linotype" w:hAnsi="Palatino Linotype" w:cs="Times New Roman"/>
        </w:rPr>
        <w:t xml:space="preserve"> o los medios de prueba con que se cuente en un caso concreto, lo permeasen. De manera estupenda, Ibáñez desarrolla el principio de presunción de inocencia, señalando que este, como regla de juicio, es un derecho fundamental del imputado, y, desde el prisma normativo, constituye un derecho absoluto; en resumen, “el imputado tiene todo el derecho a toda la presunción de inocencia en todos los casos”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{"citationItems":[{"id":"ITEM-1","itemData":{"ISBN":"978-84-9879-572-1","author":[{"dropping-particle":"","family":"Ibáñez","given":"Perfecto Andrés","non-dropping-particle":"","parse-names":false,"suffix":""}],"id":"ITEM-1","issued":{"date-parts":[["2015"]]},"number-of-pages":"556","publisher":"Editorial Trotta","publisher-place":"Madrid","title":"Tercero en discordia. Jurisdicción y Juez del Estado Constitucional","type":"book"},"locator":"312","suppress-author":1,"uris":["http://www.mendeley.com/documents/?uuid=db0a4cc6-bda8-4599-874b-30f83a2d8111"]}],"mendeley":{"formattedCitation":"(2015, p. 312)","plainTextFormattedCitation":"(2015, p. 312)","previouslyFormattedCitation":"(2015, p. 312)"},"properties":{"noteIndex":0},"schema":"https://github.com/citation-style-language/schema/raw/master/csl-citation.json"}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(2015, p. 312)</w:t>
      </w:r>
      <w:r w:rsidRPr="00D66245">
        <w:rPr>
          <w:rFonts w:ascii="Palatino Linotype" w:hAnsi="Palatino Linotype" w:cs="Times New Roman"/>
        </w:rPr>
        <w:fldChar w:fldCharType="end"/>
      </w:r>
      <w:r w:rsidRPr="00D66245">
        <w:rPr>
          <w:rFonts w:ascii="Palatino Linotype" w:hAnsi="Palatino Linotype" w:cs="Times New Roman"/>
        </w:rPr>
        <w:t>. Este mismo autor también vislumbra relevancia epistémica en la noción del principio de presunción de inocencia</w:t>
      </w:r>
      <w:r w:rsidRPr="00D66245">
        <w:rPr>
          <w:rStyle w:val="Refdenotaalpie"/>
          <w:rFonts w:ascii="Palatino Linotype" w:hAnsi="Palatino Linotype"/>
        </w:rPr>
        <w:footnoteReference w:id="401"/>
      </w:r>
      <w:r w:rsidRPr="00D66245">
        <w:rPr>
          <w:rFonts w:ascii="Palatino Linotype" w:hAnsi="Palatino Linotype" w:cs="Times New Roman"/>
        </w:rPr>
        <w:t xml:space="preserve">. </w:t>
      </w:r>
    </w:p>
    <w:p w14:paraId="402AF96B" w14:textId="59B203F6"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La asunción de la presunción de inocencia como un principio de carácter absoluto implica, como lo señala Ibáñez, que el fracaso de la acusación, por las razones que sean, “solo puede confirmar el estatus de inocencia preexistente. Lo contrario lleva por fuerza a la distinción inaceptable entre una absolución por inexistencia de pruebas y otra solo por la insuficiencia de estas; y, como consecuencia, a establecer categorías de inocentes”</w:t>
      </w:r>
      <w:r w:rsidRPr="00D66245">
        <w:rPr>
          <w:rFonts w:ascii="Palatino Linotype" w:hAnsi="Palatino Linotype" w:cs="Times New Roman"/>
          <w:i/>
        </w:rPr>
        <w:t xml:space="preserve"> </w:t>
      </w:r>
      <w:r w:rsidRPr="00D66245">
        <w:rPr>
          <w:rFonts w:ascii="Palatino Linotype" w:hAnsi="Palatino Linotype" w:cs="Times New Roman"/>
          <w:i/>
        </w:rPr>
        <w:fldChar w:fldCharType="begin" w:fldLock="1"/>
      </w:r>
      <w:r w:rsidRPr="00D66245">
        <w:rPr>
          <w:rFonts w:ascii="Palatino Linotype" w:hAnsi="Palatino Linotype" w:cs="Times New Roman"/>
          <w:i/>
        </w:rPr>
        <w:instrText>ADDIN CSL_CITATION {"citationItems":[{"id":"ITEM-1","itemData":{"ISBN":"978-84-9879-572-1","author":[{"dropping-particle":"","family":"Ibáñez","given":"Perfecto Andrés","non-dropping-particle":"","parse-names":false,"suffix":""}],"id":"ITEM-1","issued":{"date-parts":[["2015"]]},"number-of-pages":"556","publisher":"Editorial Trotta","publisher-place":"Madrid","title":"Tercero en discordia. Jurisdicción y Juez del Estado Constitucional","type":"book"},"locator":"313","suppress-author":1,"uris":["http://www.mendeley.com/documents/?uuid=db0a4cc6-bda8-4599-874b-30f83a2d8111"]}],"mendeley":{"formattedCitation":"(2015, p. 313)","plainTextFormattedCitation":"(2015, p. 313)","previouslyFormattedCitation":"(2015, p. 313)"},"properties":{"noteIndex":0},"schema":"https://github.com/citation-style-language/schema/raw/master/csl-citation.json"}</w:instrText>
      </w:r>
      <w:r w:rsidRPr="00D66245">
        <w:rPr>
          <w:rFonts w:ascii="Palatino Linotype" w:hAnsi="Palatino Linotype" w:cs="Times New Roman"/>
          <w:i/>
        </w:rPr>
        <w:fldChar w:fldCharType="separate"/>
      </w:r>
      <w:r w:rsidRPr="00D66245">
        <w:rPr>
          <w:rFonts w:ascii="Palatino Linotype" w:hAnsi="Palatino Linotype" w:cs="Times New Roman"/>
          <w:noProof/>
        </w:rPr>
        <w:t>(2015, p. 313)</w:t>
      </w:r>
      <w:r w:rsidRPr="00D66245">
        <w:rPr>
          <w:rFonts w:ascii="Palatino Linotype" w:hAnsi="Palatino Linotype" w:cs="Times New Roman"/>
          <w:i/>
        </w:rPr>
        <w:fldChar w:fldCharType="end"/>
      </w:r>
      <w:r w:rsidRPr="00D66245">
        <w:rPr>
          <w:rFonts w:ascii="Palatino Linotype" w:hAnsi="Palatino Linotype" w:cs="Times New Roman"/>
        </w:rPr>
        <w:t xml:space="preserve">, a lo que tendríamos que añadir que tampoco los defectos de la propia administración de justicia, en la figura de sus jueces, puede motivar la irrupción de esa odiosa categoría de inocentes, que lo son, pero lo son menos que otros. </w:t>
      </w:r>
    </w:p>
    <w:p w14:paraId="52AB2BB1" w14:textId="77777777" w:rsidR="00B377B2" w:rsidRPr="00D66245" w:rsidRDefault="00B377B2" w:rsidP="005A584C">
      <w:pPr>
        <w:pStyle w:val="Prrafodelista"/>
        <w:numPr>
          <w:ilvl w:val="0"/>
          <w:numId w:val="24"/>
        </w:numPr>
        <w:spacing w:before="120" w:after="200" w:line="240" w:lineRule="auto"/>
        <w:ind w:left="0" w:firstLine="0"/>
        <w:contextualSpacing w:val="0"/>
        <w:jc w:val="both"/>
        <w:rPr>
          <w:rFonts w:ascii="Palatino Linotype" w:hAnsi="Palatino Linotype" w:cs="Times New Roman"/>
          <w:b/>
          <w:lang w:val="es-ES"/>
        </w:rPr>
      </w:pPr>
      <w:r w:rsidRPr="00D66245">
        <w:rPr>
          <w:rFonts w:ascii="Palatino Linotype" w:hAnsi="Palatino Linotype" w:cs="Times New Roman"/>
          <w:b/>
          <w:lang w:val="es-ES"/>
        </w:rPr>
        <w:t>Utilización de proposiciones sociales</w:t>
      </w:r>
    </w:p>
    <w:p w14:paraId="2E3F48AE"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La </w:t>
      </w:r>
      <w:r w:rsidRPr="00D66245">
        <w:rPr>
          <w:rFonts w:ascii="Palatino Linotype" w:hAnsi="Palatino Linotype" w:cs="Times New Roman"/>
          <w:i/>
        </w:rPr>
        <w:t>proposiciones sociales</w:t>
      </w:r>
      <w:r w:rsidRPr="00D66245">
        <w:rPr>
          <w:rFonts w:ascii="Palatino Linotype" w:hAnsi="Palatino Linotype" w:cs="Times New Roman"/>
        </w:rPr>
        <w:t xml:space="preserve">, en el sentido delineado por Schauer, constituyen condiciones sociales de carácter general que implican la introducción de conclusiones de hecho que no han sido debatidas por las partes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ISBN":"978-84-15664-19-2","author":[{"dropping-particle":"","family":"Schauer","given":"Frederick","non-dropping-particle":"","parse-names":false,"suffix":""}],"id":"ITEM-1","issued":{"date-parts":[["2013"]]},"number-of-pages":"264","publisher":"Marcial Pons","publisher-place":"Madrid","title":"Pensar como un abogado","translator":[{"dropping-particle":"","family":"Schleider","given":"Tobías","non-dropping-particle":"","parse-names":false,"suffix":""}],"type":"book"},"locator":"220-22","suppress-author":1,"uris":["http://www.mendeley.com/documents/?uuid=98a0c58e-4408-4a3f-a481-4e86ca8eea90"]}],"mendeley":{"formattedCitation":"(2013, pp. 220–222)","plainTextFormattedCitation":"(2013, pp. 220–222)","previouslyFormattedCitation":"(2013, pp. 220–222)"},"properties":{"noteIndex":0},"schema":"https://github.com/citation-style-language/schema/raw/master/csl-citation.json"}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(2013, pp. 220–222)</w:t>
      </w:r>
      <w:r w:rsidRPr="00D66245">
        <w:rPr>
          <w:rFonts w:ascii="Palatino Linotype" w:hAnsi="Palatino Linotype" w:cs="Times New Roman"/>
        </w:rPr>
        <w:fldChar w:fldCharType="end"/>
      </w:r>
      <w:r w:rsidRPr="00D66245">
        <w:rPr>
          <w:rFonts w:ascii="Palatino Linotype" w:hAnsi="Palatino Linotype" w:cs="Times New Roman"/>
        </w:rPr>
        <w:t>. Por ejemplo, en materia de violencia de género, podría tratarse de la inserción de generalizaciones correspondientes con el uso normativo de los estereotipos de género</w:t>
      </w:r>
      <w:r w:rsidRPr="00D66245">
        <w:rPr>
          <w:rStyle w:val="Refdenotaalpie"/>
          <w:rFonts w:ascii="Palatino Linotype" w:hAnsi="Palatino Linotype"/>
        </w:rPr>
        <w:footnoteReference w:id="402"/>
      </w:r>
      <w:r w:rsidRPr="00D66245">
        <w:rPr>
          <w:rFonts w:ascii="Palatino Linotype" w:hAnsi="Palatino Linotype" w:cs="Times New Roman"/>
        </w:rPr>
        <w:t xml:space="preserve">.  </w:t>
      </w:r>
    </w:p>
    <w:p w14:paraId="7E1EB211" w14:textId="77777777" w:rsidR="00B377B2" w:rsidRPr="00D66245" w:rsidRDefault="00B377B2" w:rsidP="005A584C">
      <w:pPr>
        <w:pStyle w:val="Prrafodelista"/>
        <w:widowControl w:val="0"/>
        <w:numPr>
          <w:ilvl w:val="0"/>
          <w:numId w:val="10"/>
        </w:numPr>
        <w:autoSpaceDE w:val="0"/>
        <w:autoSpaceDN w:val="0"/>
        <w:adjustRightInd w:val="0"/>
        <w:spacing w:before="120" w:after="200" w:line="240" w:lineRule="auto"/>
        <w:ind w:left="0" w:firstLine="0"/>
        <w:contextualSpacing w:val="0"/>
        <w:rPr>
          <w:rFonts w:ascii="Palatino Linotype" w:hAnsi="Palatino Linotype" w:cs="Times New Roman"/>
          <w:b/>
          <w:lang w:val="es-ES_tradnl"/>
        </w:rPr>
      </w:pPr>
      <w:r w:rsidRPr="00D66245">
        <w:rPr>
          <w:rFonts w:ascii="Palatino Linotype" w:hAnsi="Palatino Linotype" w:cs="Times New Roman"/>
          <w:b/>
          <w:lang w:val="es-ES_tradnl"/>
        </w:rPr>
        <w:t>Los reconocimientos oculares</w:t>
      </w:r>
    </w:p>
    <w:p w14:paraId="3944190F" w14:textId="77777777" w:rsidR="00B377B2" w:rsidRPr="00D66245" w:rsidRDefault="00B377B2" w:rsidP="005A584C">
      <w:pPr>
        <w:pStyle w:val="Prrafodelista"/>
        <w:widowControl w:val="0"/>
        <w:numPr>
          <w:ilvl w:val="0"/>
          <w:numId w:val="19"/>
        </w:numPr>
        <w:autoSpaceDE w:val="0"/>
        <w:autoSpaceDN w:val="0"/>
        <w:adjustRightInd w:val="0"/>
        <w:spacing w:before="120" w:after="200" w:line="240" w:lineRule="auto"/>
        <w:ind w:left="0" w:firstLine="0"/>
        <w:contextualSpacing w:val="0"/>
        <w:jc w:val="both"/>
        <w:rPr>
          <w:rFonts w:ascii="Palatino Linotype" w:hAnsi="Palatino Linotype" w:cs="Times New Roman"/>
          <w:b/>
          <w:lang w:val="es-ES_tradnl"/>
        </w:rPr>
      </w:pPr>
      <w:r w:rsidRPr="00D66245">
        <w:rPr>
          <w:rFonts w:ascii="Palatino Linotype" w:hAnsi="Palatino Linotype" w:cs="Times New Roman"/>
          <w:b/>
          <w:lang w:val="es-ES_tradnl"/>
        </w:rPr>
        <w:t>Generalidades</w:t>
      </w:r>
    </w:p>
    <w:p w14:paraId="1022AAF9"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 xml:space="preserve">Existe consenso en cuanto a que los reconocimientos oculares que efectúan los testigos en los procesos judiciales son menos fiables de lo que intuitivamente se puede pensar, demostrándose que no existe una relación confianza-precisión y al constituir los errores en los reconocimientos oculares la primera causa de condena de inocentes, de acuerdo con los datos recabados por el </w:t>
      </w:r>
      <w:r w:rsidRPr="00D66245">
        <w:rPr>
          <w:rFonts w:ascii="Palatino Linotype" w:hAnsi="Palatino Linotype" w:cs="Times New Roman"/>
          <w:i/>
          <w:lang w:val="es-ES_tradnl"/>
        </w:rPr>
        <w:t xml:space="preserve">Innocence Project </w:t>
      </w:r>
      <w:r w:rsidRPr="00D66245">
        <w:rPr>
          <w:rFonts w:ascii="Palatino Linotype" w:hAnsi="Palatino Linotype" w:cs="Times New Roman"/>
          <w:lang w:val="es-ES_tradnl"/>
        </w:rPr>
        <w:t xml:space="preserve">(72% de los 325 casos exonerados a marzo de 2016), lo cuál resulta compatible con los estudios realizados tanto en Estados Unidos de Norteamérica como en Inglaterra, que arrojan un 21% de falsos positivos, siendo la cifra negra presumiblemente mayor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{"citationItems":[{"id":"ITEM-1","itemData":{"author":[{"dropping-particle":"","family":"Duce","given":"Mauricio","non-dropping-particle":"","parse-names":false,"suffix":""}],"container-title":"Sistemas Judiciales","id":"ITEM-1","issue":"21","issued":{"date-parts":[["2018","5"]]},"page":"16-29","publisher":"Centro de Estudios de Justicia de las Américas (CEJA)","publisher-place":"Buenos Aires","title":"Condena de inocentes y litigación en juicio oral: Resultados de una investigación empírica sobre reconocimientos oculares y prueba pericial","type":"article-magazine"},"uris":["http://www.mendeley.com/documents/?uuid=990218c0-780d-46dc-80d9-2ceeaf5167c7"]},{"id":"ITEM-2","itemData":{"author":[{"dropping-particle":"","family":"Duce","given":"Mauricio","non-dropping-particle":"","parse-names":false,"suffix":""}],"container-title":"Congreso Mundial de Razonamiento Probatorio","id":"ITEM-2","issued":{"date-parts":[["2018"]]},"page":"1-42","publisher-place":"Girona","title":"Prácticas probatorias y riesgo de condena de inocentes: una visión empírica","type":"paper-conference"},"uris":["http://www.mendeley.com/documents/?uuid=5974e838-904a-4dca-bcfe-5756e1ad45da"]},{"id":"ITEM-3","itemData":{"author":[{"dropping-particle":"","family":"Duce","given":"Mauricio","non-dropping-particle":"","parse-names":false,"suffix":""}],"container-title":"Política Criminal. Vol. 12, Nº 23","id":"ITEM-3","issued":{"date-parts":[["2017","7"]]},"page":"291-379","publisher-place":"Santiago","title":"Los reconocimientos oculares: una aproximación empírica a su funcionamiento y algunas recomendaciones para su mejora","type":"article-magazine"},"uris":["http://www.mendeley.com/documents/?uuid=6e0a1a90-c1b3-412b-b898-2809b25214c6"]}],"mendeley":{"formattedCitation":"(Duce, 2017, 2018a, 2018b)","plainTextFormattedCitation":"(Duce, 2017, 2018a, 2018b)","previouslyFormattedCitation":"(Duce, 2017, 2018a, 2018b)"},"properties":{"noteIndex":0},"schema":"https://github.com/citation-style-language/schema/raw/master/csl-citation.json"}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(Duce, 2017, 2018a, 2018b)</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w:t>
      </w:r>
    </w:p>
    <w:p w14:paraId="0341DF95"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La doctrina especializada ha propuesto, a fin de evaluar la fiabilidad del recuerdo y su recuperación en las diligencias de reconocimiento ocular, una clasificación de los factores que pueden incidir en la memoria del testigo</w:t>
      </w:r>
      <w:r w:rsidRPr="00D66245">
        <w:rPr>
          <w:rStyle w:val="Refdenotaalpie"/>
          <w:rFonts w:ascii="Palatino Linotype" w:hAnsi="Palatino Linotype" w:cs="Times New Roman"/>
        </w:rPr>
        <w:footnoteReference w:id="403"/>
      </w:r>
      <w:r w:rsidRPr="00D66245">
        <w:rPr>
          <w:rFonts w:ascii="Palatino Linotype" w:hAnsi="Palatino Linotype" w:cs="Times New Roman"/>
        </w:rPr>
        <w:t>.</w:t>
      </w:r>
    </w:p>
    <w:p w14:paraId="3DD2107F"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En primer lugar, las llamadas </w:t>
      </w:r>
      <w:r w:rsidRPr="00D66245">
        <w:rPr>
          <w:rFonts w:ascii="Palatino Linotype" w:hAnsi="Palatino Linotype" w:cs="Times New Roman"/>
          <w:i/>
        </w:rPr>
        <w:t>variables a estimar</w:t>
      </w:r>
      <w:r w:rsidRPr="00D66245">
        <w:rPr>
          <w:rFonts w:ascii="Palatino Linotype" w:hAnsi="Palatino Linotype" w:cs="Times New Roman"/>
        </w:rPr>
        <w:t xml:space="preserve">, incorporan aspectos relacionados con la forma en que se produjo la observación de la persona a identificar, en el transcurso del suceso. Estos datos empíricos son, en muchas ocasiones, contraintuitivos, y se dividen, a su vez, en </w:t>
      </w:r>
      <w:r w:rsidRPr="00D66245">
        <w:rPr>
          <w:rFonts w:ascii="Palatino Linotype" w:hAnsi="Palatino Linotype" w:cs="Times New Roman"/>
          <w:i/>
        </w:rPr>
        <w:t>factores del suceso</w:t>
      </w:r>
      <w:r w:rsidRPr="00D66245">
        <w:rPr>
          <w:rFonts w:ascii="Palatino Linotype" w:hAnsi="Palatino Linotype" w:cs="Times New Roman"/>
        </w:rPr>
        <w:t xml:space="preserve"> y </w:t>
      </w:r>
      <w:r w:rsidRPr="00D66245">
        <w:rPr>
          <w:rFonts w:ascii="Palatino Linotype" w:hAnsi="Palatino Linotype" w:cs="Times New Roman"/>
          <w:i/>
        </w:rPr>
        <w:t>factores del testigo-víctima</w:t>
      </w:r>
      <w:r w:rsidRPr="00D66245">
        <w:rPr>
          <w:rFonts w:ascii="Palatino Linotype" w:hAnsi="Palatino Linotype" w:cs="Times New Roman"/>
        </w:rPr>
        <w:t xml:space="preserve">. En cuanto a los </w:t>
      </w:r>
      <w:r w:rsidRPr="00D66245">
        <w:rPr>
          <w:rFonts w:ascii="Palatino Linotype" w:hAnsi="Palatino Linotype" w:cs="Times New Roman"/>
          <w:i/>
        </w:rPr>
        <w:t>factores del suceso</w:t>
      </w:r>
      <w:r w:rsidRPr="00D66245">
        <w:rPr>
          <w:rFonts w:ascii="Palatino Linotype" w:hAnsi="Palatino Linotype" w:cs="Times New Roman"/>
        </w:rPr>
        <w:t xml:space="preserve">, los más relevantes son los siguientes: </w:t>
      </w:r>
    </w:p>
    <w:p w14:paraId="41786F28" w14:textId="77777777" w:rsidR="00B377B2" w:rsidRPr="00D66245" w:rsidRDefault="00B377B2" w:rsidP="00F53211">
      <w:pPr>
        <w:pStyle w:val="Prrafodelista"/>
        <w:numPr>
          <w:ilvl w:val="0"/>
          <w:numId w:val="15"/>
        </w:numPr>
        <w:spacing w:before="120" w:after="200" w:line="240" w:lineRule="auto"/>
        <w:contextualSpacing w:val="0"/>
        <w:jc w:val="both"/>
        <w:rPr>
          <w:rFonts w:ascii="Palatino Linotype" w:hAnsi="Palatino Linotype" w:cs="Times New Roman"/>
          <w:lang w:val="es-ES"/>
        </w:rPr>
      </w:pPr>
      <w:r w:rsidRPr="00D66245">
        <w:rPr>
          <w:rFonts w:ascii="Palatino Linotype" w:hAnsi="Palatino Linotype" w:cs="Times New Roman"/>
          <w:lang w:val="es-ES"/>
        </w:rPr>
        <w:t>Duración del suceso y tiempo de exposición de la cara (los estudios no son concluyentes; la exposición larga puede aumentar la confianza sin que la exactitud mejore, pero puede concluirse que no es un factor perjudicial para la identificación, mientras que la exposición breve si lo es).</w:t>
      </w:r>
    </w:p>
    <w:p w14:paraId="444D20CE" w14:textId="77777777" w:rsidR="00B377B2" w:rsidRPr="00D66245" w:rsidRDefault="00B377B2" w:rsidP="00F53211">
      <w:pPr>
        <w:numPr>
          <w:ilvl w:val="0"/>
          <w:numId w:val="15"/>
        </w:numPr>
        <w:spacing w:before="120" w:after="200" w:line="240" w:lineRule="auto"/>
        <w:jc w:val="both"/>
        <w:rPr>
          <w:rFonts w:ascii="Palatino Linotype" w:hAnsi="Palatino Linotype" w:cs="Times New Roman"/>
        </w:rPr>
      </w:pPr>
      <w:r w:rsidRPr="00D66245">
        <w:rPr>
          <w:rFonts w:ascii="Palatino Linotype" w:hAnsi="Palatino Linotype" w:cs="Times New Roman"/>
        </w:rPr>
        <w:t>Condiciones de iluminación.</w:t>
      </w:r>
    </w:p>
    <w:p w14:paraId="5DF05F6B" w14:textId="77777777" w:rsidR="00B377B2" w:rsidRPr="00D66245" w:rsidRDefault="00B377B2" w:rsidP="00F53211">
      <w:pPr>
        <w:numPr>
          <w:ilvl w:val="0"/>
          <w:numId w:val="15"/>
        </w:numPr>
        <w:spacing w:before="120" w:after="200" w:line="240" w:lineRule="auto"/>
        <w:jc w:val="both"/>
        <w:rPr>
          <w:rFonts w:ascii="Palatino Linotype" w:hAnsi="Palatino Linotype" w:cs="Times New Roman"/>
        </w:rPr>
      </w:pPr>
      <w:r w:rsidRPr="00D66245">
        <w:rPr>
          <w:rFonts w:ascii="Palatino Linotype" w:hAnsi="Palatino Linotype" w:cs="Times New Roman"/>
        </w:rPr>
        <w:t>Número de agresores (entre más agresores, disminuye la exactitud).</w:t>
      </w:r>
    </w:p>
    <w:p w14:paraId="69896AE1" w14:textId="77777777" w:rsidR="00B377B2" w:rsidRPr="00D66245" w:rsidRDefault="00B377B2" w:rsidP="00F53211">
      <w:pPr>
        <w:numPr>
          <w:ilvl w:val="0"/>
          <w:numId w:val="15"/>
        </w:numPr>
        <w:spacing w:before="120" w:after="200" w:line="240" w:lineRule="auto"/>
        <w:jc w:val="both"/>
        <w:rPr>
          <w:rFonts w:ascii="Palatino Linotype" w:hAnsi="Palatino Linotype" w:cs="Times New Roman"/>
        </w:rPr>
      </w:pPr>
      <w:r w:rsidRPr="00D66245">
        <w:rPr>
          <w:rFonts w:ascii="Palatino Linotype" w:hAnsi="Palatino Linotype" w:cs="Times New Roman"/>
        </w:rPr>
        <w:t xml:space="preserve">Etnia del autor frente a la del testigo (sesgo de identificación intra-etnia, que implica el llamado </w:t>
      </w:r>
      <w:r w:rsidRPr="00D66245">
        <w:rPr>
          <w:rFonts w:ascii="Palatino Linotype" w:hAnsi="Palatino Linotype" w:cs="Times New Roman"/>
          <w:i/>
        </w:rPr>
        <w:t>efecto espejo</w:t>
      </w:r>
      <w:r w:rsidRPr="00D66245">
        <w:rPr>
          <w:rFonts w:ascii="Palatino Linotype" w:hAnsi="Palatino Linotype" w:cs="Times New Roman"/>
        </w:rPr>
        <w:t>; por tal motivo, se recomienda que quienes elaboren la rueda pertenezcan a la misma etnia que el sospechoso).</w:t>
      </w:r>
    </w:p>
    <w:p w14:paraId="57D61FDD" w14:textId="77777777" w:rsidR="00B377B2" w:rsidRPr="00D66245" w:rsidRDefault="00B377B2" w:rsidP="00F53211">
      <w:pPr>
        <w:numPr>
          <w:ilvl w:val="0"/>
          <w:numId w:val="15"/>
        </w:numPr>
        <w:spacing w:before="120" w:after="200" w:line="240" w:lineRule="auto"/>
        <w:jc w:val="both"/>
        <w:rPr>
          <w:rFonts w:ascii="Palatino Linotype" w:hAnsi="Palatino Linotype" w:cs="Times New Roman"/>
        </w:rPr>
      </w:pPr>
      <w:r w:rsidRPr="00D66245">
        <w:rPr>
          <w:rFonts w:ascii="Palatino Linotype" w:hAnsi="Palatino Linotype" w:cs="Times New Roman"/>
        </w:rPr>
        <w:t>Disfraces (disminuye exactitud).</w:t>
      </w:r>
    </w:p>
    <w:p w14:paraId="7DE60624"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Por su parte, los </w:t>
      </w:r>
      <w:r w:rsidRPr="00D66245">
        <w:rPr>
          <w:rFonts w:ascii="Palatino Linotype" w:hAnsi="Palatino Linotype" w:cs="Times New Roman"/>
          <w:i/>
        </w:rPr>
        <w:t>factores del testigo-víctima</w:t>
      </w:r>
      <w:r w:rsidRPr="00D66245">
        <w:rPr>
          <w:rFonts w:ascii="Palatino Linotype" w:hAnsi="Palatino Linotype" w:cs="Times New Roman"/>
        </w:rPr>
        <w:t>, incluyen esencialmente los siguientes rubros:</w:t>
      </w:r>
    </w:p>
    <w:p w14:paraId="5384CF0A" w14:textId="77777777" w:rsidR="00B377B2" w:rsidRPr="00D66245" w:rsidRDefault="00B377B2" w:rsidP="00F53211">
      <w:pPr>
        <w:pStyle w:val="Prrafodelista"/>
        <w:numPr>
          <w:ilvl w:val="0"/>
          <w:numId w:val="16"/>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rPr>
        <w:t xml:space="preserve">Aunque no se ha comprobado que la memoria funcione de forma diferente en los testigos con repecto a quienes, además, son víctimas del delito, algunos estudios refieren mayor exactitud en los testigos, pudiendo esto responder a las condiciones de estrés o el nivel de arousal que mantienen las víctimas. </w:t>
      </w:r>
    </w:p>
    <w:p w14:paraId="2907A1C1" w14:textId="77777777" w:rsidR="00B377B2" w:rsidRPr="00D66245" w:rsidRDefault="00B377B2" w:rsidP="00F53211">
      <w:pPr>
        <w:pStyle w:val="Prrafodelista"/>
        <w:numPr>
          <w:ilvl w:val="0"/>
          <w:numId w:val="16"/>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rPr>
        <w:t>Violencia del suceso y estrés (a menor estrés mayor exactitud); existe una relación entre estrés y rendimiento cognitivo: luego del punto óptimo se da un descenso abrupto (quizá el mejor ejemplo es el conocido “bloqueo en un examen”).</w:t>
      </w:r>
    </w:p>
    <w:p w14:paraId="24D52AE7" w14:textId="77777777" w:rsidR="00B377B2" w:rsidRPr="00D66245" w:rsidRDefault="00B377B2" w:rsidP="00F53211">
      <w:pPr>
        <w:pStyle w:val="Prrafodelista"/>
        <w:numPr>
          <w:ilvl w:val="0"/>
          <w:numId w:val="16"/>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rPr>
        <w:t>Nivel de recursos atencionales (¿Qué hacía el testigo al momento del suceso?).</w:t>
      </w:r>
    </w:p>
    <w:p w14:paraId="20DBA5D4" w14:textId="77777777" w:rsidR="00B377B2" w:rsidRPr="00D66245" w:rsidRDefault="00B377B2" w:rsidP="00F53211">
      <w:pPr>
        <w:pStyle w:val="Prrafodelista"/>
        <w:numPr>
          <w:ilvl w:val="0"/>
          <w:numId w:val="16"/>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i/>
          <w:iCs/>
        </w:rPr>
        <w:t>Weapon effect</w:t>
      </w:r>
      <w:r w:rsidRPr="00D66245">
        <w:rPr>
          <w:rFonts w:ascii="Palatino Linotype" w:hAnsi="Palatino Linotype" w:cs="Times New Roman"/>
        </w:rPr>
        <w:t>.</w:t>
      </w:r>
    </w:p>
    <w:p w14:paraId="25757B8D" w14:textId="77777777" w:rsidR="00B377B2" w:rsidRPr="00D66245" w:rsidRDefault="00B377B2" w:rsidP="00F53211">
      <w:pPr>
        <w:pStyle w:val="Prrafodelista"/>
        <w:numPr>
          <w:ilvl w:val="0"/>
          <w:numId w:val="16"/>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rPr>
        <w:t>Edad de los testigos y víctimas (niños, ancianos). La evidencia apunta a que los niños son más sugestionables y tienen peor memoria (pero hay consistencia de una identificación a otra, ese es precisamente el mayor riesgo en la valoración).</w:t>
      </w:r>
    </w:p>
    <w:p w14:paraId="27119948" w14:textId="77777777" w:rsidR="00B377B2" w:rsidRPr="00D66245" w:rsidRDefault="00B377B2" w:rsidP="00F53211">
      <w:pPr>
        <w:pStyle w:val="Prrafodelista"/>
        <w:numPr>
          <w:ilvl w:val="0"/>
          <w:numId w:val="16"/>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rPr>
        <w:t>Hombres y mujeres (se ha observado alguna divergencia pero los estudios no son concluyentes).</w:t>
      </w:r>
    </w:p>
    <w:p w14:paraId="69321673" w14:textId="77777777" w:rsidR="00B377B2" w:rsidRPr="00D66245" w:rsidRDefault="00B377B2" w:rsidP="00F53211">
      <w:pPr>
        <w:pStyle w:val="Prrafodelista"/>
        <w:numPr>
          <w:ilvl w:val="0"/>
          <w:numId w:val="16"/>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rPr>
        <w:t>Alcohol (efecto negativo en la codificación de la información).</w:t>
      </w:r>
    </w:p>
    <w:p w14:paraId="6ECBE07E"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En cuanto a las denominadas </w:t>
      </w:r>
      <w:r w:rsidRPr="00D66245">
        <w:rPr>
          <w:rFonts w:ascii="Palatino Linotype" w:hAnsi="Palatino Linotype" w:cs="Times New Roman"/>
          <w:i/>
        </w:rPr>
        <w:t>variables del sistema</w:t>
      </w:r>
      <w:r w:rsidRPr="00D66245">
        <w:rPr>
          <w:rFonts w:ascii="Palatino Linotype" w:hAnsi="Palatino Linotype" w:cs="Times New Roman"/>
        </w:rPr>
        <w:t>, estas condensan cuestiones relativas a la forma de realizar el procedimiento de reconocimiento como tal, por ejemplo:</w:t>
      </w:r>
    </w:p>
    <w:p w14:paraId="4EFF9AD9" w14:textId="77777777" w:rsidR="00B377B2" w:rsidRPr="00D66245" w:rsidRDefault="00B377B2" w:rsidP="00F53211">
      <w:pPr>
        <w:pStyle w:val="Prrafodelista"/>
        <w:numPr>
          <w:ilvl w:val="0"/>
          <w:numId w:val="17"/>
        </w:numPr>
        <w:spacing w:before="120" w:after="200" w:line="240" w:lineRule="auto"/>
        <w:contextualSpacing w:val="0"/>
        <w:jc w:val="both"/>
        <w:rPr>
          <w:rFonts w:ascii="Palatino Linotype" w:hAnsi="Palatino Linotype" w:cs="Times New Roman"/>
        </w:rPr>
      </w:pPr>
      <w:r w:rsidRPr="00D66245">
        <w:rPr>
          <w:rFonts w:ascii="Palatino Linotype" w:hAnsi="Palatino Linotype" w:cs="Times New Roman"/>
          <w:lang w:val="es-ES"/>
        </w:rPr>
        <w:t>Muestra de fotografías previas: Provoca el efecto de compromiso.</w:t>
      </w:r>
    </w:p>
    <w:p w14:paraId="3EE46115" w14:textId="77777777" w:rsidR="00B377B2" w:rsidRPr="00D66245" w:rsidRDefault="00B377B2" w:rsidP="00F53211">
      <w:pPr>
        <w:pStyle w:val="Prrafodelista"/>
        <w:numPr>
          <w:ilvl w:val="0"/>
          <w:numId w:val="17"/>
        </w:numPr>
        <w:spacing w:before="120" w:after="200" w:line="240" w:lineRule="auto"/>
        <w:contextualSpacing w:val="0"/>
        <w:jc w:val="both"/>
        <w:rPr>
          <w:rFonts w:ascii="Palatino Linotype" w:hAnsi="Palatino Linotype" w:cs="Times New Roman"/>
          <w:lang w:val="es-ES"/>
        </w:rPr>
      </w:pPr>
      <w:r w:rsidRPr="00D66245">
        <w:rPr>
          <w:rFonts w:ascii="Palatino Linotype" w:hAnsi="Palatino Linotype" w:cs="Times New Roman"/>
          <w:lang w:val="es-ES"/>
        </w:rPr>
        <w:t>Composición de la rueda (similitud, número de personas; se recomienda que solo haya un sospechoso). Se diferencia entre tamaño nominal (número de sujetos) y tamaño funcional (componentes viables).</w:t>
      </w:r>
    </w:p>
    <w:p w14:paraId="5A6D2BD5" w14:textId="77777777" w:rsidR="00B377B2" w:rsidRPr="00D66245" w:rsidRDefault="00B377B2" w:rsidP="00F53211">
      <w:pPr>
        <w:pStyle w:val="Prrafodelista"/>
        <w:numPr>
          <w:ilvl w:val="0"/>
          <w:numId w:val="17"/>
        </w:numPr>
        <w:spacing w:before="120" w:after="200" w:line="240" w:lineRule="auto"/>
        <w:contextualSpacing w:val="0"/>
        <w:jc w:val="both"/>
        <w:rPr>
          <w:rFonts w:ascii="Palatino Linotype" w:hAnsi="Palatino Linotype" w:cs="Times New Roman"/>
          <w:lang w:val="es-ES"/>
        </w:rPr>
      </w:pPr>
      <w:r w:rsidRPr="00D66245">
        <w:rPr>
          <w:rFonts w:ascii="Palatino Linotype" w:hAnsi="Palatino Linotype" w:cs="Times New Roman"/>
          <w:lang w:val="es-ES"/>
        </w:rPr>
        <w:t>Proceso de decisión en la identificación (posible sugestión por la estructura de la rueda o por el procedimiento como tal).</w:t>
      </w:r>
    </w:p>
    <w:p w14:paraId="293775FA" w14:textId="77777777" w:rsidR="00B377B2" w:rsidRPr="00D66245" w:rsidRDefault="00B377B2" w:rsidP="00F53211">
      <w:pPr>
        <w:pStyle w:val="Prrafodelista"/>
        <w:numPr>
          <w:ilvl w:val="0"/>
          <w:numId w:val="17"/>
        </w:numPr>
        <w:spacing w:before="120" w:after="200" w:line="240" w:lineRule="auto"/>
        <w:contextualSpacing w:val="0"/>
        <w:jc w:val="both"/>
        <w:rPr>
          <w:rFonts w:ascii="Palatino Linotype" w:hAnsi="Palatino Linotype" w:cs="Times New Roman"/>
          <w:lang w:val="es-ES"/>
        </w:rPr>
      </w:pPr>
      <w:r w:rsidRPr="00D66245">
        <w:rPr>
          <w:rFonts w:ascii="Palatino Linotype" w:hAnsi="Palatino Linotype" w:cs="Times New Roman"/>
          <w:lang w:val="es-ES"/>
        </w:rPr>
        <w:t>Rueda como fenómeno cognitivo-social: Las creencias, valores y sentimientos tienen relevancia. Por ejemplo, la creencia de que la policía tiene pruebas contra una persona puede dar lugar a un proceso de juicio relativo, es decir, elegir al individuo que más se parece.</w:t>
      </w:r>
    </w:p>
    <w:p w14:paraId="4FB5CB5D" w14:textId="77777777" w:rsidR="00B377B2" w:rsidRPr="00D66245" w:rsidRDefault="00B377B2" w:rsidP="00F53211">
      <w:pPr>
        <w:pStyle w:val="Prrafodelista"/>
        <w:numPr>
          <w:ilvl w:val="0"/>
          <w:numId w:val="17"/>
        </w:numPr>
        <w:tabs>
          <w:tab w:val="left" w:pos="1040"/>
        </w:tabs>
        <w:spacing w:before="120" w:after="200" w:line="240" w:lineRule="auto"/>
        <w:contextualSpacing w:val="0"/>
        <w:rPr>
          <w:rFonts w:ascii="Palatino Linotype" w:hAnsi="Palatino Linotype" w:cs="Times New Roman"/>
          <w:lang w:val="es-ES"/>
        </w:rPr>
      </w:pPr>
      <w:r w:rsidRPr="00D66245">
        <w:rPr>
          <w:rFonts w:ascii="Palatino Linotype" w:hAnsi="Palatino Linotype" w:cs="Times New Roman"/>
          <w:lang w:val="es-ES"/>
        </w:rPr>
        <w:t>Instrucciones no sesgadas (advertir que el sospechoso puede no estar en la rueda).</w:t>
      </w:r>
    </w:p>
    <w:p w14:paraId="0C479CEF" w14:textId="77777777" w:rsidR="00B377B2" w:rsidRPr="00D66245" w:rsidRDefault="00B377B2" w:rsidP="00F53211">
      <w:pPr>
        <w:pStyle w:val="Prrafodelista"/>
        <w:numPr>
          <w:ilvl w:val="0"/>
          <w:numId w:val="17"/>
        </w:numPr>
        <w:tabs>
          <w:tab w:val="left" w:pos="1040"/>
        </w:tabs>
        <w:spacing w:before="120" w:after="200" w:line="240" w:lineRule="auto"/>
        <w:contextualSpacing w:val="0"/>
        <w:rPr>
          <w:rFonts w:ascii="Palatino Linotype" w:hAnsi="Palatino Linotype" w:cs="Times New Roman"/>
          <w:lang w:val="es-ES"/>
        </w:rPr>
      </w:pPr>
      <w:r w:rsidRPr="00D66245">
        <w:rPr>
          <w:rFonts w:ascii="Palatino Linotype" w:hAnsi="Palatino Linotype" w:cs="Times New Roman"/>
          <w:lang w:val="es-ES"/>
        </w:rPr>
        <w:t>Rueda secuencial (el testigo observa cada componente de forma aislada).</w:t>
      </w:r>
    </w:p>
    <w:p w14:paraId="325C30C0" w14:textId="77777777" w:rsidR="00B377B2" w:rsidRPr="00D66245" w:rsidRDefault="00B377B2" w:rsidP="00F53211">
      <w:pPr>
        <w:pStyle w:val="Prrafodelista"/>
        <w:numPr>
          <w:ilvl w:val="0"/>
          <w:numId w:val="17"/>
        </w:numPr>
        <w:tabs>
          <w:tab w:val="left" w:pos="1040"/>
        </w:tabs>
        <w:spacing w:before="120" w:after="200" w:line="240" w:lineRule="auto"/>
        <w:contextualSpacing w:val="0"/>
        <w:rPr>
          <w:rFonts w:ascii="Palatino Linotype" w:hAnsi="Palatino Linotype" w:cs="Times New Roman"/>
          <w:lang w:val="es-ES"/>
        </w:rPr>
      </w:pPr>
      <w:r w:rsidRPr="00D66245">
        <w:rPr>
          <w:rFonts w:ascii="Palatino Linotype" w:hAnsi="Palatino Linotype" w:cs="Times New Roman"/>
          <w:lang w:val="es-ES"/>
        </w:rPr>
        <w:t>Sistema de doble ciego.</w:t>
      </w:r>
    </w:p>
    <w:p w14:paraId="15C70ADF" w14:textId="77777777" w:rsidR="00B377B2" w:rsidRPr="00D66245" w:rsidRDefault="00B377B2" w:rsidP="00F53211">
      <w:pPr>
        <w:pStyle w:val="Prrafodelista"/>
        <w:numPr>
          <w:ilvl w:val="0"/>
          <w:numId w:val="17"/>
        </w:numPr>
        <w:tabs>
          <w:tab w:val="left" w:pos="1040"/>
        </w:tabs>
        <w:spacing w:before="120" w:after="200" w:line="240" w:lineRule="auto"/>
        <w:contextualSpacing w:val="0"/>
        <w:rPr>
          <w:rFonts w:ascii="Palatino Linotype" w:hAnsi="Palatino Linotype" w:cs="Times New Roman"/>
          <w:lang w:val="es-ES"/>
        </w:rPr>
      </w:pPr>
      <w:r w:rsidRPr="00D66245">
        <w:rPr>
          <w:rFonts w:ascii="Palatino Linotype" w:hAnsi="Palatino Linotype" w:cs="Times New Roman"/>
          <w:lang w:val="es-ES"/>
        </w:rPr>
        <w:t>La seguridad en la identificación es irrelevante. Lo que sí ha mostrado importancia es la velocidad de respuesta (los testigos más exactos toman decisiones de forma automática y absoluta).</w:t>
      </w:r>
    </w:p>
    <w:p w14:paraId="0FF8CDAE" w14:textId="77777777" w:rsidR="00B377B2" w:rsidRPr="00D66245" w:rsidRDefault="00B377B2" w:rsidP="00F53211">
      <w:pPr>
        <w:pStyle w:val="Prrafodelista"/>
        <w:numPr>
          <w:ilvl w:val="0"/>
          <w:numId w:val="17"/>
        </w:numPr>
        <w:tabs>
          <w:tab w:val="left" w:pos="1040"/>
        </w:tabs>
        <w:spacing w:before="120" w:after="200" w:line="240" w:lineRule="auto"/>
        <w:contextualSpacing w:val="0"/>
        <w:rPr>
          <w:rFonts w:ascii="Palatino Linotype" w:hAnsi="Palatino Linotype" w:cs="Times New Roman"/>
          <w:lang w:val="es-ES"/>
        </w:rPr>
      </w:pPr>
      <w:r w:rsidRPr="00D66245">
        <w:rPr>
          <w:rFonts w:ascii="Palatino Linotype" w:hAnsi="Palatino Linotype" w:cs="Times New Roman"/>
          <w:lang w:val="es-ES"/>
        </w:rPr>
        <w:t>Sobrevaloración (exponencial) de la identificación: La segunda identificación no es independiente de la primera, no es una prueba de memoria.</w:t>
      </w:r>
    </w:p>
    <w:p w14:paraId="64EBC4C6" w14:textId="77777777" w:rsidR="00B377B2" w:rsidRPr="00D66245" w:rsidRDefault="00B377B2" w:rsidP="00F53211">
      <w:pPr>
        <w:tabs>
          <w:tab w:val="left" w:pos="1040"/>
        </w:tabs>
        <w:spacing w:before="120" w:after="200"/>
        <w:rPr>
          <w:rFonts w:ascii="Palatino Linotype" w:hAnsi="Palatino Linotype" w:cs="Times New Roman"/>
        </w:rPr>
      </w:pPr>
      <w:r w:rsidRPr="00D66245">
        <w:rPr>
          <w:rFonts w:ascii="Palatino Linotype" w:hAnsi="Palatino Linotype" w:cs="Times New Roman"/>
        </w:rPr>
        <w:t xml:space="preserve">Finalmente, los </w:t>
      </w:r>
      <w:r w:rsidRPr="00D66245">
        <w:rPr>
          <w:rFonts w:ascii="Palatino Linotype" w:hAnsi="Palatino Linotype" w:cs="Times New Roman"/>
          <w:i/>
        </w:rPr>
        <w:t>factores de retención</w:t>
      </w:r>
      <w:r w:rsidRPr="00D66245">
        <w:rPr>
          <w:rFonts w:ascii="Palatino Linotype" w:hAnsi="Palatino Linotype" w:cs="Times New Roman"/>
        </w:rPr>
        <w:t xml:space="preserve"> implican una conjunción entre los otros dos tipos de factores, siendo los más representativos: </w:t>
      </w:r>
    </w:p>
    <w:p w14:paraId="548FD0B1" w14:textId="77777777" w:rsidR="00B377B2" w:rsidRPr="00D66245" w:rsidRDefault="00B377B2" w:rsidP="00F53211">
      <w:pPr>
        <w:pStyle w:val="Prrafodelista"/>
        <w:numPr>
          <w:ilvl w:val="0"/>
          <w:numId w:val="18"/>
        </w:numPr>
        <w:tabs>
          <w:tab w:val="left" w:pos="1040"/>
        </w:tabs>
        <w:spacing w:before="120" w:after="200" w:line="240" w:lineRule="auto"/>
        <w:contextualSpacing w:val="0"/>
        <w:jc w:val="both"/>
        <w:rPr>
          <w:rFonts w:ascii="Palatino Linotype" w:hAnsi="Palatino Linotype" w:cs="Times New Roman"/>
          <w:lang w:val="es-ES"/>
        </w:rPr>
      </w:pPr>
      <w:r w:rsidRPr="00D66245">
        <w:rPr>
          <w:rFonts w:ascii="Palatino Linotype" w:hAnsi="Palatino Linotype" w:cs="Times New Roman"/>
          <w:lang w:val="es-ES"/>
        </w:rPr>
        <w:t xml:space="preserve">Intervalo de retención: La llamada </w:t>
      </w:r>
      <w:r w:rsidRPr="00D66245">
        <w:rPr>
          <w:rFonts w:ascii="Palatino Linotype" w:hAnsi="Palatino Linotype" w:cs="Times New Roman"/>
          <w:i/>
          <w:lang w:val="es-ES"/>
        </w:rPr>
        <w:t>curva de olvido de Ebbinghaus</w:t>
      </w:r>
      <w:r w:rsidRPr="00D66245">
        <w:rPr>
          <w:rFonts w:ascii="Palatino Linotype" w:hAnsi="Palatino Linotype" w:cs="Times New Roman"/>
          <w:lang w:val="es-ES"/>
        </w:rPr>
        <w:t>, plantea que la relación entre el paso del tiempo y el olvido no es lineal, sino logarítmica (pérdida es mayor al principio). Lo que en definitiva no tiene discusión es que la demora nunca tiene un efecto positivo, siendo que algunos estudios demuestran que después de 11 meses la identificación no supera el nivel de azar.</w:t>
      </w:r>
    </w:p>
    <w:p w14:paraId="2C45F443" w14:textId="77777777" w:rsidR="00B377B2" w:rsidRPr="00D66245" w:rsidRDefault="00B377B2" w:rsidP="00F53211">
      <w:pPr>
        <w:pStyle w:val="Prrafodelista"/>
        <w:numPr>
          <w:ilvl w:val="0"/>
          <w:numId w:val="18"/>
        </w:numPr>
        <w:tabs>
          <w:tab w:val="left" w:pos="1040"/>
        </w:tabs>
        <w:spacing w:before="120" w:after="200" w:line="240" w:lineRule="auto"/>
        <w:contextualSpacing w:val="0"/>
        <w:jc w:val="both"/>
        <w:rPr>
          <w:rFonts w:ascii="Palatino Linotype" w:hAnsi="Palatino Linotype" w:cs="Times New Roman"/>
          <w:lang w:val="es-ES"/>
        </w:rPr>
      </w:pPr>
      <w:r w:rsidRPr="00D66245">
        <w:rPr>
          <w:rFonts w:ascii="Palatino Linotype" w:hAnsi="Palatino Linotype" w:cs="Times New Roman"/>
          <w:lang w:val="es-ES"/>
        </w:rPr>
        <w:t>Efecto de otras caras (familiaridad): La interferencia, hablar del suceso o del agresor, provoca cambios en la memoria de la cara.</w:t>
      </w:r>
    </w:p>
    <w:p w14:paraId="4B056D20" w14:textId="77777777" w:rsidR="00B377B2" w:rsidRPr="00D66245" w:rsidRDefault="00B377B2" w:rsidP="005A584C">
      <w:pPr>
        <w:pStyle w:val="Prrafodelista"/>
        <w:widowControl w:val="0"/>
        <w:numPr>
          <w:ilvl w:val="0"/>
          <w:numId w:val="19"/>
        </w:numPr>
        <w:autoSpaceDE w:val="0"/>
        <w:autoSpaceDN w:val="0"/>
        <w:adjustRightInd w:val="0"/>
        <w:spacing w:before="120" w:after="200" w:line="240" w:lineRule="auto"/>
        <w:ind w:left="0" w:firstLine="0"/>
        <w:contextualSpacing w:val="0"/>
        <w:jc w:val="both"/>
        <w:rPr>
          <w:rFonts w:ascii="Palatino Linotype" w:hAnsi="Palatino Linotype" w:cs="Times New Roman"/>
          <w:b/>
          <w:lang w:val="es-ES_tradnl"/>
        </w:rPr>
      </w:pPr>
      <w:r w:rsidRPr="00D66245">
        <w:rPr>
          <w:rFonts w:ascii="Palatino Linotype" w:hAnsi="Palatino Linotype" w:cs="Times New Roman"/>
          <w:b/>
          <w:lang w:val="es-ES_tradnl"/>
        </w:rPr>
        <w:t>Su práctica en Costa Rica</w:t>
      </w:r>
    </w:p>
    <w:p w14:paraId="4C1A1D62"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Los reconocimientos oculares no han sido un tópico frecuente en la doctrina costarricense</w:t>
      </w:r>
      <w:r w:rsidRPr="00D66245">
        <w:rPr>
          <w:rStyle w:val="Refdenotaalpie"/>
          <w:rFonts w:ascii="Palatino Linotype" w:hAnsi="Palatino Linotype" w:cs="Times New Roman"/>
          <w:lang w:val="es-ES_tradnl"/>
        </w:rPr>
        <w:footnoteReference w:id="404"/>
      </w:r>
      <w:r w:rsidRPr="00D66245">
        <w:rPr>
          <w:rFonts w:ascii="Palatino Linotype" w:hAnsi="Palatino Linotype" w:cs="Times New Roman"/>
          <w:lang w:val="es-ES_tradnl"/>
        </w:rPr>
        <w:t>, lo que dificulta en buena medida un análisis profuso sobre su utilización. Ante tal escollo, para la elaboración de este acápite se utilizarán los datos recabados a partir de la realización de una entrevista semi-estructurada entre funcionarios de la administración de justicia</w:t>
      </w:r>
      <w:r w:rsidRPr="00D66245">
        <w:rPr>
          <w:rStyle w:val="Refdenotaalpie"/>
          <w:rFonts w:ascii="Palatino Linotype" w:hAnsi="Palatino Linotype" w:cs="Times New Roman"/>
          <w:lang w:val="es-ES_tradnl"/>
        </w:rPr>
        <w:footnoteReference w:id="405"/>
      </w:r>
      <w:r w:rsidRPr="00D66245">
        <w:rPr>
          <w:rFonts w:ascii="Palatino Linotype" w:hAnsi="Palatino Linotype" w:cs="Times New Roman"/>
          <w:lang w:val="es-ES_tradnl"/>
        </w:rPr>
        <w:t>, además de la normativa vigente y la jurisprudencia más reciente sobre el tema</w:t>
      </w:r>
      <w:r w:rsidRPr="00D66245">
        <w:rPr>
          <w:rStyle w:val="Refdenotaalpie"/>
          <w:rFonts w:ascii="Palatino Linotype" w:hAnsi="Palatino Linotype" w:cs="Times New Roman"/>
          <w:lang w:val="es-ES_tradnl"/>
        </w:rPr>
        <w:footnoteReference w:id="406"/>
      </w:r>
      <w:r w:rsidRPr="00D66245">
        <w:rPr>
          <w:rFonts w:ascii="Palatino Linotype" w:hAnsi="Palatino Linotype" w:cs="Times New Roman"/>
          <w:lang w:val="es-ES_tradnl"/>
        </w:rPr>
        <w:t xml:space="preserve">. </w:t>
      </w:r>
    </w:p>
    <w:p w14:paraId="35EE0442"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En cuanto a la</w:t>
      </w:r>
      <w:r w:rsidRPr="00D66245">
        <w:rPr>
          <w:rFonts w:ascii="Palatino Linotype" w:hAnsi="Palatino Linotype" w:cs="Times New Roman"/>
          <w:i/>
          <w:lang w:val="es-ES_tradnl"/>
        </w:rPr>
        <w:t xml:space="preserve"> frecuencia </w:t>
      </w:r>
      <w:r w:rsidRPr="00D66245">
        <w:rPr>
          <w:rFonts w:ascii="Palatino Linotype" w:hAnsi="Palatino Linotype" w:cs="Times New Roman"/>
          <w:lang w:val="es-ES_tradnl"/>
        </w:rPr>
        <w:t>en la utilización de los reconocimientos oculares</w:t>
      </w:r>
      <w:r w:rsidRPr="00D66245">
        <w:rPr>
          <w:rStyle w:val="Refdenotaalpie"/>
          <w:rFonts w:ascii="Palatino Linotype" w:hAnsi="Palatino Linotype" w:cs="Times New Roman"/>
          <w:lang w:val="es-ES_tradnl"/>
        </w:rPr>
        <w:footnoteReference w:id="407"/>
      </w:r>
      <w:r w:rsidRPr="00D66245">
        <w:rPr>
          <w:rFonts w:ascii="Palatino Linotype" w:hAnsi="Palatino Linotype" w:cs="Times New Roman"/>
          <w:lang w:val="es-ES_tradnl"/>
        </w:rPr>
        <w:t>, el 83% de los entrevistados señaló que es un medio poco utilizado, mientras que el 17% indicó que era frecuente o muy frecuente su uso, existiendo coincidencia en que son los delitos contra la propiedad los que más requieren esta diligencia</w:t>
      </w:r>
      <w:r w:rsidRPr="00D66245">
        <w:rPr>
          <w:rStyle w:val="Refdenotaalpie"/>
          <w:rFonts w:ascii="Palatino Linotype" w:hAnsi="Palatino Linotype" w:cs="Times New Roman"/>
          <w:lang w:val="es-ES_tradnl"/>
        </w:rPr>
        <w:footnoteReference w:id="408"/>
      </w:r>
      <w:r w:rsidRPr="00D66245">
        <w:rPr>
          <w:rFonts w:ascii="Palatino Linotype" w:hAnsi="Palatino Linotype" w:cs="Times New Roman"/>
          <w:lang w:val="es-ES_tradnl"/>
        </w:rPr>
        <w:t>.  No obstante, la percepción sobre la frecuencia de uso puede estar empañada por las características de la zona en que se recogió la muestra, dado que, al tratarse de una región rural, las condiciones socioculturales y económicas presentes pudieran tener un efecto reductor del uso de este medio de prueba</w:t>
      </w:r>
      <w:r w:rsidRPr="00D66245">
        <w:rPr>
          <w:rStyle w:val="Refdenotaalpie"/>
          <w:rFonts w:ascii="Palatino Linotype" w:hAnsi="Palatino Linotype" w:cs="Times New Roman"/>
          <w:lang w:val="es-ES_tradnl"/>
        </w:rPr>
        <w:footnoteReference w:id="409"/>
      </w:r>
      <w:r w:rsidRPr="00D66245">
        <w:rPr>
          <w:rFonts w:ascii="Palatino Linotype" w:hAnsi="Palatino Linotype" w:cs="Times New Roman"/>
          <w:lang w:val="es-ES_tradnl"/>
        </w:rPr>
        <w:t xml:space="preserve">. </w:t>
      </w:r>
    </w:p>
    <w:p w14:paraId="5D1E89F2"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Sin embargo, la práctica de exhibición de fotografías sin sospechoso</w:t>
      </w:r>
      <w:r w:rsidRPr="00D66245">
        <w:rPr>
          <w:rStyle w:val="Refdenotaalpie"/>
          <w:rFonts w:ascii="Palatino Linotype" w:hAnsi="Palatino Linotype" w:cs="Times New Roman"/>
          <w:lang w:val="es-ES_tradnl"/>
        </w:rPr>
        <w:footnoteReference w:id="410"/>
      </w:r>
      <w:r w:rsidRPr="00D66245">
        <w:rPr>
          <w:rFonts w:ascii="Palatino Linotype" w:hAnsi="Palatino Linotype" w:cs="Times New Roman"/>
          <w:lang w:val="es-ES_tradnl"/>
        </w:rPr>
        <w:t xml:space="preserve">, efectuado por la policía judicial, los reconocimientos “espontáneos” y los reconocimientos en audiencias de juicio, también llamados </w:t>
      </w:r>
      <w:r w:rsidRPr="00D66245">
        <w:rPr>
          <w:rFonts w:ascii="Palatino Linotype" w:hAnsi="Palatino Linotype" w:cs="Times New Roman"/>
          <w:i/>
          <w:lang w:val="es-ES_tradnl"/>
        </w:rPr>
        <w:t>impropios</w:t>
      </w:r>
      <w:r w:rsidRPr="00D66245">
        <w:rPr>
          <w:rFonts w:ascii="Palatino Linotype" w:hAnsi="Palatino Linotype" w:cs="Times New Roman"/>
          <w:lang w:val="es-ES_tradnl"/>
        </w:rPr>
        <w:t xml:space="preserve">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{"citationItems":[{"id":"ITEM-1","itemData":{"ISBN":"978-9968-561-50-1","author":[{"dropping-particle":"","family":"Llobet Rodríguez","given":"Javier","non-dropping-particle":"","parse-names":false,"suffix":""}],"edition":"5ª edición","id":"ITEM-1","issued":{"date-parts":[["2012"]]},"number-of-pages":"821","publisher":"Editorial Jurídica Continental","publisher-place":"San José","title":"Proceso penal comentado (Código procesal penal comentado)","type":"book"},"locator":"392","uris":["http://www.mendeley.com/documents/?uuid=b955d057-951c-45c2-8483-f56c3596c12a"]}],"mendeley":{"formattedCitation":"(Llobet Rodríguez, 2012, p. 392)","plainTextFormattedCitation":"(Llobet Rodríguez, 2012, p. 392)","previouslyFormattedCitation":"(Llobet Rodríguez, 2012, p. 392)"},"properties":{"noteIndex":0},"schema":"https://github.com/citation-style-language/schema/raw/master/csl-citation.json"}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(Llobet Rodríguez, 2012, p. 392)</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se posicionan como mecanismos mucho más usuales, destacándose como métodos no regulados en el CPP generalmente empleados por el 67% de los entrevistados, en los dos primeros casos, y en cuanto al reconocimiento impropio, como muy frecuente por el 83% de los entrevistados.  A pesar de ser prácticas no contempladas en el CPP, la jurisprudencia nacional ha sido en extremo permisiva y ha dado su aval prácticamente sin resistencia, aunque no propiamente como reconocimientos oculares</w:t>
      </w:r>
      <w:r w:rsidRPr="00D66245">
        <w:rPr>
          <w:rStyle w:val="Refdenotaalpie"/>
          <w:rFonts w:ascii="Palatino Linotype" w:hAnsi="Palatino Linotype" w:cs="Times New Roman"/>
          <w:lang w:val="es-ES_tradnl"/>
        </w:rPr>
        <w:footnoteReference w:id="411"/>
      </w:r>
      <w:r w:rsidRPr="00D66245">
        <w:rPr>
          <w:rFonts w:ascii="Palatino Linotype" w:hAnsi="Palatino Linotype" w:cs="Times New Roman"/>
          <w:lang w:val="es-ES_tradnl"/>
        </w:rPr>
        <w:t xml:space="preserve">. </w:t>
      </w:r>
    </w:p>
    <w:p w14:paraId="25AD14F1"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Sobre las prácticas en materia de admisibilidad, esencialmente en la etapa intermedia del proceso (audiencia preliminar), la mayoría de los entrevistados afirmaron que el control es inexistente (75%), se realiza poco (17%) y solamente una persona afirmó que sí se realiza un control adecuado (8%). Lo anterior se condice con la percepción que en los últimos años se ha tenido de la etapa intermedia, como una fase intrascendente, pues no cumple el rol de filtro que debería</w:t>
      </w:r>
      <w:r w:rsidRPr="00D66245">
        <w:rPr>
          <w:rStyle w:val="Refdenotaalpie"/>
          <w:rFonts w:ascii="Palatino Linotype" w:hAnsi="Palatino Linotype" w:cs="Times New Roman"/>
          <w:lang w:val="es-ES_tradnl"/>
        </w:rPr>
        <w:footnoteReference w:id="412"/>
      </w:r>
      <w:r w:rsidRPr="00D66245">
        <w:rPr>
          <w:rFonts w:ascii="Palatino Linotype" w:hAnsi="Palatino Linotype" w:cs="Times New Roman"/>
          <w:lang w:val="es-ES_tradnl"/>
        </w:rPr>
        <w:t>, a pesar de que la regulación procesal permitiría un control más riguroso de la prueba por parte del juez.</w:t>
      </w:r>
    </w:p>
    <w:p w14:paraId="071055D6"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En cuanto al control de los reconocimientos oculares en fase de juicio, el 92% de las personas entrevistadas afirmó que los jueces les dan alta importancia, siendo que solamente una persona (8%) no respondió la pregunta. En este punto, resulta interesante que, de la revisión de la jurisprudencia nacional sobre el tema, durante los últimos 3 años</w:t>
      </w:r>
      <w:r w:rsidRPr="00D66245">
        <w:rPr>
          <w:rStyle w:val="Refdenotaalpie"/>
          <w:rFonts w:ascii="Palatino Linotype" w:hAnsi="Palatino Linotype" w:cs="Times New Roman"/>
          <w:lang w:val="es-ES_tradnl"/>
        </w:rPr>
        <w:footnoteReference w:id="413"/>
      </w:r>
      <w:r w:rsidRPr="00D66245">
        <w:rPr>
          <w:rFonts w:ascii="Palatino Linotype" w:hAnsi="Palatino Linotype" w:cs="Times New Roman"/>
          <w:lang w:val="es-ES_tradnl"/>
        </w:rPr>
        <w:t>, se denota un escaso control y cierta laxitud en el estándar utilizado para evaluar la fiabilidad del reconocimiento, por ejemplo, restándosele importancia a la velocidad de respuesta de la identificación</w:t>
      </w:r>
      <w:r w:rsidRPr="00D66245">
        <w:rPr>
          <w:rStyle w:val="Refdenotaalpie"/>
          <w:rFonts w:ascii="Palatino Linotype" w:hAnsi="Palatino Linotype" w:cs="Times New Roman"/>
          <w:lang w:val="es-ES_tradnl"/>
        </w:rPr>
        <w:footnoteReference w:id="414"/>
      </w:r>
      <w:r w:rsidRPr="00D66245">
        <w:rPr>
          <w:rFonts w:ascii="Palatino Linotype" w:hAnsi="Palatino Linotype" w:cs="Times New Roman"/>
          <w:lang w:val="es-ES_tradnl"/>
        </w:rPr>
        <w:t xml:space="preserve">, pese a ser un elemento identificado como relevante por la literatura especializada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author":[{"dropping-particle":"","family":"Diges","given":"Margarita","non-dropping-particle":"","parse-names":false,"suffix":""},{"dropping-particle":"","family":"Pérez-Mata","given":"Nieves","non-dropping-particle":"","parse-names":false,"suffix":""}],"container-title":"Identificaciones fotográficas y en rueda de reconocimiento. Un análisis desde el Derecho procesal penal y la psicología del testimonio","id":"ITEM-1","issued":{"date-parts":[["2014"]]},"publisher":"Marcial Pons","title":"La prueba de identificación desde la psicología del testimonio","type":"chapter"},"locator":"73","uris":["http://www.mendeley.com/documents/?uuid=4239216f-cb8f-4db9-a5c2-b6609f2db014"]}],"mendeley":{"formattedCitation":"(Diges &amp; Pérez-Mata, 2014, p. 73)","plainTextFormattedCitation":"(Diges &amp; Pérez-Mata, 2014, p. 73)","previouslyFormattedCitation":"(Diges &amp; Pérez-Mata, 2014, p. 73)"},"properties":{"noteIndex":0},"schema":"https://github.com/citation-style-language/schema/raw/master/csl-citation.json"}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(Diges &amp; Pérez-Mata, 2014, p. 73)</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avalando diligencias en donde se extravió el acta en donde se registró la diligencia</w:t>
      </w:r>
      <w:r w:rsidRPr="00D66245">
        <w:rPr>
          <w:rStyle w:val="Refdenotaalpie"/>
          <w:rFonts w:ascii="Palatino Linotype" w:hAnsi="Palatino Linotype" w:cs="Times New Roman"/>
          <w:lang w:val="es-ES_tradnl"/>
        </w:rPr>
        <w:footnoteReference w:id="415"/>
      </w:r>
      <w:r w:rsidRPr="00D66245">
        <w:rPr>
          <w:rFonts w:ascii="Palatino Linotype" w:hAnsi="Palatino Linotype" w:cs="Times New Roman"/>
          <w:lang w:val="es-ES_tradnl"/>
        </w:rPr>
        <w:t xml:space="preserve"> o estimando irrelevante que al testigo se le mostrase a los sospechosos previo a la realización del reconocimiento</w:t>
      </w:r>
      <w:r w:rsidRPr="00D66245">
        <w:rPr>
          <w:rStyle w:val="Refdenotaalpie"/>
          <w:rFonts w:ascii="Palatino Linotype" w:hAnsi="Palatino Linotype" w:cs="Times New Roman"/>
          <w:lang w:val="es-ES_tradnl"/>
        </w:rPr>
        <w:footnoteReference w:id="416"/>
      </w:r>
      <w:r w:rsidRPr="00D66245">
        <w:rPr>
          <w:rFonts w:ascii="Palatino Linotype" w:hAnsi="Palatino Linotype" w:cs="Times New Roman"/>
          <w:lang w:val="es-ES_tradnl"/>
        </w:rPr>
        <w:t xml:space="preserve">. </w:t>
      </w:r>
    </w:p>
    <w:p w14:paraId="22F71D5E" w14:textId="502AFDCE"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Empero, algunas excepciones, en donde sí se ha realizado un análisis profuso, con utilización de literatura especializada y actual, por ejemplo, cuestionándose si el testigo “ha reconocido al imputado en la diligencia de reconocimiento físico y durante el debate porque fue la persona que lo asaltó, o porque está reconociendo a la persona que se le mostró en el reconocimiento fotográfico”</w:t>
      </w:r>
      <w:r w:rsidRPr="00D66245">
        <w:rPr>
          <w:rStyle w:val="Refdenotaalpie"/>
          <w:rFonts w:ascii="Palatino Linotype" w:hAnsi="Palatino Linotype" w:cs="Times New Roman"/>
          <w:lang w:val="es-ES_tradnl"/>
        </w:rPr>
        <w:footnoteReference w:id="417"/>
      </w:r>
      <w:r w:rsidRPr="00D66245">
        <w:rPr>
          <w:rFonts w:ascii="Palatino Linotype" w:hAnsi="Palatino Linotype" w:cs="Times New Roman"/>
          <w:lang w:val="es-ES_tradnl"/>
        </w:rPr>
        <w:t>, realmente generan alguna esperanza.</w:t>
      </w:r>
    </w:p>
    <w:p w14:paraId="11A0A619" w14:textId="77777777" w:rsidR="00B377B2" w:rsidRPr="00D66245" w:rsidRDefault="00B377B2" w:rsidP="00BD185D">
      <w:pPr>
        <w:pStyle w:val="Prrafodelista"/>
        <w:widowControl w:val="0"/>
        <w:numPr>
          <w:ilvl w:val="0"/>
          <w:numId w:val="19"/>
        </w:numPr>
        <w:autoSpaceDE w:val="0"/>
        <w:autoSpaceDN w:val="0"/>
        <w:adjustRightInd w:val="0"/>
        <w:spacing w:before="120" w:after="200" w:line="240" w:lineRule="auto"/>
        <w:ind w:left="0" w:firstLine="0"/>
        <w:contextualSpacing w:val="0"/>
        <w:jc w:val="both"/>
        <w:rPr>
          <w:rFonts w:ascii="Palatino Linotype" w:hAnsi="Palatino Linotype" w:cs="Times New Roman"/>
          <w:b/>
          <w:lang w:val="es-ES_tradnl"/>
        </w:rPr>
      </w:pPr>
      <w:r w:rsidRPr="00D66245">
        <w:rPr>
          <w:rFonts w:ascii="Palatino Linotype" w:hAnsi="Palatino Linotype" w:cs="Times New Roman"/>
          <w:b/>
          <w:lang w:val="es-ES_tradnl"/>
        </w:rPr>
        <w:t>Problemas y causas</w:t>
      </w:r>
    </w:p>
    <w:p w14:paraId="2C398550" w14:textId="77777777" w:rsidR="00B377B2" w:rsidRPr="00D66245" w:rsidRDefault="00B377B2" w:rsidP="00BD185D">
      <w:pPr>
        <w:pStyle w:val="Prrafodelista"/>
        <w:widowControl w:val="0"/>
        <w:numPr>
          <w:ilvl w:val="0"/>
          <w:numId w:val="12"/>
        </w:numPr>
        <w:autoSpaceDE w:val="0"/>
        <w:autoSpaceDN w:val="0"/>
        <w:adjustRightInd w:val="0"/>
        <w:spacing w:before="120" w:after="200" w:line="240" w:lineRule="auto"/>
        <w:ind w:left="0" w:firstLine="0"/>
        <w:contextualSpacing w:val="0"/>
        <w:jc w:val="both"/>
        <w:rPr>
          <w:rFonts w:ascii="Palatino Linotype" w:hAnsi="Palatino Linotype" w:cs="Times New Roman"/>
          <w:lang w:val="es-ES_tradnl"/>
        </w:rPr>
      </w:pPr>
      <w:r w:rsidRPr="00D66245">
        <w:rPr>
          <w:rFonts w:ascii="Palatino Linotype" w:hAnsi="Palatino Linotype" w:cs="Times New Roman"/>
          <w:b/>
          <w:lang w:val="es-ES_tradnl"/>
        </w:rPr>
        <w:t>Regulación y práctica del procedimiento deficientes</w:t>
      </w:r>
      <w:r w:rsidRPr="00D66245">
        <w:rPr>
          <w:rFonts w:ascii="Palatino Linotype" w:hAnsi="Palatino Linotype" w:cs="Times New Roman"/>
          <w:lang w:val="es-ES_tradnl"/>
        </w:rPr>
        <w:t xml:space="preserve">. </w:t>
      </w:r>
    </w:p>
    <w:p w14:paraId="0CAFED7A" w14:textId="2EDA8EA1" w:rsidR="00B377B2" w:rsidRPr="00D66245" w:rsidRDefault="00B377B2" w:rsidP="00F53211">
      <w:pPr>
        <w:pStyle w:val="Prrafodelista"/>
        <w:widowControl w:val="0"/>
        <w:autoSpaceDE w:val="0"/>
        <w:autoSpaceDN w:val="0"/>
        <w:adjustRightInd w:val="0"/>
        <w:spacing w:before="120" w:after="200"/>
        <w:ind w:left="0"/>
        <w:contextualSpacing w:val="0"/>
        <w:jc w:val="both"/>
        <w:rPr>
          <w:rFonts w:ascii="Palatino Linotype" w:hAnsi="Palatino Linotype" w:cs="Times New Roman"/>
          <w:lang w:val="es-ES_tradnl"/>
        </w:rPr>
      </w:pPr>
      <w:r w:rsidRPr="00D66245">
        <w:rPr>
          <w:rFonts w:ascii="Palatino Linotype" w:hAnsi="Palatino Linotype" w:cs="Times New Roman"/>
          <w:lang w:val="es-ES_tradnl"/>
        </w:rPr>
        <w:t>El CPP establece una regulación de los reconocimientos oculares, sean en rueda de personas o fotográficos</w:t>
      </w:r>
      <w:r w:rsidRPr="00D66245">
        <w:rPr>
          <w:rStyle w:val="Refdenotaalpie"/>
          <w:rFonts w:ascii="Palatino Linotype" w:hAnsi="Palatino Linotype" w:cs="Times New Roman"/>
          <w:lang w:val="es-ES_tradnl"/>
        </w:rPr>
        <w:footnoteReference w:id="418"/>
      </w:r>
      <w:r w:rsidRPr="00D66245">
        <w:rPr>
          <w:rFonts w:ascii="Palatino Linotype" w:hAnsi="Palatino Linotype" w:cs="Times New Roman"/>
          <w:lang w:val="es-ES_tradnl"/>
        </w:rPr>
        <w:t>, que puede considerarse amplia</w:t>
      </w:r>
      <w:r w:rsidR="006073D2" w:rsidRPr="00D66245">
        <w:rPr>
          <w:rStyle w:val="Refdenotaalpie"/>
          <w:rFonts w:ascii="Palatino Linotype" w:hAnsi="Palatino Linotype" w:cs="Times New Roman"/>
          <w:lang w:val="es-ES_tradnl"/>
        </w:rPr>
        <w:footnoteReference w:id="419"/>
      </w:r>
      <w:r w:rsidRPr="00D66245">
        <w:rPr>
          <w:rFonts w:ascii="Palatino Linotype" w:hAnsi="Palatino Linotype" w:cs="Times New Roman"/>
          <w:lang w:val="es-ES_tradnl"/>
        </w:rPr>
        <w:t>. No obstante, la inexistencia de protocolos de actuación específicos, hacen que, en ciertos aspectos, el margen de arbitrariedad para las autoridades desemboque en prácticas cuestionables que, como se observó en el acápite anterior, se agravan ante el escaso control jurisdiccional que se realiza.</w:t>
      </w:r>
    </w:p>
    <w:p w14:paraId="37E5BD82"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 xml:space="preserve">Por ejemplo, en las entrevistas realizadas se destaca que el 100% de los funcionarios manifestaron que no se aplica el sistema de doble ciego, recomendado por la literatura especializada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author":[{"dropping-particle":"","family":"Diges","given":"Margarita","non-dropping-particle":"","parse-names":false,"suffix":""},{"dropping-particle":"","family":"Pérez-Mata","given":"Nieves","non-dropping-particle":"","parse-names":false,"suffix":""}],"container-title":"Identificaciones fotográficas y en rueda de reconocimiento. Un análisis desde el Derecho procesal penal y la psicología del testimonio","id":"ITEM-1","issued":{"date-parts":[["2014"]]},"publisher":"Marcial Pons","title":"La prueba de identificación desde la psicología del testimonio","type":"chapter"},"locator":"72","uris":["http://www.mendeley.com/documents/?uuid=4239216f-cb8f-4db9-a5c2-b6609f2db014"]},{"id":"ITEM-2","itemData":{"author":[{"dropping-particle":"","family":"Duce","given":"Mauricio","non-dropping-particle":"","parse-names":false,"suffix":""}],"container-title":"Política Criminal. Vol. 12, Nº 23","id":"ITEM-2","issued":{"date-parts":[["2017","7"]]},"page":"291-379","publisher-place":"Santiago","title":"Los reconocimientos oculares: una aproximación empírica a su funcionamiento y algunas recomendaciones para su mejora","type":"article-magazine"},"locator":"240-241","uris":["http://www.mendeley.com/documents/?uuid=6e0a1a90-c1b3-412b-b898-2809b25214c6"]}],"mendeley":{"formattedCitation":"(Diges &amp; Pérez-Mata, 2014, p. 72; Duce, 2017, pp. 240–241)","plainTextFormattedCitation":"(Diges &amp; Pérez-Mata, 2014, p. 72; Duce, 2017, pp. 240–241)","previouslyFormattedCitation":"(Diges &amp; Pérez-Mata, 2014, p. 72; Duce, 2017, pp. 240–241)"},"properties":{"noteIndex":0},"schema":"https://github.com/citation-style-language/schema/raw/master/csl-citation.json"}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(Diges &amp; Pérez-Mata, 2014, p. 72; Duce, 2017, pp. 240–241)</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xml:space="preserve">, siendo la práctica usual que los funcionarios a cargo de la investigación instruyan la diligencia, lo cuál puede generar sesgos. </w:t>
      </w:r>
    </w:p>
    <w:p w14:paraId="458A6185"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También en cuanto a la conformación de las ruedas de reconocimiento existen problemas que han sido señalados por los entrevistados, manifestando que, en ocasiones, los cebos son funcionarios de la propia policía judicial, conocidos por las partes o que destacan por sus vestimentas</w:t>
      </w:r>
      <w:r w:rsidRPr="00D95FD2">
        <w:rPr>
          <w:rStyle w:val="Refdenotaalpie"/>
          <w:rFonts w:ascii="Palatino Linotype" w:hAnsi="Palatino Linotype" w:cs="Times New Roman"/>
          <w:lang w:val="es-ES_tradnl"/>
        </w:rPr>
        <w:footnoteReference w:id="420"/>
      </w:r>
      <w:r w:rsidRPr="00D66245">
        <w:rPr>
          <w:rFonts w:ascii="Palatino Linotype" w:hAnsi="Palatino Linotype" w:cs="Times New Roman"/>
          <w:lang w:val="es-ES_tradnl"/>
        </w:rPr>
        <w:t>, no se le da tiempo suficiente a la defensa para conseguir descartes adecuados y otras dificultades relacionadas con la selección de las personas que integren la rueda</w:t>
      </w:r>
      <w:r w:rsidRPr="00D66245">
        <w:rPr>
          <w:rStyle w:val="Refdenotaalpie"/>
          <w:rFonts w:ascii="Palatino Linotype" w:hAnsi="Palatino Linotype" w:cs="Times New Roman"/>
          <w:vertAlign w:val="baseline"/>
          <w:lang w:val="es-ES_tradnl"/>
        </w:rPr>
        <w:footnoteReference w:id="421"/>
      </w:r>
      <w:r w:rsidRPr="00D66245">
        <w:rPr>
          <w:rFonts w:ascii="Palatino Linotype" w:hAnsi="Palatino Linotype" w:cs="Times New Roman"/>
          <w:lang w:val="es-ES_tradnl"/>
        </w:rPr>
        <w:t>, entre otros aspectos, siendo que el 83% manifestó que se dan prácticas que estiman incorrectas en el procedimiento.</w:t>
      </w:r>
    </w:p>
    <w:p w14:paraId="763F1D94"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En el caso de los reconocimientos fotográficos (y más aún en la exhibición de fotografías sin sospechoso), la ausencia de una regulación en cuanto a la conformación de la muestra (álbum), hace que en algunos casos se construyan con sesgos evidentes o se entregue una cantidad excesiva de elementos, lo que podría ser perjudicial para la fiabilidad de la diligencia</w:t>
      </w:r>
      <w:r w:rsidRPr="00D66245">
        <w:rPr>
          <w:rStyle w:val="Refdenotaalpie"/>
          <w:rFonts w:ascii="Palatino Linotype" w:hAnsi="Palatino Linotype" w:cs="Times New Roman"/>
          <w:vertAlign w:val="baseline"/>
          <w:lang w:val="es-ES_tradnl"/>
        </w:rPr>
        <w:footnoteReference w:id="422"/>
      </w:r>
      <w:r w:rsidRPr="00D66245">
        <w:rPr>
          <w:rFonts w:ascii="Palatino Linotype" w:hAnsi="Palatino Linotype" w:cs="Times New Roman"/>
          <w:lang w:val="es-ES_tradnl"/>
        </w:rPr>
        <w:t>. Además de los vacíos señalados, la regulación legal tiene sensibles yerros. Por ejemplo, se permite la práctica de reconocimientos simultáneos (varios sospechosos en un mismo acto)</w:t>
      </w:r>
      <w:r w:rsidRPr="00D66245">
        <w:rPr>
          <w:rStyle w:val="Refdenotaalpie"/>
          <w:rFonts w:ascii="Palatino Linotype" w:hAnsi="Palatino Linotype" w:cs="Times New Roman"/>
          <w:vertAlign w:val="baseline"/>
          <w:lang w:val="es-ES_tradnl"/>
        </w:rPr>
        <w:footnoteReference w:id="423"/>
      </w:r>
      <w:r w:rsidRPr="00D66245">
        <w:rPr>
          <w:rFonts w:ascii="Palatino Linotype" w:hAnsi="Palatino Linotype" w:cs="Times New Roman"/>
          <w:lang w:val="es-ES_tradnl"/>
        </w:rPr>
        <w:t xml:space="preserve">, práctica rechazada desde la psicología del testimonio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author":[{"dropping-particle":"","family":"Diges","given":"Margarita","non-dropping-particle":"","parse-names":false,"suffix":""},{"dropping-particle":"","family":"Pérez-Mata","given":"Nieves","non-dropping-particle":"","parse-names":false,"suffix":""}],"container-title":"Identificaciones fotográficas y en rueda de reconocimiento. Un análisis desde el Derecho procesal penal y la psicología del testimonio","id":"ITEM-1","issued":{"date-parts":[["2014"]]},"publisher":"Marcial Pons","title":"La prueba de identificación desde la psicología del testimonio","type":"chapter"},"locator":"65","uris":["http://www.mendeley.com/documents/?uuid=4239216f-cb8f-4db9-a5c2-b6609f2db014"]}],"mendeley":{"formattedCitation":"(Diges &amp; Pérez-Mata, 2014, p. 65)","plainTextFormattedCitation":"(Diges &amp; Pérez-Mata, 2014, p. 65)","previouslyFormattedCitation":"(Diges &amp; Pérez-Mata, 2014, p. 65)"},"properties":{"noteIndex":0},"schema":"https://github.com/citation-style-language/schema/raw/master/csl-citation.json"}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(Diges &amp; Pérez-Mata, 2014, p. 65)</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xml:space="preserve">; como sistema de registro de la diligencia se establece un acta, en lugar de la videograbación, que sería lo recomendado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{"citationItems":[{"id":"ITEM-1","itemData":{"author":[{"dropping-particle":"","family":"Duce","given":"Mauricio","non-dropping-particle":"","parse-names":false,"suffix":""}],"container-title":"Política Criminal. Vol. 12, Nº 23","id":"ITEM-1","issued":{"date-parts":[["2017","7"]]},"page":"291-379","publisher-place":"Santiago","title":"Los reconocimientos oculares: una aproximación empírica a su funcionamiento y algunas recomendaciones para su mejora","type":"article-magazine"},"locator":"362-366","uris":["http://www.mendeley.com/documents/?uuid=6e0a1a90-c1b3-412b-b898-2809b25214c6"]}],"mendeley":{"formattedCitation":"(Duce, 2017, pp. 362–366)","plainTextFormattedCitation":"(Duce, 2017, pp. 362–366)","previouslyFormattedCitation":"(Duce, 2017, pp. 362–366)"},"properties":{"noteIndex":0},"schema":"https://github.com/citation-style-language/schema/raw/master/csl-citation.json"}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(Duce, 2017, pp. 362–366)</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lo que no impediría que se realice, pero en la práctica no se efectúa en ningún caso</w:t>
      </w:r>
      <w:r w:rsidRPr="00D66245">
        <w:rPr>
          <w:rStyle w:val="Refdenotaalpie"/>
          <w:rFonts w:ascii="Palatino Linotype" w:hAnsi="Palatino Linotype" w:cs="Times New Roman"/>
          <w:vertAlign w:val="baseline"/>
          <w:lang w:val="es-ES_tradnl"/>
        </w:rPr>
        <w:footnoteReference w:id="424"/>
      </w:r>
      <w:r w:rsidRPr="00D66245">
        <w:rPr>
          <w:rFonts w:ascii="Palatino Linotype" w:hAnsi="Palatino Linotype" w:cs="Times New Roman"/>
          <w:lang w:val="es-ES_tradnl"/>
        </w:rPr>
        <w:t>. Asimismo, se permite el reconocimiento aún sin el consentimiento del imputado, lo que plantea fundados cuestionamientos</w:t>
      </w:r>
      <w:r w:rsidRPr="00D66245">
        <w:rPr>
          <w:rStyle w:val="Refdenotaalpie"/>
          <w:rFonts w:ascii="Palatino Linotype" w:hAnsi="Palatino Linotype" w:cs="Times New Roman"/>
          <w:vertAlign w:val="baseline"/>
          <w:lang w:val="es-ES_tradnl"/>
        </w:rPr>
        <w:footnoteReference w:id="425"/>
      </w:r>
      <w:r w:rsidRPr="00D66245">
        <w:rPr>
          <w:rFonts w:ascii="Palatino Linotype" w:hAnsi="Palatino Linotype" w:cs="Times New Roman"/>
          <w:lang w:val="es-ES_tradnl"/>
        </w:rPr>
        <w:t>.</w:t>
      </w:r>
    </w:p>
    <w:p w14:paraId="42815B22" w14:textId="77777777" w:rsidR="00B377B2" w:rsidRPr="00D66245" w:rsidRDefault="00B377B2" w:rsidP="00BC0DD2">
      <w:pPr>
        <w:pStyle w:val="Prrafodelista"/>
        <w:widowControl w:val="0"/>
        <w:numPr>
          <w:ilvl w:val="0"/>
          <w:numId w:val="12"/>
        </w:numPr>
        <w:autoSpaceDE w:val="0"/>
        <w:autoSpaceDN w:val="0"/>
        <w:adjustRightInd w:val="0"/>
        <w:spacing w:before="120" w:after="200" w:line="240" w:lineRule="auto"/>
        <w:ind w:left="0" w:firstLine="0"/>
        <w:contextualSpacing w:val="0"/>
        <w:jc w:val="both"/>
        <w:rPr>
          <w:rFonts w:ascii="Palatino Linotype" w:hAnsi="Palatino Linotype" w:cs="Times New Roman"/>
          <w:lang w:val="es-ES_tradnl"/>
        </w:rPr>
      </w:pPr>
      <w:r w:rsidRPr="00D66245">
        <w:rPr>
          <w:rFonts w:ascii="Palatino Linotype" w:hAnsi="Palatino Linotype" w:cs="Times New Roman"/>
          <w:b/>
          <w:lang w:val="es-ES_tradnl"/>
        </w:rPr>
        <w:t>Cuestiones operativas que potencian defectos</w:t>
      </w:r>
      <w:r w:rsidRPr="00D66245">
        <w:rPr>
          <w:rFonts w:ascii="Palatino Linotype" w:hAnsi="Palatino Linotype" w:cs="Times New Roman"/>
          <w:lang w:val="es-ES_tradnl"/>
        </w:rPr>
        <w:t xml:space="preserve">. </w:t>
      </w:r>
    </w:p>
    <w:p w14:paraId="38AEB62E"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Uno de los aspectos reflejados en el diagnóstico fue la escasa utilización de los reconocimientos oculares (físicos o fotográficos) reculados en el CPP y la mayor presencia de reconocimientos “anómalos”, como la exhibición de fotografías sin sospechoso, en sede policial, los reconocimientos “espontáneos” y los reconocimientos en juicio. Esto puede deberse al costo que representan las diligencias reguladas legalmente, la dificultad de conseguir descartes adecuados, pero también, por la mayor facilidad que representan estás prácticas</w:t>
      </w:r>
      <w:r w:rsidRPr="00D66245">
        <w:rPr>
          <w:rStyle w:val="Refdenotaalpie"/>
          <w:rFonts w:ascii="Palatino Linotype" w:hAnsi="Palatino Linotype" w:cs="Times New Roman"/>
          <w:lang w:val="es-ES_tradnl"/>
        </w:rPr>
        <w:footnoteReference w:id="426"/>
      </w:r>
      <w:r w:rsidRPr="00D66245">
        <w:rPr>
          <w:rFonts w:ascii="Palatino Linotype" w:hAnsi="Palatino Linotype" w:cs="Times New Roman"/>
          <w:lang w:val="es-ES_tradnl"/>
        </w:rPr>
        <w:t xml:space="preserve"> y la mínima importancia que jurisprudencial y doctrinariamente se le ha dado, lo que ha fungido como incentivo para la fijación de ese estado de cosas. </w:t>
      </w:r>
    </w:p>
    <w:p w14:paraId="23E8031C"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 xml:space="preserve">Unos de los aspectos más preocupantes, sin duda, es la posibilidad de que este tipo de diligencias “anómalas” realizadas en un contexto sugestivo (posibilidad que también advierte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{"citationItems":[{"id":"ITEM-1","itemData":{"author":[{"dropping-particle":"","family":"Duce","given":"Mauricio","non-dropping-particle":"","parse-names":false,"suffix":""}],"container-title":"Sistemas Judiciales","id":"ITEM-1","issue":"21","issued":{"date-parts":[["2018","5"]]},"page":"16-29","publisher":"Centro de Estudios de Justicia de las Américas (CEJA)","publisher-place":"Buenos Aires","title":"Condena de inocentes y litigación en juicio oral: Resultados de una investigación empírica sobre reconocimientos oculares y prueba pericial","type":"article-magazine"},"locator":"19","uris":["http://www.mendeley.com/documents/?uuid=990218c0-780d-46dc-80d9-2ceeaf5167c7"]}],"mendeley":{"formattedCitation":"(Duce, 2018b, p. 19)","manualFormatting":"Duce, 2018, p. 19)","plainTextFormattedCitation":"(Duce, 2018b, p. 19)","previouslyFormattedCitation":"(Duce, 2018b, p. 19)"},"properties":{"noteIndex":0},"schema":"https://github.com/citation-style-language/schema/raw/master/csl-citation.json"}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Duce, 2018, p. 19)</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signifiquen una estrategia sistemática para simplificar el proceso, a partir de un sesgo de confirmación de los investigadores. Asimismo, en el caso de los defensores, se observó cierta actitud derrotista, de forma que, al saber que sus alegatos probablemente no tendrán resonancia en sede jurisdiccional, prefieren no gastar tiempo y esfuerzo en vano</w:t>
      </w:r>
      <w:r w:rsidRPr="00D66245">
        <w:rPr>
          <w:rStyle w:val="Refdenotaalpie"/>
          <w:rFonts w:ascii="Palatino Linotype" w:hAnsi="Palatino Linotype" w:cs="Times New Roman"/>
          <w:lang w:val="es-ES_tradnl"/>
        </w:rPr>
        <w:footnoteReference w:id="427"/>
      </w:r>
      <w:r w:rsidRPr="00D66245">
        <w:rPr>
          <w:rFonts w:ascii="Palatino Linotype" w:hAnsi="Palatino Linotype" w:cs="Times New Roman"/>
          <w:lang w:val="es-ES_tradnl"/>
        </w:rPr>
        <w:t>.</w:t>
      </w:r>
    </w:p>
    <w:p w14:paraId="2B09F995" w14:textId="77777777" w:rsidR="00B377B2" w:rsidRPr="00D66245" w:rsidRDefault="00B377B2" w:rsidP="00BC0DD2">
      <w:pPr>
        <w:pStyle w:val="Prrafodelista"/>
        <w:widowControl w:val="0"/>
        <w:numPr>
          <w:ilvl w:val="0"/>
          <w:numId w:val="12"/>
        </w:numPr>
        <w:autoSpaceDE w:val="0"/>
        <w:autoSpaceDN w:val="0"/>
        <w:adjustRightInd w:val="0"/>
        <w:spacing w:before="120" w:after="200" w:line="240" w:lineRule="auto"/>
        <w:ind w:left="0" w:firstLine="0"/>
        <w:contextualSpacing w:val="0"/>
        <w:jc w:val="both"/>
        <w:rPr>
          <w:rFonts w:ascii="Palatino Linotype" w:hAnsi="Palatino Linotype" w:cs="Times New Roman"/>
          <w:lang w:val="es-ES_tradnl"/>
        </w:rPr>
      </w:pPr>
      <w:r w:rsidRPr="00D66245">
        <w:rPr>
          <w:rFonts w:ascii="Palatino Linotype" w:hAnsi="Palatino Linotype" w:cs="Times New Roman"/>
          <w:b/>
          <w:lang w:val="es-ES_tradnl"/>
        </w:rPr>
        <w:t>Control jurisdiccional insuficiente</w:t>
      </w:r>
      <w:r w:rsidRPr="00D66245">
        <w:rPr>
          <w:rFonts w:ascii="Palatino Linotype" w:hAnsi="Palatino Linotype" w:cs="Times New Roman"/>
          <w:lang w:val="es-ES_tradnl"/>
        </w:rPr>
        <w:t xml:space="preserve">. </w:t>
      </w:r>
    </w:p>
    <w:p w14:paraId="1A7F81BD"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 xml:space="preserve">El diagnóstico efectuado visibiliza dos situaciones que afectan enormemente el funcionamiento de los reconocimientos oculares. Por un lado, el control virtualmente nulo que se realiza en la etapa intermedia, lo que provoca que prácticamente todos las diligencias de este tipo arriben a juicio, bajo la mampara de que se trata de una cuestión de valoración y no de admisibilidad (sobre el tema puede verse: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{"citationItems":[{"id":"ITEM-1","itemData":{"author":[{"dropping-particle":"","family":"Alcaíno","given":"Eduardo","non-dropping-particle":"","parse-names":false,"suffix":""}],"container-title":"Política Criminal. Vol. 9, Nº 18","id":"ITEM-1","issued":{"date-parts":[["2014","12"]]},"page":"564-613","publisher-place":"Santiago","title":"La confiabilidad como estándar para evaluar la calidad de los reconocimientos de imputados","type":"article-magazine"},"locator":"599-600","uris":["http://www.mendeley.com/documents/?uuid=918242b6-9a16-48e4-8a78-91e78f72c1b4"]}],"mendeley":{"formattedCitation":"(Alcaíno, 2014, pp. 599–600)","manualFormatting":"Alcaíno, 2014, pp. 599–600)","plainTextFormattedCitation":"(Alcaíno, 2014, pp. 599–600)","previouslyFormattedCitation":"(Alcaíno, 2014, pp. 599–600)"},"properties":{"noteIndex":0},"schema":"https://github.com/citation-style-language/schema/raw/master/csl-citation.json"}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Alcaíno, 2014, pp. 599–600)</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xml:space="preserve">. </w:t>
      </w:r>
    </w:p>
    <w:p w14:paraId="4227A581"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Esta práctica deriva en que prueba de muy baja calidad y confiabilidad ingrese al debate. Adicionalmente, en la etapa de juicio, aunado al ya señalado alto valor que se le da a los reconocimientos oculares y los reconocimientos “anómalos” o irregulares, se lía una valoración exigua, que prescinde de aspectos trascendentales, expuestos con amplitud desde  otras áreas del conocimiento, como la psicología del testimonio, siendo excepcionales los casos en que se observa un control riguroso que determine la exclusión de diligencias poco confiables o, al menos, mengue el valor probatorio que se le otorga. Parte del problema puede estar motivado en la ausencia de capacitación por parte de los actores del sistema, pues un 75% de los entrevistados manifestó no haber recibido ningún tipo de instrucción, por lo que sus decisiones son especialmente intuitivas.</w:t>
      </w:r>
    </w:p>
    <w:p w14:paraId="0CB81869" w14:textId="5B15524F" w:rsidR="00B377B2" w:rsidRPr="00D66245" w:rsidRDefault="00B377B2" w:rsidP="00BC0DD2">
      <w:pPr>
        <w:pStyle w:val="Prrafodelista"/>
        <w:numPr>
          <w:ilvl w:val="0"/>
          <w:numId w:val="19"/>
        </w:numPr>
        <w:spacing w:before="120" w:after="200" w:line="240" w:lineRule="auto"/>
        <w:ind w:left="0" w:firstLine="0"/>
        <w:contextualSpacing w:val="0"/>
        <w:rPr>
          <w:rFonts w:ascii="Palatino Linotype" w:hAnsi="Palatino Linotype" w:cs="Times New Roman"/>
          <w:b/>
          <w:lang w:val="es-ES"/>
        </w:rPr>
      </w:pPr>
      <w:r w:rsidRPr="00D66245">
        <w:rPr>
          <w:rFonts w:ascii="Palatino Linotype" w:hAnsi="Palatino Linotype" w:cs="Times New Roman"/>
          <w:b/>
          <w:lang w:val="es-ES"/>
        </w:rPr>
        <w:t>Análisis de un caso: Reconocimiento ocular de Jorge Mateluna</w:t>
      </w:r>
    </w:p>
    <w:p w14:paraId="7E8E69E4"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Un caso paradigmático, en donde se ha discutido la corrección en la práctica del reconocimiento ocular, ha sido abordado por la administración de justicia de Chile, en el caso denominado como “Mateluna”</w:t>
      </w:r>
      <w:r w:rsidRPr="00D66245">
        <w:rPr>
          <w:rStyle w:val="Refdenotaalpie"/>
          <w:rFonts w:ascii="Palatino Linotype" w:hAnsi="Palatino Linotype" w:cs="Times New Roman"/>
          <w:vertAlign w:val="baseline"/>
        </w:rPr>
        <w:t xml:space="preserve"> </w:t>
      </w:r>
      <w:r w:rsidRPr="00D66245">
        <w:rPr>
          <w:rStyle w:val="Refdenotaalpie"/>
          <w:rFonts w:ascii="Palatino Linotype" w:hAnsi="Palatino Linotype" w:cs="Times New Roman"/>
        </w:rPr>
        <w:footnoteReference w:id="428"/>
      </w:r>
      <w:r w:rsidRPr="00D66245">
        <w:rPr>
          <w:rFonts w:ascii="Palatino Linotype" w:hAnsi="Palatino Linotype" w:cs="Times New Roman"/>
        </w:rPr>
        <w:t>. En esta causa, se condenó al señor Jorge Mateluna a dieciséis años de cárcel, a pesar de existir, en apariencia, severas inconsistencias en la diligencia de reconocimiento en rueda de personas, en donde se identificó al encartado Mateluna como uno de los asaltantes de una entidad bancaria.</w:t>
      </w:r>
    </w:p>
    <w:p w14:paraId="53C59634"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Por fortuna, la diligencia de reconocimiento de personas fue videograbada, lo que ha permitido su análisis y de donde derivan fundadas interrogantes que permiten ejemplificar varios de los puntos que se han tratado en los acápites precedentes. La primera de las interrogantes surge a partir de las instrucciones brindadas por el administrador del procedimiento, las cuales no parecen cumplir con las recomendaciones esenciales que la literatura especializada prescribe.</w:t>
      </w:r>
    </w:p>
    <w:p w14:paraId="1484B338"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El carabinero </w:t>
      </w:r>
      <w:r w:rsidRPr="00D66245">
        <w:rPr>
          <w:rFonts w:ascii="Palatino Linotype" w:hAnsi="Palatino Linotype" w:cs="Times New Roman"/>
          <w:i/>
        </w:rPr>
        <w:t>Juan Muñoz Gaete</w:t>
      </w:r>
      <w:r w:rsidRPr="00D66245">
        <w:rPr>
          <w:rFonts w:ascii="Palatino Linotype" w:hAnsi="Palatino Linotype" w:cs="Times New Roman"/>
        </w:rPr>
        <w:t xml:space="preserve"> (oficial a cargo de la práctica del reconocimiento ocular) señala lo siguiente: “</w:t>
      </w:r>
      <w:r w:rsidRPr="00D66245">
        <w:rPr>
          <w:rFonts w:ascii="Palatino Linotype" w:hAnsi="Palatino Linotype" w:cs="Times New Roman"/>
          <w:i/>
        </w:rPr>
        <w:t>Para registro 17:15 horas se da inicio al reconocimiento del imputado en rueda de reconocimiento, cárcel de alta seguridad… usted en frente suyo tiene a 6 personas necesito por favor que las observe detenidamente a cada una de ellas y en el caso de que logre reconocer a alguno me indica el número, de izquierda a su derecha, el número de la persona y me indica también las circunstancias en las cuales lo reconoce por favor</w:t>
      </w:r>
      <w:r w:rsidRPr="00D66245">
        <w:rPr>
          <w:rFonts w:ascii="Palatino Linotype" w:hAnsi="Palatino Linotype" w:cs="Times New Roman"/>
        </w:rPr>
        <w:t xml:space="preserve">”. Precisamente, las llamadas </w:t>
      </w:r>
      <w:r w:rsidRPr="00D66245">
        <w:rPr>
          <w:rFonts w:ascii="Palatino Linotype" w:hAnsi="Palatino Linotype" w:cs="Times New Roman"/>
          <w:i/>
        </w:rPr>
        <w:t>instrucciones no sesgadas</w:t>
      </w:r>
      <w:r w:rsidRPr="00D66245">
        <w:rPr>
          <w:rFonts w:ascii="Palatino Linotype" w:hAnsi="Palatino Linotype" w:cs="Times New Roman"/>
        </w:rPr>
        <w:t xml:space="preserve">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author":[{"dropping-particle":"","family":"Diges","given":"Margarita","non-dropping-particle":"","parse-names":false,"suffix":""},{"dropping-particle":"","family":"Pérez-Mata","given":"Nieves","non-dropping-particle":"","parse-names":false,"suffix":""}],"container-title":"Identificaciones fotográficas y en rueda de reconocimiento. Un análisis desde el Derecho procesal penal y la psicología del testimonio","id":"ITEM-1","issued":{"date-parts":[["2014"]]},"publisher":"Marcial Pons","title":"La prueba de identificación desde la psicología del testimonio","type":"chapter"},"locator":"71","uris":["http://www.mendeley.com/documents/?uuid=4239216f-cb8f-4db9-a5c2-b6609f2db014"]}],"mendeley":{"formattedCitation":"(Diges &amp; Pérez-Mata, 2014, p. 71)","plainTextFormattedCitation":"(Diges &amp; Pérez-Mata, 2014, p. 71)","previouslyFormattedCitation":"(Diges &amp; Pérez-Mata, 2014, p. 71)"},"properties":{"noteIndex":0},"schema":"https://github.com/citation-style-language/schema/raw/master/csl-citation.json"}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(Diges &amp; Pérez-Mata, 2014, p. 71)</w:t>
      </w:r>
      <w:r w:rsidRPr="00D66245">
        <w:rPr>
          <w:rFonts w:ascii="Palatino Linotype" w:hAnsi="Palatino Linotype" w:cs="Times New Roman"/>
        </w:rPr>
        <w:fldChar w:fldCharType="end"/>
      </w:r>
      <w:r w:rsidRPr="00D66245">
        <w:rPr>
          <w:rFonts w:ascii="Palatino Linotype" w:hAnsi="Palatino Linotype" w:cs="Times New Roman"/>
        </w:rPr>
        <w:t xml:space="preserve"> implican que se advierta al testigo que el sospechoso podría no estar dentro del grupo de personas que se le muestra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{"citationItems":[{"id":"ITEM-1","itemData":{"author":[{"dropping-particle":"","family":"Duce","given":"Mauricio","non-dropping-particle":"","parse-names":false,"suffix":""}],"container-title":"Política Criminal. Vol. 12, Nº 23","id":"ITEM-1","issued":{"date-parts":[["2017","7"]]},"page":"291-379","publisher-place":"Santiago","title":"Los reconocimientos oculares: una aproximación empírica a su funcionamiento y algunas recomendaciones para su mejora","type":"article-magazine"},"locator":"310","uris":["http://www.mendeley.com/documents/?uuid=6e0a1a90-c1b3-412b-b898-2809b25214c6"]}],"mendeley":{"formattedCitation":"(Duce, 2017, p. 310)","plainTextFormattedCitation":"(Duce, 2017, p. 310)","previouslyFormattedCitation":"(Duce, 2017, p. 310)"},"properties":{"noteIndex":0},"schema":"https://github.com/citation-style-language/schema/raw/master/csl-citation.json"}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(Duce, 2017, p. 310)</w:t>
      </w:r>
      <w:r w:rsidRPr="00D66245">
        <w:rPr>
          <w:rFonts w:ascii="Palatino Linotype" w:hAnsi="Palatino Linotype" w:cs="Times New Roman"/>
        </w:rPr>
        <w:fldChar w:fldCharType="end"/>
      </w:r>
      <w:r w:rsidRPr="00D66245">
        <w:rPr>
          <w:rFonts w:ascii="Palatino Linotype" w:hAnsi="Palatino Linotype" w:cs="Times New Roman"/>
        </w:rPr>
        <w:t xml:space="preserve">, pues los estudios empíricos realizados demuestran que esa información no disminuye los aciertos pero sí los errores de identificación, con lo que se presenta una menor probabilidad de “falsos positivos”. </w:t>
      </w:r>
    </w:p>
    <w:p w14:paraId="331EA0E7"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Por ende, las instrucciones que ofrece el carabinero, además de sumarias y aceleradas, no solamente omiten la mención de la advertencia antedicha, recomendada desde la psicología del testimonio, sino que, al afirmar que la diligencia es para “el reconocimiento del imputado”, claramente expresa que la persona sospechosa se encuentra allí, lo que evidentemente puede condicionar la memoria del testigo. Aunado a ello, me parece un factor que podría llevar a alguna confusión, la ausencia de numeración para cada persona (por ejemplo con un cartel), sustituida por la referencia a que el conteo se realiza de “izquierda a derecha”, pues, pese a que después se pide que el sospechoso reconocido dé un paso al frente y que el testigo “ratifique” la identificación, pareciera que una confusión previa podría condicionar en alguna medida el reconocimiento.</w:t>
      </w:r>
    </w:p>
    <w:p w14:paraId="2696DB24"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Con relación a la composición de la rueda, existen varios aspectos cuestionables. El primer elemento que representa una debilidad es la existencia de más de un sospechoso en la rueda, dado que dos de los componentes lo eran, Alejandro Astorga (número 5) y Jorge Mateluna (número 4), lo que contraría las recomendaciones generadas desde la psicología del testimonio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author":[{"dropping-particle":"","family":"Diges","given":"Margarita","non-dropping-particle":"","parse-names":false,"suffix":""},{"dropping-particle":"","family":"Pérez-Mata","given":"Nieves","non-dropping-particle":"","parse-names":false,"suffix":""}],"container-title":"Identificaciones fotográficas y en rueda de reconocimiento. Un análisis desde el Derecho procesal penal y la psicología del testimonio","id":"ITEM-1","issued":{"date-parts":[["2014"]]},"publisher":"Marcial Pons","title":"La prueba de identificación desde la psicología del testimonio","type":"chapter"},"locator":"65","uris":["http://www.mendeley.com/documents/?uuid=4239216f-cb8f-4db9-a5c2-b6609f2db014"]}],"mendeley":{"formattedCitation":"(Diges &amp; Pérez-Mata, 2014, p. 65)","plainTextFormattedCitation":"(Diges &amp; Pérez-Mata, 2014, p. 65)","previouslyFormattedCitation":"(Diges &amp; Pérez-Mata, 2014, p. 65)"},"properties":{"noteIndex":0},"schema":"https://github.com/citation-style-language/schema/raw/master/csl-citation.json"}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(Diges &amp; Pérez-Mata, 2014, p. 65)</w:t>
      </w:r>
      <w:r w:rsidRPr="00D66245">
        <w:rPr>
          <w:rFonts w:ascii="Palatino Linotype" w:hAnsi="Palatino Linotype" w:cs="Times New Roman"/>
        </w:rPr>
        <w:fldChar w:fldCharType="end"/>
      </w:r>
      <w:r w:rsidRPr="00D66245">
        <w:rPr>
          <w:rFonts w:ascii="Palatino Linotype" w:hAnsi="Palatino Linotype" w:cs="Times New Roman"/>
        </w:rPr>
        <w:t xml:space="preserve">, pues repercute en el tamaño nominal y funcional óptimo de la rueda. Si bien la literatura especializada no establece de forma rigurosa un tamaño nominal específico, resulta innegable que la probabilidad de una elección incorrecta por mero azar aumenta cuando la proporción de sospechosos y cebos (en este caso dos sospechosos y cuatro distractores) se acerque. </w:t>
      </w:r>
    </w:p>
    <w:p w14:paraId="352E78AD"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Ahora bien, en lo relativo al tamaño funcional, la incorrección resulta mucho más clara, no solamente porque los dos sospechosos presentan características físicas muy divergentes</w:t>
      </w:r>
      <w:r w:rsidRPr="00D66245">
        <w:rPr>
          <w:rStyle w:val="Refdenotaalpie"/>
          <w:rFonts w:ascii="Palatino Linotype" w:hAnsi="Palatino Linotype" w:cs="Times New Roman"/>
        </w:rPr>
        <w:footnoteReference w:id="429"/>
      </w:r>
      <w:r w:rsidRPr="00D66245">
        <w:rPr>
          <w:rFonts w:ascii="Palatino Linotype" w:hAnsi="Palatino Linotype" w:cs="Times New Roman"/>
        </w:rPr>
        <w:t>, lo que aconsejaba se realizasen ruedas de reconocimiento separadas, sino que todos los integrantes de la rueda poseen rasgos palmariamente disímiles, tanto físicos</w:t>
      </w:r>
      <w:r w:rsidRPr="00D66245">
        <w:rPr>
          <w:rStyle w:val="Refdenotaalpie"/>
          <w:rFonts w:ascii="Palatino Linotype" w:hAnsi="Palatino Linotype" w:cs="Times New Roman"/>
        </w:rPr>
        <w:footnoteReference w:id="430"/>
      </w:r>
      <w:r w:rsidRPr="00D66245">
        <w:rPr>
          <w:rFonts w:ascii="Palatino Linotype" w:hAnsi="Palatino Linotype" w:cs="Times New Roman"/>
        </w:rPr>
        <w:t xml:space="preserve"> como en cuanto a sus vestimentas</w:t>
      </w:r>
      <w:r w:rsidRPr="00D66245">
        <w:rPr>
          <w:rStyle w:val="Refdenotaalpie"/>
          <w:rFonts w:ascii="Palatino Linotype" w:hAnsi="Palatino Linotype" w:cs="Times New Roman"/>
        </w:rPr>
        <w:footnoteReference w:id="431"/>
      </w:r>
      <w:r w:rsidRPr="00D66245">
        <w:rPr>
          <w:rFonts w:ascii="Palatino Linotype" w:hAnsi="Palatino Linotype" w:cs="Times New Roman"/>
        </w:rPr>
        <w:t>. Incluso resulta curioso que el sospechoso Mateluna, pese a no ser identificado por el testigo, se ubicó en el justo centro del pasillo, lo que, aunado a la notoriedad de su cabello, que sobresale con respecto al de los demás, pudo significar un sesgo de importancia, dado que la conjunción de esos aspectos podría, a mi entender, atraer la atención de quien se dispone a efectuar el reconocimiento</w:t>
      </w:r>
      <w:r w:rsidRPr="00D66245">
        <w:rPr>
          <w:rStyle w:val="Refdenotaalpie"/>
          <w:rFonts w:ascii="Palatino Linotype" w:hAnsi="Palatino Linotype" w:cs="Times New Roman"/>
        </w:rPr>
        <w:footnoteReference w:id="432"/>
      </w:r>
      <w:r w:rsidRPr="00D66245">
        <w:rPr>
          <w:rFonts w:ascii="Palatino Linotype" w:hAnsi="Palatino Linotype" w:cs="Times New Roman"/>
        </w:rPr>
        <w:t xml:space="preserve">. De esta forma, en el caso </w:t>
      </w:r>
      <w:r w:rsidRPr="00D66245">
        <w:rPr>
          <w:rFonts w:ascii="Palatino Linotype" w:hAnsi="Palatino Linotype" w:cs="Times New Roman"/>
          <w:i/>
        </w:rPr>
        <w:t>sub examine</w:t>
      </w:r>
      <w:r w:rsidRPr="00D66245">
        <w:rPr>
          <w:rFonts w:ascii="Palatino Linotype" w:hAnsi="Palatino Linotype" w:cs="Times New Roman"/>
        </w:rPr>
        <w:t xml:space="preserve"> nos encontramos una rueda de reconocimiento cuyo tamaño real (funcional) es inferior al nominal, aunado al sesgo de la rueda, dada la notoriedad de uno de los sospechosos. </w:t>
      </w:r>
    </w:p>
    <w:p w14:paraId="507C05B5"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Es destacable que la literatura especializada recomienda la denominada rueda secuencial, de forma que el testigo vea a cada sujeto de forma aislada, a fin de no favorecer juicios relativos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author":[{"dropping-particle":"","family":"Diges","given":"Margarita","non-dropping-particle":"","parse-names":false,"suffix":""},{"dropping-particle":"","family":"Pérez-Mata","given":"Nieves","non-dropping-particle":"","parse-names":false,"suffix":""}],"container-title":"Identificaciones fotográficas y en rueda de reconocimiento. Un análisis desde el Derecho procesal penal y la psicología del testimonio","id":"ITEM-1","issued":{"date-parts":[["2014"]]},"publisher":"Marcial Pons","title":"La prueba de identificación desde la psicología del testimonio","type":"chapter"},"locator":"72","uris":["http://www.mendeley.com/documents/?uuid=4239216f-cb8f-4db9-a5c2-b6609f2db014"]}],"mendeley":{"formattedCitation":"(Diges &amp; Pérez-Mata, 2014, p. 72)","plainTextFormattedCitation":"(Diges &amp; Pérez-Mata, 2014, p. 72)","previouslyFormattedCitation":"(Diges &amp; Pérez-Mata, 2014, p. 72)"},"properties":{"noteIndex":0},"schema":"https://github.com/citation-style-language/schema/raw/master/csl-citation.json"}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(Diges &amp; Pérez-Mata, 2014, p. 72)</w:t>
      </w:r>
      <w:r w:rsidRPr="00D66245">
        <w:rPr>
          <w:rFonts w:ascii="Palatino Linotype" w:hAnsi="Palatino Linotype" w:cs="Times New Roman"/>
        </w:rPr>
        <w:fldChar w:fldCharType="end"/>
      </w:r>
      <w:r w:rsidRPr="00D66245">
        <w:rPr>
          <w:rFonts w:ascii="Palatino Linotype" w:hAnsi="Palatino Linotype" w:cs="Times New Roman"/>
        </w:rPr>
        <w:t>, a diferencia de la forma tradicional en que se presentan todas las personas en conjunto, como ocurrió en el caso estudiado. Por otro lado, no se vislumbra algún aspecto que pudiera considerarse como una fortaleza en la composición de la rueda.</w:t>
      </w:r>
    </w:p>
    <w:p w14:paraId="61F26EEF"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Con respecto a la forma en que se produce la identificación, también se presentan cuestiones interesantes. Posterior a la indicación de las instrucciones por parte del carabinero, se genera el siguiente diálogo: Testigo: </w:t>
      </w:r>
      <w:r w:rsidRPr="00D66245">
        <w:rPr>
          <w:rFonts w:ascii="Palatino Linotype" w:hAnsi="Palatino Linotype" w:cs="Times New Roman"/>
          <w:i/>
        </w:rPr>
        <w:t>El quinto</w:t>
      </w:r>
      <w:r w:rsidRPr="00D66245">
        <w:rPr>
          <w:rFonts w:ascii="Palatino Linotype" w:hAnsi="Palatino Linotype" w:cs="Times New Roman"/>
        </w:rPr>
        <w:t xml:space="preserve">. Oficial: </w:t>
      </w:r>
      <w:r w:rsidRPr="00D66245">
        <w:rPr>
          <w:rFonts w:ascii="Palatino Linotype" w:hAnsi="Palatino Linotype" w:cs="Times New Roman"/>
          <w:i/>
        </w:rPr>
        <w:t>El número 5</w:t>
      </w:r>
      <w:r w:rsidRPr="00D66245">
        <w:rPr>
          <w:rFonts w:ascii="Palatino Linotype" w:hAnsi="Palatino Linotype" w:cs="Times New Roman"/>
        </w:rPr>
        <w:t xml:space="preserve">. Testigo: </w:t>
      </w:r>
      <w:r w:rsidRPr="00D66245">
        <w:rPr>
          <w:rFonts w:ascii="Palatino Linotype" w:hAnsi="Palatino Linotype" w:cs="Times New Roman"/>
          <w:i/>
        </w:rPr>
        <w:t>Así es</w:t>
      </w:r>
      <w:r w:rsidRPr="00D66245">
        <w:rPr>
          <w:rFonts w:ascii="Palatino Linotype" w:hAnsi="Palatino Linotype" w:cs="Times New Roman"/>
        </w:rPr>
        <w:t xml:space="preserve">. Oficial: </w:t>
      </w:r>
      <w:r w:rsidRPr="00D66245">
        <w:rPr>
          <w:rFonts w:ascii="Palatino Linotype" w:hAnsi="Palatino Linotype" w:cs="Times New Roman"/>
          <w:i/>
        </w:rPr>
        <w:t>Ya… y las circunstancias por favor en la que lo reconoce</w:t>
      </w:r>
      <w:r w:rsidRPr="00D66245">
        <w:rPr>
          <w:rFonts w:ascii="Palatino Linotype" w:hAnsi="Palatino Linotype" w:cs="Times New Roman"/>
        </w:rPr>
        <w:t xml:space="preserve">. Testigo: </w:t>
      </w:r>
      <w:r w:rsidRPr="00D66245">
        <w:rPr>
          <w:rFonts w:ascii="Palatino Linotype" w:hAnsi="Palatino Linotype" w:cs="Times New Roman"/>
          <w:i/>
        </w:rPr>
        <w:t>Eehh</w:t>
      </w:r>
      <w:r w:rsidRPr="00D66245">
        <w:rPr>
          <w:rFonts w:ascii="Palatino Linotype" w:hAnsi="Palatino Linotype" w:cs="Times New Roman"/>
        </w:rPr>
        <w:t xml:space="preserve">. Oficial: </w:t>
      </w:r>
      <w:r w:rsidRPr="00D66245">
        <w:rPr>
          <w:rFonts w:ascii="Palatino Linotype" w:hAnsi="Palatino Linotype" w:cs="Times New Roman"/>
          <w:i/>
        </w:rPr>
        <w:t>O recuerda usted haberlo visto</w:t>
      </w:r>
      <w:r w:rsidRPr="00D66245">
        <w:rPr>
          <w:rFonts w:ascii="Palatino Linotype" w:hAnsi="Palatino Linotype" w:cs="Times New Roman"/>
        </w:rPr>
        <w:t xml:space="preserve">. Testigo: </w:t>
      </w:r>
      <w:r w:rsidRPr="00D66245">
        <w:rPr>
          <w:rFonts w:ascii="Palatino Linotype" w:hAnsi="Palatino Linotype" w:cs="Times New Roman"/>
          <w:i/>
        </w:rPr>
        <w:t>Haberlo visto ensangrentado en un paradero de buses</w:t>
      </w:r>
      <w:r w:rsidRPr="00D66245">
        <w:rPr>
          <w:rFonts w:ascii="Palatino Linotype" w:hAnsi="Palatino Linotype" w:cs="Times New Roman"/>
        </w:rPr>
        <w:t xml:space="preserve">. Oficial: </w:t>
      </w:r>
      <w:r w:rsidRPr="00D66245">
        <w:rPr>
          <w:rFonts w:ascii="Palatino Linotype" w:hAnsi="Palatino Linotype" w:cs="Times New Roman"/>
          <w:i/>
        </w:rPr>
        <w:t>El número 5, voy a solicitar que avance un poco más y lo vuelva a ver detenidamente y me lo ratifica por favor… ¿le parece?</w:t>
      </w:r>
      <w:r w:rsidRPr="00D66245">
        <w:rPr>
          <w:rFonts w:ascii="Palatino Linotype" w:hAnsi="Palatino Linotype" w:cs="Times New Roman"/>
        </w:rPr>
        <w:t xml:space="preserve"> Oficial: </w:t>
      </w:r>
      <w:r w:rsidRPr="00D66245">
        <w:rPr>
          <w:rFonts w:ascii="Palatino Linotype" w:hAnsi="Palatino Linotype" w:cs="Times New Roman"/>
          <w:i/>
        </w:rPr>
        <w:t>¿Estaba hablando de él? ¿sí? ¿sí?</w:t>
      </w:r>
      <w:r w:rsidRPr="00D66245">
        <w:rPr>
          <w:rFonts w:ascii="Palatino Linotype" w:hAnsi="Palatino Linotype" w:cs="Times New Roman"/>
        </w:rPr>
        <w:t xml:space="preserve"> Testigo: </w:t>
      </w:r>
      <w:r w:rsidRPr="00D66245">
        <w:rPr>
          <w:rFonts w:ascii="Palatino Linotype" w:hAnsi="Palatino Linotype" w:cs="Times New Roman"/>
          <w:i/>
        </w:rPr>
        <w:t xml:space="preserve">Si. </w:t>
      </w:r>
      <w:r w:rsidRPr="00D66245">
        <w:rPr>
          <w:rFonts w:ascii="Palatino Linotype" w:hAnsi="Palatino Linotype" w:cs="Times New Roman"/>
        </w:rPr>
        <w:t xml:space="preserve">Oficial: </w:t>
      </w:r>
      <w:r w:rsidRPr="00D66245">
        <w:rPr>
          <w:rFonts w:ascii="Palatino Linotype" w:hAnsi="Palatino Linotype" w:cs="Times New Roman"/>
          <w:i/>
        </w:rPr>
        <w:t xml:space="preserve">¿Y las circunstancias? </w:t>
      </w:r>
      <w:r w:rsidRPr="00D66245">
        <w:rPr>
          <w:rFonts w:ascii="Palatino Linotype" w:hAnsi="Palatino Linotype" w:cs="Times New Roman"/>
        </w:rPr>
        <w:t xml:space="preserve">Testigo: </w:t>
      </w:r>
      <w:r w:rsidRPr="00D66245">
        <w:rPr>
          <w:rFonts w:ascii="Palatino Linotype" w:hAnsi="Palatino Linotype" w:cs="Times New Roman"/>
          <w:i/>
        </w:rPr>
        <w:t xml:space="preserve">Ensangrentado, solamente ensangrentado, en un paradero de buses. </w:t>
      </w:r>
      <w:r w:rsidRPr="00D66245">
        <w:rPr>
          <w:rFonts w:ascii="Palatino Linotype" w:hAnsi="Palatino Linotype" w:cs="Times New Roman"/>
        </w:rPr>
        <w:t xml:space="preserve">Oficial: </w:t>
      </w:r>
      <w:r w:rsidRPr="00D66245">
        <w:rPr>
          <w:rFonts w:ascii="Palatino Linotype" w:hAnsi="Palatino Linotype" w:cs="Times New Roman"/>
          <w:i/>
        </w:rPr>
        <w:t>¿En que sector?</w:t>
      </w:r>
      <w:r w:rsidRPr="00D66245">
        <w:rPr>
          <w:rFonts w:ascii="Palatino Linotype" w:hAnsi="Palatino Linotype" w:cs="Times New Roman"/>
        </w:rPr>
        <w:t xml:space="preserve"> Testigo: </w:t>
      </w:r>
      <w:r w:rsidRPr="00D66245">
        <w:rPr>
          <w:rFonts w:ascii="Palatino Linotype" w:hAnsi="Palatino Linotype" w:cs="Times New Roman"/>
          <w:i/>
        </w:rPr>
        <w:t>Pudahuel.</w:t>
      </w:r>
      <w:r w:rsidRPr="00D66245">
        <w:rPr>
          <w:rFonts w:ascii="Palatino Linotype" w:hAnsi="Palatino Linotype" w:cs="Times New Roman"/>
        </w:rPr>
        <w:t xml:space="preserve"> Oficial: </w:t>
      </w:r>
      <w:r w:rsidRPr="00D66245">
        <w:rPr>
          <w:rFonts w:ascii="Palatino Linotype" w:hAnsi="Palatino Linotype" w:cs="Times New Roman"/>
          <w:i/>
        </w:rPr>
        <w:t xml:space="preserve">¿No hay más personas que usted pueda reconocer? </w:t>
      </w:r>
      <w:r w:rsidRPr="00D66245">
        <w:rPr>
          <w:rFonts w:ascii="Palatino Linotype" w:hAnsi="Palatino Linotype" w:cs="Times New Roman"/>
        </w:rPr>
        <w:t xml:space="preserve">Testigo: </w:t>
      </w:r>
      <w:r w:rsidRPr="00D66245">
        <w:rPr>
          <w:rFonts w:ascii="Palatino Linotype" w:hAnsi="Palatino Linotype" w:cs="Times New Roman"/>
          <w:i/>
        </w:rPr>
        <w:t>No.</w:t>
      </w:r>
      <w:r w:rsidRPr="00D66245">
        <w:rPr>
          <w:rFonts w:ascii="Palatino Linotype" w:hAnsi="Palatino Linotype" w:cs="Times New Roman"/>
        </w:rPr>
        <w:t xml:space="preserve"> </w:t>
      </w:r>
    </w:p>
    <w:p w14:paraId="2D4A6124"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El tiempo que toma el testigo para identificar al sospechoso es muy corto, lo hace casi de inmediato, lo que resulta un aspecto positivo en cuanto a su fidelidad, pues se ha determinado que los testigos más exactos suelen tomar decisiones de forma automática y absoluta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author":[{"dropping-particle":"","family":"Diges","given":"Margarita","non-dropping-particle":"","parse-names":false,"suffix":""},{"dropping-particle":"","family":"Pérez-Mata","given":"Nieves","non-dropping-particle":"","parse-names":false,"suffix":""}],"container-title":"Identificaciones fotográficas y en rueda de reconocimiento. Un análisis desde el Derecho procesal penal y la psicología del testimonio","id":"ITEM-1","issued":{"date-parts":[["2014"]]},"publisher":"Marcial Pons","title":"La prueba de identificación desde la psicología del testimonio","type":"chapter"},"locator":"73","uris":["http://www.mendeley.com/documents/?uuid=4239216f-cb8f-4db9-a5c2-b6609f2db014"]}],"mendeley":{"formattedCitation":"(Diges &amp; Pérez-Mata, 2014, p. 73)","plainTextFormattedCitation":"(Diges &amp; Pérez-Mata, 2014, p. 73)","previouslyFormattedCitation":"(Diges &amp; Pérez-Mata, 2014, p. 73)"},"properties":{"noteIndex":0},"schema":"https://github.com/citation-style-language/schema/raw/master/csl-citation.json"}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(Diges &amp; Pérez-Mata, 2014, p. 73)</w:t>
      </w:r>
      <w:r w:rsidRPr="00D66245">
        <w:rPr>
          <w:rFonts w:ascii="Palatino Linotype" w:hAnsi="Palatino Linotype" w:cs="Times New Roman"/>
        </w:rPr>
        <w:fldChar w:fldCharType="end"/>
      </w:r>
      <w:r w:rsidRPr="00D66245">
        <w:rPr>
          <w:rFonts w:ascii="Palatino Linotype" w:hAnsi="Palatino Linotype" w:cs="Times New Roman"/>
        </w:rPr>
        <w:t xml:space="preserve">. No obstante, la justificación aportada, con relación a las circunstancias en que presuntamente el testigo observó al sospechoso, es muy deficitaria. </w:t>
      </w:r>
    </w:p>
    <w:p w14:paraId="7D3BA139"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Así, el testigo refiere que observa al imputado ensangrentado, pero no señala en que zona del cuerpo tenía sangre, tampoco aporta información relacionada con las condiciones de luminosidad, distancia, tiempo durante el cuál lo observó, sobre qué estaba haciendo en ese momento (para determinar el nivel de atención, estrés, etc.), entre otros datos que resultarían de gran relevancia y que son aspectos cuya consideración se recomienda, desde el punto de vista experto</w:t>
      </w:r>
      <w:r w:rsidRPr="00D66245">
        <w:rPr>
          <w:rStyle w:val="Refdenotaalpie"/>
          <w:rFonts w:ascii="Palatino Linotype" w:hAnsi="Palatino Linotype" w:cs="Times New Roman"/>
        </w:rPr>
        <w:footnoteReference w:id="433"/>
      </w:r>
      <w:r w:rsidRPr="00D66245">
        <w:rPr>
          <w:rFonts w:ascii="Palatino Linotype" w:hAnsi="Palatino Linotype" w:cs="Times New Roman"/>
        </w:rPr>
        <w:t>. De esta forma, aunque la manera en que se produce la identificación parece ser compatible con los estándares de confiabilidad, especialmente en el rubro temporal de respuesta, la precariedad de los datos circunstanciales aportados podría afectar la exactitud y fiabilidad del reconocimiento.</w:t>
      </w:r>
    </w:p>
    <w:p w14:paraId="1AF700F2"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Otros aspectos del reconocimiento analizado pueden tener implicaciones en la fiabilidad de este. Por ejemplo, el carabinero a cargo de la diligencia, Juan Muñoz Gaete, tenía conocimiento sobre la identidad de los sospechosos</w:t>
      </w:r>
      <w:r w:rsidRPr="00D66245">
        <w:rPr>
          <w:rStyle w:val="Refdenotaalpie"/>
          <w:rFonts w:ascii="Palatino Linotype" w:hAnsi="Palatino Linotype" w:cs="Times New Roman"/>
          <w:vertAlign w:val="baseline"/>
        </w:rPr>
        <w:footnoteReference w:id="434"/>
      </w:r>
      <w:r w:rsidRPr="00D66245">
        <w:rPr>
          <w:rFonts w:ascii="Palatino Linotype" w:hAnsi="Palatino Linotype" w:cs="Times New Roman"/>
        </w:rPr>
        <w:t>, con lo que se incumple la recomendación que desde la psicología del testimonio se ha efectuado, con respecto al sistema de doble ciego (</w:t>
      </w:r>
      <w:r w:rsidRPr="00D66245">
        <w:rPr>
          <w:rFonts w:ascii="Palatino Linotype" w:hAnsi="Palatino Linotype" w:cs="Times New Roman"/>
          <w:i/>
        </w:rPr>
        <w:t>double-blind</w:t>
      </w:r>
      <w:r w:rsidRPr="00D66245">
        <w:rPr>
          <w:rFonts w:ascii="Palatino Linotype" w:hAnsi="Palatino Linotype" w:cs="Times New Roman"/>
        </w:rPr>
        <w:t xml:space="preserve">), a fin de prevenir que el funcionario que entre en contacto con el testigo pueda aportarle pistas para que identifique al sospechoso, aún de forma no intencional, con lo que se evita un sesgo de confirmación de la investigación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{"citationItems":[{"id":"ITEM-1","itemData":{"author":[{"dropping-particle":"","family":"Duce","given":"Mauricio","non-dropping-particle":"","parse-names":false,"suffix":""}],"container-title":"Política Criminal. Vol. 12, Nº 23","id":"ITEM-1","issued":{"date-parts":[["2017","7"]]},"page":"291-379","publisher-place":"Santiago","title":"Los reconocimientos oculares: una aproximación empírica a su funcionamiento y algunas recomendaciones para su mejora","type":"article-magazine"},"locator":"311","uris":["http://www.mendeley.com/documents/?uuid=6e0a1a90-c1b3-412b-b898-2809b25214c6"]},{"id":"ITEM-2","itemData":{"author":[{"dropping-particle":"","family":"Diges","given":"Margarita","non-dropping-particle":"","parse-names":false,"suffix":""},{"dropping-particle":"","family":"Pérez-Mata","given":"Nieves","non-dropping-particle":"","parse-names":false,"suffix":""}],"container-title":"Identificaciones fotográficas y en rueda de reconocimiento. Un análisis desde el Derecho procesal penal y la psicología del testimonio","id":"ITEM-2","issued":{"date-parts":[["2014"]]},"publisher":"Marcial Pons","title":"La prueba de identificación desde la psicología del testimonio","type":"chapter"},"locator":"72","uris":["http://www.mendeley.com/documents/?uuid=4239216f-cb8f-4db9-a5c2-b6609f2db014"]}],"mendeley":{"formattedCitation":"(Diges &amp; Pérez-Mata, 2014, p. 72; Duce, 2017, p. 311)","plainTextFormattedCitation":"(Diges &amp; Pérez-Mata, 2014, p. 72; Duce, 2017, p. 311)","previouslyFormattedCitation":"(Diges &amp; Pérez-Mata, 2014, p. 72; Duce, 2017, p. 311)"},"properties":{"noteIndex":0},"schema":"https://github.com/citation-style-language/schema/raw/master/csl-citation.json"}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(Diges &amp; Pérez-Mata, 2014, p. 72; Duce, 2017, p. 311)</w:t>
      </w:r>
      <w:r w:rsidRPr="00D66245">
        <w:rPr>
          <w:rFonts w:ascii="Palatino Linotype" w:hAnsi="Palatino Linotype" w:cs="Times New Roman"/>
        </w:rPr>
        <w:fldChar w:fldCharType="end"/>
      </w:r>
      <w:r w:rsidRPr="00D66245">
        <w:rPr>
          <w:rFonts w:ascii="Palatino Linotype" w:hAnsi="Palatino Linotype" w:cs="Times New Roman"/>
        </w:rPr>
        <w:t xml:space="preserve">. </w:t>
      </w:r>
    </w:p>
    <w:p w14:paraId="4A7566DC"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Este mismo problema podría presentarse, si conociese la identidad de los sospechosos, con otro oficial que se encuentra durante toda la diligencia detrás de los sujetos que componen la rueda, y que constantemente dirige su mirada hacia el frente, en dirección a donde estos se ubican, con lo que su lenguaje gestual podría también provocar un sesgo en el testigo. Adicionalmente, el lugar en donde se realiza la diligencia y la ubicación de los componentes de la rueda sin duda no es la óptima, principalmente porque las personas están colocadas en el medio de un pasillo, sin espacio para que se ubiquen de forma lineal, de manera que la percepción de incomodidad, por la falta de espacio, también podría generar algún tipo de sesgo en el testigo. </w:t>
      </w:r>
    </w:p>
    <w:p w14:paraId="022DE616"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Asimismo, el aspecto cognitivo-social, desarrollado por Diges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author":[{"dropping-particle":"","family":"Diges","given":"Margarita","non-dropping-particle":"","parse-names":false,"suffix":""},{"dropping-particle":"","family":"Pérez-Mata","given":"Nieves","non-dropping-particle":"","parse-names":false,"suffix":""}],"container-title":"Identificaciones fotográficas y en rueda de reconocimiento. Un análisis desde el Derecho procesal penal y la psicología del testimonio","id":"ITEM-1","issued":{"date-parts":[["2014"]]},"publisher":"Marcial Pons","title":"La prueba de identificación desde la psicología del testimonio","type":"chapter"},"locator":"70-71","suppress-author":1,"uris":["http://www.mendeley.com/documents/?uuid=4239216f-cb8f-4db9-a5c2-b6609f2db014"]}],"mendeley":{"formattedCitation":"(2014, pp. 70–71)","plainTextFormattedCitation":"(2014, pp. 70–71)","previouslyFormattedCitation":"(2014, pp. 70–71)"},"properties":{"noteIndex":0},"schema":"https://github.com/citation-style-language/schema/raw/master/csl-citation.json"}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(2014, pp. 70–71)</w:t>
      </w:r>
      <w:r w:rsidRPr="00D66245">
        <w:rPr>
          <w:rFonts w:ascii="Palatino Linotype" w:hAnsi="Palatino Linotype" w:cs="Times New Roman"/>
        </w:rPr>
        <w:fldChar w:fldCharType="end"/>
      </w:r>
      <w:r w:rsidRPr="00D66245">
        <w:rPr>
          <w:rFonts w:ascii="Palatino Linotype" w:hAnsi="Palatino Linotype" w:cs="Times New Roman"/>
        </w:rPr>
        <w:t xml:space="preserve"> tiene acá importancia, pues al realizarse el reconocimiento en una prisión de máxima seguridad, es muy probable que el testigo estime que existen muchísimos elementos de prueba contra la persona que se le pide identifique, con lo que podría caer en el llamado proceso de juicio relativo, señalando al sujeto que más se le parezca. Quizá este tipo de diligencias debiera realizarse en un reducto menos hostil que en medio de las celdas de una cárcel.</w:t>
      </w:r>
    </w:p>
    <w:p w14:paraId="04EA6BE4"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Por otra parte, la forma en que el carabinero a cargo de la diligencia interactúa con el testigo no es la mejor. El oficial Muñoz Gaete habla de forma apresurada y en varias ocasiones presiona al testigo para que brinde una respuesta rápida</w:t>
      </w:r>
      <w:r w:rsidRPr="00D66245">
        <w:rPr>
          <w:rStyle w:val="Refdenotaalpie"/>
          <w:rFonts w:ascii="Palatino Linotype" w:hAnsi="Palatino Linotype" w:cs="Times New Roman"/>
        </w:rPr>
        <w:footnoteReference w:id="435"/>
      </w:r>
      <w:r w:rsidRPr="00D66245">
        <w:rPr>
          <w:rFonts w:ascii="Palatino Linotype" w:hAnsi="Palatino Linotype" w:cs="Times New Roman"/>
        </w:rPr>
        <w:t xml:space="preserve"> o directamente utiliza lenguaje sugestivo</w:t>
      </w:r>
      <w:r w:rsidRPr="00D66245">
        <w:rPr>
          <w:rStyle w:val="Refdenotaalpie"/>
          <w:rFonts w:ascii="Palatino Linotype" w:hAnsi="Palatino Linotype" w:cs="Times New Roman"/>
        </w:rPr>
        <w:footnoteReference w:id="436"/>
      </w:r>
      <w:r w:rsidRPr="00D66245">
        <w:rPr>
          <w:rFonts w:ascii="Palatino Linotype" w:hAnsi="Palatino Linotype" w:cs="Times New Roman"/>
        </w:rPr>
        <w:t xml:space="preserve">. Este factor puede explicarse quizá en la llamada visión de túnel y el prejuicio de confirmación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{"citationItems":[{"id":"ITEM-1","itemData":{"author":[{"dropping-particle":"","family":"Duce","given":"Mauricio","non-dropping-particle":"","parse-names":false,"suffix":""}],"container-title":"El modelo adversarial en Chile. Ponencias sobre su implementación en la reforma procesal penal","id":"ITEM-1","issued":{"date-parts":[["2013"]]},"page":"322","publisher":"Thomson Reuters","title":"Errores del sistema y condena de inocentes: Nuevos desafíos para nuestra justicia penal acusatoria","type":"chapter"},"locator":"19-22","uris":["http://www.mendeley.com/documents/?uuid=1e32ad94-0e15-43b9-9be4-82a0d5386ad0"]}],"mendeley":{"formattedCitation":"(Duce, 2013a, pp. 19–22)","plainTextFormattedCitation":"(Duce, 2013a, pp. 19–22)","previouslyFormattedCitation":"(Duce, 2013a, pp. 19–22)"},"properties":{"noteIndex":0},"schema":"https://github.com/citation-style-language/schema/raw/master/csl-citation.json"}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(Duce, 2013a, pp. 19–22)</w:t>
      </w:r>
      <w:r w:rsidRPr="00D66245">
        <w:rPr>
          <w:rFonts w:ascii="Palatino Linotype" w:hAnsi="Palatino Linotype" w:cs="Times New Roman"/>
        </w:rPr>
        <w:fldChar w:fldCharType="end"/>
      </w:r>
      <w:r w:rsidRPr="00D66245">
        <w:rPr>
          <w:rFonts w:ascii="Palatino Linotype" w:hAnsi="Palatino Linotype" w:cs="Times New Roman"/>
        </w:rPr>
        <w:t>.</w:t>
      </w:r>
    </w:p>
    <w:p w14:paraId="3039B0CB"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Un aspecto positivo, el único, por cierto, relacionado con los llamados factores del sistema, es precisamente la existencia del registro en video del reconocimiento, también recomendado por la literatura especializada y fundamental para poder determinar el cumplimiento de un estándar de confiabilidad del procedimiento, sea para valorar la admisibilidad de este o propiamente para su valoración. </w:t>
      </w:r>
    </w:p>
    <w:p w14:paraId="272FB161" w14:textId="45B4A8E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A partir de todo lo que se ha expuesto, se constatan, a mi criterio, las debilidades que este tipo de procedimientos presentan en Chile </w:t>
      </w:r>
      <w:r w:rsidRPr="00D66245">
        <w:rPr>
          <w:rFonts w:ascii="Palatino Linotype" w:hAnsi="Palatino Linotype" w:cs="Times New Roman"/>
        </w:rPr>
        <w:fldChar w:fldCharType="begin" w:fldLock="1"/>
      </w:r>
      <w:r w:rsidRPr="00D66245">
        <w:rPr>
          <w:rFonts w:ascii="Palatino Linotype" w:hAnsi="Palatino Linotype" w:cs="Times New Roman"/>
        </w:rPr>
        <w:instrText>ADDIN CSL_CITATION {"citationItems":[{"id":"ITEM-1","itemData":{"author":[{"dropping-particle":"","family":"Duce","given":"Mauricio","non-dropping-particle":"","parse-names":false,"suffix":""}],"container-title":"El modelo adversarial en Chile. Ponencias sobre su implementación en la reforma procesal penal","id":"ITEM-1","issued":{"date-parts":[["2013"]]},"page":"322","publisher":"Thomson Reuters","title":"Errores del sistema y condena de inocentes: Nuevos desafíos para nuestra justicia penal acusatoria","type":"chapter"},"locator":"34","uris":["http://www.mendeley.com/documents/?uuid=1e32ad94-0e15-43b9-9be4-82a0d5386ad0"]}],"mendeley":{"formattedCitation":"(Duce, 2013a, p. 34)","plainTextFormattedCitation":"(Duce, 2013a, p. 34)","previouslyFormattedCitation":"(Duce, 2013a, p. 34)"},"properties":{"noteIndex":0},"schema":"https://github.com/citation-style-language/schema/raw/master/csl-citation.json"}</w:instrText>
      </w:r>
      <w:r w:rsidRPr="00D66245">
        <w:rPr>
          <w:rFonts w:ascii="Palatino Linotype" w:hAnsi="Palatino Linotype" w:cs="Times New Roman"/>
        </w:rPr>
        <w:fldChar w:fldCharType="separate"/>
      </w:r>
      <w:r w:rsidRPr="00D66245">
        <w:rPr>
          <w:rFonts w:ascii="Palatino Linotype" w:hAnsi="Palatino Linotype" w:cs="Times New Roman"/>
          <w:noProof/>
        </w:rPr>
        <w:t>(Duce, 2013a, p. 34)</w:t>
      </w:r>
      <w:r w:rsidRPr="00D66245">
        <w:rPr>
          <w:rFonts w:ascii="Palatino Linotype" w:hAnsi="Palatino Linotype" w:cs="Times New Roman"/>
        </w:rPr>
        <w:fldChar w:fldCharType="end"/>
      </w:r>
      <w:r w:rsidRPr="00D66245">
        <w:rPr>
          <w:rFonts w:ascii="Palatino Linotype" w:hAnsi="Palatino Linotype" w:cs="Times New Roman"/>
        </w:rPr>
        <w:t xml:space="preserve"> y en la mayoría de los países latinoamericanos, incluyendo sin duda a Costa Rica. Como fortalezas en la diligencia de reconocimiento, solamente se ha podido observar el breve lapso en que el testigo efectúa el reconocimiento y el registro audiovisual de la diligencia, frente a los sensibles vicios en la práctica del procedimiento y en la composición de la rueda, los que, a mi juicio, tienen mucho más peso que los aspectos positivos y podrían afectar fatalmente la fiabilidad del procedimiento, ante la fragilidad de la memoria humana y su porosidad ante la información a la que es expuesta. Como ha señalado Scott Fraser, “el cerebro aborrece el vacío”, allí justamente se encuentra el problema (2018). </w:t>
      </w:r>
    </w:p>
    <w:p w14:paraId="2823D8D7" w14:textId="77777777" w:rsidR="00B377B2" w:rsidRPr="00D66245" w:rsidRDefault="00B377B2" w:rsidP="00BC0DD2">
      <w:pPr>
        <w:pStyle w:val="Prrafodelista"/>
        <w:numPr>
          <w:ilvl w:val="0"/>
          <w:numId w:val="10"/>
        </w:numPr>
        <w:tabs>
          <w:tab w:val="left" w:pos="1040"/>
        </w:tabs>
        <w:spacing w:before="120" w:after="200" w:line="240" w:lineRule="auto"/>
        <w:ind w:left="0" w:firstLine="0"/>
        <w:contextualSpacing w:val="0"/>
        <w:rPr>
          <w:rFonts w:ascii="Palatino Linotype" w:hAnsi="Palatino Linotype" w:cs="Times New Roman"/>
          <w:b/>
          <w:lang w:val="es-ES"/>
        </w:rPr>
      </w:pPr>
      <w:r w:rsidRPr="00D66245">
        <w:rPr>
          <w:rFonts w:ascii="Palatino Linotype" w:hAnsi="Palatino Linotype" w:cs="Times New Roman"/>
          <w:b/>
          <w:lang w:val="es-ES"/>
        </w:rPr>
        <w:t>Los peritajes de credibilidad</w:t>
      </w:r>
    </w:p>
    <w:p w14:paraId="5798BA3E"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En el ámbito costarricense, desde hace varios años, se ha planteado la necesidad de readecuar las evaluaciones psicológicas y psiquiátricas que se realizan a imputados y víctimas</w:t>
      </w:r>
      <w:r w:rsidRPr="00D66245">
        <w:rPr>
          <w:rStyle w:val="Refdenotaalpie"/>
          <w:rFonts w:ascii="Palatino Linotype" w:hAnsi="Palatino Linotype" w:cs="Times New Roman"/>
          <w:lang w:val="es-ES_tradnl"/>
        </w:rPr>
        <w:footnoteReference w:id="437"/>
      </w:r>
      <w:r w:rsidRPr="00D66245">
        <w:rPr>
          <w:rFonts w:ascii="Palatino Linotype" w:hAnsi="Palatino Linotype" w:cs="Times New Roman"/>
          <w:lang w:val="es-ES_tradnl"/>
        </w:rPr>
        <w:t xml:space="preserve">. Esto no solamente porque, en muchas ocasiones, presentan una escasa rigurosidad metodológica, con elementales falencias de forma o al exponer criterios que trascienden el ámbito de la </w:t>
      </w:r>
      <w:r w:rsidRPr="00D66245">
        <w:rPr>
          <w:rFonts w:ascii="Palatino Linotype" w:hAnsi="Palatino Linotype" w:cs="Times New Roman"/>
          <w:i/>
          <w:lang w:val="es-ES_tradnl"/>
        </w:rPr>
        <w:t>expertise</w:t>
      </w:r>
      <w:r w:rsidRPr="00D66245">
        <w:rPr>
          <w:rFonts w:ascii="Palatino Linotype" w:hAnsi="Palatino Linotype" w:cs="Times New Roman"/>
          <w:lang w:val="es-ES_tradnl"/>
        </w:rPr>
        <w:t xml:space="preserve"> del profesional que la elabora, sino también por una tendencia a utilizar tales peritajes o informes, por parte de los jueces, como una fórmula para establecer la credibilidad del testigo o la parte. Se trata, en la práctica, de los llamados peritajes de credibilidad, sobre los cuáles se han delineado varios aspectos que deben evaluarse para determinar si éstos deben de admitirse en un proceso penal.</w:t>
      </w:r>
    </w:p>
    <w:p w14:paraId="0C46621A"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 xml:space="preserve">El primero de estos es un elemental criterio de </w:t>
      </w:r>
      <w:r w:rsidRPr="00D66245">
        <w:rPr>
          <w:rFonts w:ascii="Palatino Linotype" w:hAnsi="Palatino Linotype" w:cs="Times New Roman"/>
          <w:i/>
          <w:lang w:val="es-ES_tradnl"/>
        </w:rPr>
        <w:t>necesidad</w:t>
      </w:r>
      <w:r w:rsidRPr="00D66245">
        <w:rPr>
          <w:rFonts w:ascii="Palatino Linotype" w:hAnsi="Palatino Linotype" w:cs="Times New Roman"/>
          <w:lang w:val="es-ES_tradnl"/>
        </w:rPr>
        <w:t>. Tal y como afirma Duce, el requisito de necesidad supone, en primer lugar, que el perito contribuya a que el tribunal resuelva algún aspecto que “está fuera del ámbito de su experiencia, sus conocimientos o su capacidad de comprensión</w:t>
      </w:r>
      <w:r w:rsidRPr="00D66245">
        <w:rPr>
          <w:rFonts w:ascii="Palatino Linotype" w:hAnsi="Palatino Linotype" w:cs="Times New Roman"/>
          <w:i/>
          <w:lang w:val="es-ES_tradnl"/>
        </w:rPr>
        <w:t xml:space="preserve">” </w:t>
      </w:r>
      <w:r w:rsidRPr="00D66245">
        <w:rPr>
          <w:rFonts w:ascii="Palatino Linotype" w:hAnsi="Palatino Linotype" w:cs="Times New Roman"/>
          <w:i/>
          <w:lang w:val="es-ES_tradnl"/>
        </w:rPr>
        <w:fldChar w:fldCharType="begin" w:fldLock="1"/>
      </w:r>
      <w:r w:rsidRPr="00D66245">
        <w:rPr>
          <w:rFonts w:ascii="Palatino Linotype" w:hAnsi="Palatino Linotype" w:cs="Times New Roman"/>
          <w:i/>
          <w:lang w:val="es-ES_tradnl"/>
        </w:rPr>
        <w:instrText>ADDIN CSL_CITATION {"citationItems":[{"id":"ITEM-1","itemData":{"author":[{"dropping-particle":"","family":"Duce","given":"Mauricio","non-dropping-particle":"","parse-names":false,"suffix":""}],"id":"ITEM-1","issued":{"date-parts":[["2013"]]},"publisher":"Ediciones Didot","publisher-place":"Buenos Aires","title":"La prueba pericial. Aspectos legales y estatégicos claves para el litigio en los sistemas procesales penales acusatorios","type":"book"},"locator":"65","suppress-author":1,"uris":["http://www.mendeley.com/documents/?uuid=abfa7124-1b58-4897-bac5-027097adf065"]}],"mendeley":{"formattedCitation":"(2013b, p. 65)","plainTextFormattedCitation":"(2013b, p. 65)","previouslyFormattedCitation":"(2013b, p. 65)"},"properties":{"noteIndex":0},"schema":"https://github.com/citation-style-language/schema/raw/master/csl-citation.json"}</w:instrText>
      </w:r>
      <w:r w:rsidRPr="00D66245">
        <w:rPr>
          <w:rFonts w:ascii="Palatino Linotype" w:hAnsi="Palatino Linotype" w:cs="Times New Roman"/>
          <w:i/>
          <w:lang w:val="es-ES_tradnl"/>
        </w:rPr>
        <w:fldChar w:fldCharType="separate"/>
      </w:r>
      <w:r w:rsidRPr="00D66245">
        <w:rPr>
          <w:rFonts w:ascii="Palatino Linotype" w:hAnsi="Palatino Linotype" w:cs="Times New Roman"/>
          <w:noProof/>
          <w:lang w:val="es-ES_tradnl"/>
        </w:rPr>
        <w:t>(2013b, p. 65)</w:t>
      </w:r>
      <w:r w:rsidRPr="00D66245">
        <w:rPr>
          <w:rFonts w:ascii="Palatino Linotype" w:hAnsi="Palatino Linotype" w:cs="Times New Roman"/>
          <w:i/>
          <w:lang w:val="es-ES_tradnl"/>
        </w:rPr>
        <w:fldChar w:fldCharType="end"/>
      </w:r>
      <w:r w:rsidRPr="00D66245">
        <w:rPr>
          <w:rFonts w:ascii="Palatino Linotype" w:hAnsi="Palatino Linotype" w:cs="Times New Roman"/>
          <w:lang w:val="es-ES_tradnl"/>
        </w:rPr>
        <w:t xml:space="preserve">, siendo imprescindible que se distinga la necesidad de la mera utilidad o conveniencia, a fin de evitar que se presente prueba superflua o redundante o que el perito usurpe la labor del órgano decisor y, en segundo término, que se evalúe si el peritaje es la vía adecuada para introducir información al juicio, por encima de otros medios de prueba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{"citationItems":[{"id":"ITEM-1","itemData":{"author":[{"dropping-particle":"","family":"Duce","given":"Mauricio","non-dropping-particle":"","parse-names":false,"suffix":""}],"id":"ITEM-1","issued":{"date-parts":[["2013"]]},"publisher":"Ediciones Didot","publisher-place":"Buenos Aires","title":"La prueba pericial. Aspectos legales y estatégicos claves para el litigio en los sistemas procesales penales acusatorios","type":"book"},"locator":"67","uris":["http://www.mendeley.com/documents/?uuid=abfa7124-1b58-4897-bac5-027097adf065"]}],"mendeley":{"formattedCitation":"(Duce, 2013b, p. 67)","plainTextFormattedCitation":"(Duce, 2013b, p. 67)","previouslyFormattedCitation":"(Duce, 2013b, p. 67)"},"properties":{"noteIndex":0},"schema":"https://github.com/citation-style-language/schema/raw/master/csl-citation.json"}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(Duce, 2013b, p. 67)</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convirtiéndose, de alguna manera, en un medio de prueba subsidiario</w:t>
      </w:r>
      <w:r w:rsidRPr="00D66245">
        <w:rPr>
          <w:rStyle w:val="Refdenotaalpie"/>
          <w:rFonts w:ascii="Palatino Linotype" w:hAnsi="Palatino Linotype" w:cs="Times New Roman"/>
        </w:rPr>
        <w:footnoteReference w:id="438"/>
      </w:r>
      <w:r w:rsidRPr="00D66245">
        <w:rPr>
          <w:rFonts w:ascii="Palatino Linotype" w:hAnsi="Palatino Linotype" w:cs="Times New Roman"/>
          <w:lang w:val="es-ES_tradnl"/>
        </w:rPr>
        <w:t xml:space="preserve">. </w:t>
      </w:r>
    </w:p>
    <w:p w14:paraId="21DC9172"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 xml:space="preserve">En este punto, se coincide con Duce, en el sentido de que este tipo de pericias normalmente no son necesarias, dado que versan sobre una de las funciones esenciales del juez, precisamente la evaluación de la credibilidad de los testimonios, con lo que el perito sustituiría al órgano decisor en su quehacer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{"citationItems":[{"id":"ITEM-1","itemData":{"author":[{"dropping-particle":"","family":"Duce","given":"Mauricio","non-dropping-particle":"","parse-names":false,"suffix":""}],"id":"ITEM-1","issued":{"date-parts":[["2013"]]},"publisher":"Ediciones Didot","publisher-place":"Buenos Aires","title":"La prueba pericial. Aspectos legales y estatégicos claves para el litigio en los sistemas procesales penales acusatorios","type":"book"},"locator":"71","suppress-author":1,"uris":["http://www.mendeley.com/documents/?uuid=abfa7124-1b58-4897-bac5-027097adf065"]}],"mendeley":{"formattedCitation":"(2013b, p. 71)","plainTextFormattedCitation":"(2013b, p. 71)","previouslyFormattedCitation":"(2013b, p. 71)"},"properties":{"noteIndex":0},"schema":"https://github.com/citation-style-language/schema/raw/master/csl-citation.json"}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(2013b, p. 71)</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xml:space="preserve">, tomando en consideración, además, que, muchos de los instrumentos que frecuentemente se utilizan, por ejemplo, el </w:t>
      </w:r>
      <w:r w:rsidRPr="00D66245">
        <w:rPr>
          <w:rFonts w:ascii="Palatino Linotype" w:hAnsi="Palatino Linotype" w:cs="Times New Roman"/>
          <w:i/>
          <w:lang w:val="es-ES_tradnl"/>
        </w:rPr>
        <w:t>Statement Validity Assessment</w:t>
      </w:r>
      <w:r w:rsidRPr="00D66245">
        <w:rPr>
          <w:rFonts w:ascii="Palatino Linotype" w:hAnsi="Palatino Linotype" w:cs="Times New Roman"/>
          <w:lang w:val="es-ES_tradnl"/>
        </w:rPr>
        <w:t xml:space="preserve"> (en adelante SVA) replica, en líneas generales, la labor que efectúa el juez al valorar un testimonio (en el SVA se efectúa una entrevista semiestructurada, se aplica el </w:t>
      </w:r>
      <w:r w:rsidRPr="00D66245">
        <w:rPr>
          <w:rFonts w:ascii="Palatino Linotype" w:hAnsi="Palatino Linotype" w:cs="Times New Roman"/>
          <w:i/>
          <w:lang w:val="es-ES_tradnl"/>
        </w:rPr>
        <w:t>Criteria based content analysis</w:t>
      </w:r>
      <w:r w:rsidRPr="00D66245">
        <w:rPr>
          <w:rFonts w:ascii="Palatino Linotype" w:hAnsi="Palatino Linotype" w:cs="Times New Roman"/>
          <w:lang w:val="es-ES_tradnl"/>
        </w:rPr>
        <w:t xml:space="preserve"> y una lista de chequeo de validez). </w:t>
      </w:r>
    </w:p>
    <w:p w14:paraId="017D7FDF"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De tal manera, si se está frente a sujetos que no presentan algún déficit psicológico o psiquiátrico que pudiera requerir el conocimiento experto para dilucidar algún aspecto importante para la resolución del caso, de forma que el análisis sobre la credibilidad de su testimonio no excede las competencias y capacidades del órgano decisor, parece evidente que el peritaje no cumple con el requisito de necesidad</w:t>
      </w:r>
      <w:r w:rsidRPr="00D66245">
        <w:rPr>
          <w:rStyle w:val="Refdenotaalpie"/>
          <w:rFonts w:ascii="Palatino Linotype" w:hAnsi="Palatino Linotype" w:cs="Times New Roman"/>
        </w:rPr>
        <w:footnoteReference w:id="439"/>
      </w:r>
      <w:r w:rsidRPr="00D66245">
        <w:rPr>
          <w:rFonts w:ascii="Palatino Linotype" w:hAnsi="Palatino Linotype" w:cs="Times New Roman"/>
          <w:lang w:val="es-ES_tradnl"/>
        </w:rPr>
        <w:t xml:space="preserve">. Adicionalmente, específicamente en lo atinente al segundo nivel de análisis de admisibilidad relacionado con la necesidad planteado por Duce, otros medios de prueba podrían aportar la información que se imbuiría en la pericia (elementos objetivos de corroboración, otros testimonios, etc.). </w:t>
      </w:r>
    </w:p>
    <w:p w14:paraId="66CE2803"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 xml:space="preserve">En segundo lugar, se ubica el criterio de </w:t>
      </w:r>
      <w:r w:rsidRPr="00D66245">
        <w:rPr>
          <w:rFonts w:ascii="Palatino Linotype" w:hAnsi="Palatino Linotype" w:cs="Times New Roman"/>
          <w:i/>
          <w:lang w:val="es-ES_tradnl"/>
        </w:rPr>
        <w:t>idoneidad</w:t>
      </w:r>
      <w:r w:rsidRPr="00D66245">
        <w:rPr>
          <w:rFonts w:ascii="Palatino Linotype" w:hAnsi="Palatino Linotype" w:cs="Times New Roman"/>
          <w:lang w:val="es-ES_tradnl"/>
        </w:rPr>
        <w:t xml:space="preserve"> del perito, el cual también suele presentar complicaciones en la práctica forense. En términos generales, este aspecto apunta a que quién se presenta como experto realmente lo sea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{"citationItems":[{"id":"ITEM-1","itemData":{"author":[{"dropping-particle":"","family":"Duce","given":"Mauricio","non-dropping-particle":"","parse-names":false,"suffix":""}],"id":"ITEM-1","issued":{"date-parts":[["2013"]]},"publisher":"Ediciones Didot","publisher-place":"Buenos Aires","title":"La prueba pericial. Aspectos legales y estatégicos claves para el litigio en los sistemas procesales penales acusatorios","type":"book"},"locator":"75","uris":["http://www.mendeley.com/documents/?uuid=abfa7124-1b58-4897-bac5-027097adf065"]}],"mendeley":{"formattedCitation":"(Duce, 2013b, p. 75)","plainTextFormattedCitation":"(Duce, 2013b, p. 75)","previouslyFormattedCitation":"(Duce, 2013b, p. 75)"},"properties":{"noteIndex":0},"schema":"https://github.com/citation-style-language/schema/raw/master/csl-citation.json"}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(Duce, 2013b, p. 75)</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xml:space="preserve">, cuestión que, en áreas en donde se requiere un título habilitante, se cumpliría, en principio, con la acreditación de este requisito. No obstante, el inconmensurable avance en distintos ámbitos del conocimiento humano provoca que, en no pocas ocasiones, ya no baste con categorías generales y el grado de </w:t>
      </w:r>
      <w:r w:rsidRPr="00D66245">
        <w:rPr>
          <w:rFonts w:ascii="Palatino Linotype" w:hAnsi="Palatino Linotype" w:cs="Times New Roman"/>
          <w:i/>
          <w:lang w:val="es-ES_tradnl"/>
        </w:rPr>
        <w:t>expertise</w:t>
      </w:r>
      <w:r w:rsidRPr="00D66245">
        <w:rPr>
          <w:rFonts w:ascii="Palatino Linotype" w:hAnsi="Palatino Linotype" w:cs="Times New Roman"/>
          <w:lang w:val="es-ES_tradnl"/>
        </w:rPr>
        <w:t xml:space="preserve"> dependa de una especialización en concretos focos de la actividad profesional. </w:t>
      </w:r>
    </w:p>
    <w:p w14:paraId="2EF6FA80"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Entratándose de la psicología del testimonio, ya se ha enfatizado la necesidad de que los profesionales a cargo de este tipo de pericias no sean simplemente psicólogos, sino expertos en esa área específica, máxime cuando se ha demostrado que “los errores de discriminación de los procedimientos de análisis de credibilidad basados en el contenido de la declaración, además, podrían incrementarse en la medida en que los profesionales que los aplican no tengan la especialización necesaria</w:t>
      </w:r>
      <w:r w:rsidRPr="00D66245">
        <w:rPr>
          <w:rFonts w:ascii="Palatino Linotype" w:hAnsi="Palatino Linotype" w:cs="Times New Roman"/>
          <w:i/>
          <w:lang w:val="es-ES_tradnl"/>
        </w:rPr>
        <w:t>”</w:t>
      </w:r>
      <w:r w:rsidRPr="00D66245">
        <w:rPr>
          <w:rFonts w:ascii="Palatino Linotype" w:hAnsi="Palatino Linotype" w:cs="Times New Roman"/>
          <w:lang w:val="es-ES_tradnl"/>
        </w:rPr>
        <w:t xml:space="preserve">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{"citationItems":[{"id":"ITEM-1","itemData":{"DOI":"10.13140/2.1.3978.2729","abstract":"\" probablemente una disputa legal es realmente un conflicto entre narraciones y una decisión judicial es, en realidad, un test de la credibilidad de dos versiones de una narración \" (Crombag, 1989) I. Planteamiento General Desde que en el año mil novecientos ochenta y tres, de forma experimental, el psicólogo entrase a formar parte del personal de la Administración de Justicia, con consolidación de plazas cuatro años después, hasta la actualidad hemos asistido a un incremento exponencial de la presencia de psicólogos en el organigrama de nuestro Sistema de Justicia, en un grado superior a otros técnicos-forenses (Vázquez, 2008). La Ley 1/2000 de Enjuiciamiento Civil al potenciar un proceso presidido por el principio dispositivo o de aportación de parte ha facilitado la participación de la figura del perito psicólogo privado, situación que también se ha producido, aunque en menor medida, en los procesos penales. En definitiva, la figura del psicólogo forense está plenamente integrada en la realidad judicial española, habiendo adquirido un estatus profesional reconocido por los distintos operadores jurídicos y otros profesionales de las ciencias forenses, fruto del riguroso trabajo realizado por los pioneros de la profesión (Santolaya, 2002; Alfaro, Real, Tortosa y Jölluskin, 2004, Chacón, 2008). Pero si hay una parcela donde el informe pericial psicológico, tanto en su vertiente pública como privada, ha adquirido una relevancia especial, reflejada en un incremento significativo en su demanda, ese ha sido el de la evaluación de la credibilidad del testimonio en menores presuntas víctimas de abuso sexual infantil (Ercoli, 2003; Manzanero, 2001). Situación entendible si atendemos a la escasez de medios de prueba que suele acompañar a estos procesos penales (son delitos que se producen en ausencia de testigos, sin dejar evidencias físicas, cuando es intrafamiliar la familia tiende a ocultar los hechos y además el juzgador se encuentra con versiones contradictorias victima-victimario). Tanto el Tribunal Constitucional (STC nº 44/1989 de 20 de febrero) como el Tribunal Supremo (SSTS nºs 732/1997, de 19 de mayo, de 28 de octubre de 1992, de 16 de enero de 1991, y de 18 de septiembre de 1990) establecen el valor de los testimonios infantiles como prueba suficiente para desvirtuar la presunción de inocencia en estos casos. De ahí, la utilidad de estas periciales como ayuda a la toma de decisiones judiciales, reconocida en distinta jurisprudencia del Tribunal Supr…","author":[{"dropping-particle":"","family":"Manzanero","given":"Antonio","non-dropping-particle":"","parse-names":false,"suffix":""},{"dropping-particle":"","family":"Muñoz","given":"José Manuel","non-dropping-particle":"","parse-names":false,"suffix":""}],"id":"ITEM-1","issue":"January 2015","issued":{"date-parts":[["2011"]]},"page":"1-13","title":"La prueba pericial psicológica sobre la credibilidad del testimonio: reflexiones psico-legales","type":"article-journal"},"locator":"8","uris":["http://www.mendeley.com/documents/?uuid=676f8d35-bd17-448e-9d7a-7b6b5072a461"]}],"mendeley":{"formattedCitation":"(Manzanero &amp; Muñoz, 2011, p. 8)","plainTextFormattedCitation":"(Manzanero &amp; Muñoz, 2011, p. 8)","previouslyFormattedCitation":"(Manzanero &amp; Muñoz, 2011, p. 8)"},"properties":{"noteIndex":0},"schema":"https://github.com/citation-style-language/schema/raw/master/csl-citation.json"}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(Manzanero &amp; Muñoz, 2011, p. 8)</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xml:space="preserve">. En términos sencillos, en lo relativo a estudios como el SVA, no basta con un mero psicólogo, sino que se requiere de un profesional experto en procesos perceptivos y de memoria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{"citationItems":[{"id":"ITEM-1","itemData":{"DOI":"10.13140/2.1.3978.2729","abstract":"\" probablemente una disputa legal es realmente un conflicto entre narraciones y una decisión judicial es, en realidad, un test de la credibilidad de dos versiones de una narración \" (Crombag, 1989) I. Planteamiento General Desde que en el año mil novecientos ochenta y tres, de forma experimental, el psicólogo entrase a formar parte del personal de la Administración de Justicia, con consolidación de plazas cuatro años después, hasta la actualidad hemos asistido a un incremento exponencial de la presencia de psicólogos en el organigrama de nuestro Sistema de Justicia, en un grado superior a otros técnicos-forenses (Vázquez, 2008). La Ley 1/2000 de Enjuiciamiento Civil al potenciar un proceso presidido por el principio dispositivo o de aportación de parte ha facilitado la participación de la figura del perito psicólogo privado, situación que también se ha producido, aunque en menor medida, en los procesos penales. En definitiva, la figura del psicólogo forense está plenamente integrada en la realidad judicial española, habiendo adquirido un estatus profesional reconocido por los distintos operadores jurídicos y otros profesionales de las ciencias forenses, fruto del riguroso trabajo realizado por los pioneros de la profesión (Santolaya, 2002; Alfaro, Real, Tortosa y Jölluskin, 2004, Chacón, 2008). Pero si hay una parcela donde el informe pericial psicológico, tanto en su vertiente pública como privada, ha adquirido una relevancia especial, reflejada en un incremento significativo en su demanda, ese ha sido el de la evaluación de la credibilidad del testimonio en menores presuntas víctimas de abuso sexual infantil (Ercoli, 2003; Manzanero, 2001). Situación entendible si atendemos a la escasez de medios de prueba que suele acompañar a estos procesos penales (son delitos que se producen en ausencia de testigos, sin dejar evidencias físicas, cuando es intrafamiliar la familia tiende a ocultar los hechos y además el juzgador se encuentra con versiones contradictorias victima-victimario). Tanto el Tribunal Constitucional (STC nº 44/1989 de 20 de febrero) como el Tribunal Supremo (SSTS nºs 732/1997, de 19 de mayo, de 28 de octubre de 1992, de 16 de enero de 1991, y de 18 de septiembre de 1990) establecen el valor de los testimonios infantiles como prueba suficiente para desvirtuar la presunción de inocencia en estos casos. De ahí, la utilidad de estas periciales como ayuda a la toma de decisiones judiciales, reconocida en distinta jurisprudencia del Tribunal Supr…","author":[{"dropping-particle":"","family":"Manzanero","given":"Antonio","non-dropping-particle":"","parse-names":false,"suffix":""},{"dropping-particle":"","family":"Muñoz","given":"José Manuel","non-dropping-particle":"","parse-names":false,"suffix":""}],"id":"ITEM-1","issue":"January 2015","issued":{"date-parts":[["2011"]]},"page":"1-13","title":"La prueba pericial psicológica sobre la credibilidad del testimonio: reflexiones psico-legales","type":"article-journal"},"locator":"9","uris":["http://www.mendeley.com/documents/?uuid=676f8d35-bd17-448e-9d7a-7b6b5072a461"]}],"mendeley":{"formattedCitation":"(Manzanero &amp; Muñoz, 2011, p. 9)","plainTextFormattedCitation":"(Manzanero &amp; Muñoz, 2011, p. 9)","previouslyFormattedCitation":"(Manzanero &amp; Muñoz, 2011, p. 9)"},"properties":{"noteIndex":0},"schema":"https://github.com/citation-style-language/schema/raw/master/csl-citation.json"}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(Manzanero &amp; Muñoz, 2011, p. 9)</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xml:space="preserve">. </w:t>
      </w:r>
    </w:p>
    <w:p w14:paraId="71D97F40"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 xml:space="preserve">En muchos casos judiciales, se acredita únicamente el título de psicología y la experiencia en este </w:t>
      </w:r>
      <w:r w:rsidRPr="00D66245">
        <w:rPr>
          <w:rFonts w:ascii="Palatino Linotype" w:hAnsi="Palatino Linotype" w:cs="Times New Roman"/>
          <w:i/>
          <w:lang w:val="es-ES_tradnl"/>
        </w:rPr>
        <w:t>tipo</w:t>
      </w:r>
      <w:r w:rsidRPr="00D66245">
        <w:rPr>
          <w:rFonts w:ascii="Palatino Linotype" w:hAnsi="Palatino Linotype" w:cs="Times New Roman"/>
          <w:lang w:val="es-ES_tradnl"/>
        </w:rPr>
        <w:t xml:space="preserve"> de pericias, de manera que, aunque podría objetarse la suficiencia del postgrado -por las horas invertidas o por la generalidad de la temática- y la experiencia profesional general y especial en el ámbito judicial, es necesario acreditar la experiencia concreta, es decir, qué tipo de pericias psicológicas realizó, por ejemplo, si fue a menores, en casos de abuso sexual, específicamente con el método SVA, etc., lo cierto es que, compartiendo el criterio expuesto por Duce, el “examen de idoneidad para efectos de admisibilidad es relativamente bajo o preliminar”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{"citationItems":[{"id":"ITEM-1","itemData":{"author":[{"dropping-particle":"","family":"Duce","given":"Mauricio","non-dropping-particle":"","parse-names":false,"suffix":""}],"id":"ITEM-1","issued":{"date-parts":[["2013"]]},"publisher":"Ediciones Didot","publisher-place":"Buenos Aires","title":"La prueba pericial. Aspectos legales y estatégicos claves para el litigio en los sistemas procesales penales acusatorios","type":"book"},"locator":"77","suppress-author":1,"uris":["http://www.mendeley.com/documents/?uuid=abfa7124-1b58-4897-bac5-027097adf065"]}],"mendeley":{"formattedCitation":"(2013b, p. 77)","plainTextFormattedCitation":"(2013b, p. 77)","previouslyFormattedCitation":"(2013b, p. 77)"},"properties":{"noteIndex":0},"schema":"https://github.com/citation-style-language/schema/raw/master/csl-citation.json"}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(2013b, p. 77)</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xml:space="preserve">, por lo que los elementos requeridos constituyen el mínimo suficiente para avalar en esta fase el peritaje (siempre que se trate de un profesional en psicología habilitado, con estudios de especialización en psicología forense y alguna experiencia judicial), quedando para la etapa de juicio la ponderación sobre la credibilidad que pueda merecer el perito, a partir de la revisión más intensa de los aspectos señalados y su posible injerencia en el peritaje realizado.  </w:t>
      </w:r>
    </w:p>
    <w:p w14:paraId="3FF3B761" w14:textId="77777777" w:rsidR="00B377B2" w:rsidRPr="00D66245" w:rsidRDefault="00B377B2" w:rsidP="00F53211">
      <w:pPr>
        <w:spacing w:before="120" w:after="200"/>
        <w:jc w:val="both"/>
        <w:rPr>
          <w:rFonts w:ascii="Palatino Linotype" w:hAnsi="Palatino Linotype" w:cs="Times New Roman"/>
          <w:lang w:val="es-ES_tradnl"/>
        </w:rPr>
      </w:pPr>
    </w:p>
    <w:p w14:paraId="3424602D" w14:textId="2C35A3E8"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 xml:space="preserve">Finalmente, el criterio de </w:t>
      </w:r>
      <w:r w:rsidRPr="00D66245">
        <w:rPr>
          <w:rFonts w:ascii="Palatino Linotype" w:hAnsi="Palatino Linotype" w:cs="Times New Roman"/>
          <w:i/>
          <w:lang w:val="es-ES_tradnl"/>
        </w:rPr>
        <w:t>confiabilidad</w:t>
      </w:r>
      <w:r w:rsidRPr="00D66245">
        <w:rPr>
          <w:rFonts w:ascii="Palatino Linotype" w:hAnsi="Palatino Linotype" w:cs="Times New Roman"/>
          <w:lang w:val="es-ES_tradnl"/>
        </w:rPr>
        <w:t>, se considera como “un estándar que permite hacer un control de calidad de las evidencias que son utilizadas en el proceso judicial”</w:t>
      </w:r>
      <w:r w:rsidRPr="00D66245">
        <w:rPr>
          <w:rFonts w:ascii="Palatino Linotype" w:hAnsi="Palatino Linotype" w:cs="Times New Roman"/>
          <w:i/>
          <w:lang w:val="es-ES_tradnl"/>
        </w:rPr>
        <w:t xml:space="preserve"> </w:t>
      </w:r>
      <w:r w:rsidRPr="00D66245">
        <w:rPr>
          <w:rFonts w:ascii="Palatino Linotype" w:hAnsi="Palatino Linotype" w:cs="Times New Roman"/>
          <w:i/>
          <w:lang w:val="es-ES_tradnl"/>
        </w:rPr>
        <w:fldChar w:fldCharType="begin" w:fldLock="1"/>
      </w:r>
      <w:r w:rsidRPr="00D66245">
        <w:rPr>
          <w:rFonts w:ascii="Palatino Linotype" w:hAnsi="Palatino Linotype" w:cs="Times New Roman"/>
          <w:i/>
          <w:lang w:val="es-ES_tradnl"/>
        </w:rPr>
        <w:instrText>ADDIN CSL_CITATION {"citationItems":[{"id":"ITEM-1","itemData":{"author":[{"dropping-particle":"","family":"Alcaíno","given":"Eduardo","non-dropping-particle":"","parse-names":false,"suffix":""}],"container-title":"Política Criminal. Vol. 9, Nº 18","id":"ITEM-1","issued":{"date-parts":[["2014","12"]]},"page":"564-613","publisher-place":"Santiago","title":"La confiabilidad como estándar para evaluar la calidad de los reconocimientos de imputados","type":"article-magazine"},"locator":"581","uris":["http://www.mendeley.com/documents/?uuid=918242b6-9a16-48e4-8a78-91e78f72c1b4"]}],"mendeley":{"formattedCitation":"(Alcaíno, 2014, p. 581)","plainTextFormattedCitation":"(Alcaíno, 2014, p. 581)","previouslyFormattedCitation":"(Alcaíno, 2014, p. 581)"},"properties":{"noteIndex":0},"schema":"https://github.com/citation-style-language/schema/raw/master/csl-citation.json"}</w:instrText>
      </w:r>
      <w:r w:rsidRPr="00D66245">
        <w:rPr>
          <w:rFonts w:ascii="Palatino Linotype" w:hAnsi="Palatino Linotype" w:cs="Times New Roman"/>
          <w:i/>
          <w:lang w:val="es-ES_tradnl"/>
        </w:rPr>
        <w:fldChar w:fldCharType="separate"/>
      </w:r>
      <w:r w:rsidRPr="00D66245">
        <w:rPr>
          <w:rFonts w:ascii="Palatino Linotype" w:hAnsi="Palatino Linotype" w:cs="Times New Roman"/>
          <w:noProof/>
          <w:lang w:val="es-ES_tradnl"/>
        </w:rPr>
        <w:t>(Alcaíno, 2014, p. 581)</w:t>
      </w:r>
      <w:r w:rsidRPr="00D66245">
        <w:rPr>
          <w:rFonts w:ascii="Palatino Linotype" w:hAnsi="Palatino Linotype" w:cs="Times New Roman"/>
          <w:i/>
          <w:lang w:val="es-ES_tradnl"/>
        </w:rPr>
        <w:fldChar w:fldCharType="end"/>
      </w:r>
      <w:r w:rsidRPr="00D66245">
        <w:rPr>
          <w:rFonts w:ascii="Palatino Linotype" w:hAnsi="Palatino Linotype" w:cs="Times New Roman"/>
          <w:lang w:val="es-ES_tradnl"/>
        </w:rPr>
        <w:t xml:space="preserve"> y comprende la determinación sobre la razonabilidad de la información vertida por el experto dentro de la comunidad científica a la que pertenece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{"citationItems":[{"id":"ITEM-1","itemData":{"author":[{"dropping-particle":"","family":"Duce","given":"Mauricio","non-dropping-particle":"","parse-names":false,"suffix":""}],"id":"ITEM-1","issued":{"date-parts":[["2013"]]},"publisher":"Ediciones Didot","publisher-place":"Buenos Aires","title":"La prueba pericial. Aspectos legales y estatégicos claves para el litigio en los sistemas procesales penales acusatorios","type":"book"},"locator":"79","uris":["http://www.mendeley.com/documents/?uuid=abfa7124-1b58-4897-bac5-027097adf065"]}],"mendeley":{"formattedCitation":"(Duce, 2013b, p. 79)","plainTextFormattedCitation":"(Duce, 2013b, p. 79)","previouslyFormattedCitation":"(Duce, 2013b, p. 79)"},"properties":{"noteIndex":0},"schema":"https://github.com/citation-style-language/schema/raw/master/csl-citation.json"}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(Duce, 2013b, p. 79)</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Es en este rubro en donde el instrumento y la metodología utilizadas se tornan esenciales, pues, por ejemplo, con respecto a la utilización del método de SVA, se ha dicho que “no son lo suficientemente exactos como para ser admitidos como evidencia científica en casos criminales</w:t>
      </w:r>
      <w:r w:rsidRPr="00D66245">
        <w:rPr>
          <w:rFonts w:ascii="Palatino Linotype" w:hAnsi="Palatino Linotype" w:cs="Times New Roman"/>
          <w:i/>
          <w:lang w:val="es-ES_tradnl"/>
        </w:rPr>
        <w:t>”</w:t>
      </w:r>
      <w:r w:rsidRPr="00D66245">
        <w:rPr>
          <w:rFonts w:ascii="Palatino Linotype" w:hAnsi="Palatino Linotype" w:cs="Times New Roman"/>
          <w:lang w:val="es-ES_tradnl"/>
        </w:rPr>
        <w:t xml:space="preserve">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{"citationItems":[{"id":"ITEM-1","itemData":{"DOI":"10.13140/2.1.3978.2729","abstract":"\" probablemente una disputa legal es realmente un conflicto entre narraciones y una decisión judicial es, en realidad, un test de la credibilidad de dos versiones de una narración \" (Crombag, 1989) I. Planteamiento General Desde que en el año mil novecientos ochenta y tres, de forma experimental, el psicólogo entrase a formar parte del personal de la Administración de Justicia, con consolidación de plazas cuatro años después, hasta la actualidad hemos asistido a un incremento exponencial de la presencia de psicólogos en el organigrama de nuestro Sistema de Justicia, en un grado superior a otros técnicos-forenses (Vázquez, 2008). La Ley 1/2000 de Enjuiciamiento Civil al potenciar un proceso presidido por el principio dispositivo o de aportación de parte ha facilitado la participación de la figura del perito psicólogo privado, situación que también se ha producido, aunque en menor medida, en los procesos penales. En definitiva, la figura del psicólogo forense está plenamente integrada en la realidad judicial española, habiendo adquirido un estatus profesional reconocido por los distintos operadores jurídicos y otros profesionales de las ciencias forenses, fruto del riguroso trabajo realizado por los pioneros de la profesión (Santolaya, 2002; Alfaro, Real, Tortosa y Jölluskin, 2004, Chacón, 2008). Pero si hay una parcela donde el informe pericial psicológico, tanto en su vertiente pública como privada, ha adquirido una relevancia especial, reflejada en un incremento significativo en su demanda, ese ha sido el de la evaluación de la credibilidad del testimonio en menores presuntas víctimas de abuso sexual infantil (Ercoli, 2003; Manzanero, 2001). Situación entendible si atendemos a la escasez de medios de prueba que suele acompañar a estos procesos penales (son delitos que se producen en ausencia de testigos, sin dejar evidencias físicas, cuando es intrafamiliar la familia tiende a ocultar los hechos y además el juzgador se encuentra con versiones contradictorias victima-victimario). Tanto el Tribunal Constitucional (STC nº 44/1989 de 20 de febrero) como el Tribunal Supremo (SSTS nºs 732/1997, de 19 de mayo, de 28 de octubre de 1992, de 16 de enero de 1991, y de 18 de septiembre de 1990) establecen el valor de los testimonios infantiles como prueba suficiente para desvirtuar la presunción de inocencia en estos casos. De ahí, la utilidad de estas periciales como ayuda a la toma de decisiones judiciales, reconocida en distinta jurisprudencia del Tribunal Supr…","author":[{"dropping-particle":"","family":"Manzanero","given":"Antonio","non-dropping-particle":"","parse-names":false,"suffix":""},{"dropping-particle":"","family":"Muñoz","given":"José Manuel","non-dropping-particle":"","parse-names":false,"suffix":""}],"id":"ITEM-1","issue":"January 2015","issued":{"date-parts":[["2011"]]},"page":"1-13","title":"La prueba pericial psicológica sobre la credibilidad del testimonio: reflexiones psico-legales","type":"article-journal"},"locator":"9","uris":["http://www.mendeley.com/documents/?uuid=676f8d35-bd17-448e-9d7a-7b6b5072a461"]}],"mendeley":{"formattedCitation":"(Manzanero &amp; Muñoz, 2011, p. 9)","plainTextFormattedCitation":"(Manzanero &amp; Muñoz, 2011, p. 9)","previouslyFormattedCitation":"(Manzanero &amp; Muñoz, 2011, p. 9)"},"properties":{"noteIndex":0},"schema":"https://github.com/citation-style-language/schema/raw/master/csl-citation.json"}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(Manzanero &amp; Muñoz, 2011, p. 9)</w:t>
      </w:r>
      <w:r w:rsidRPr="00D66245">
        <w:rPr>
          <w:rFonts w:ascii="Palatino Linotype" w:hAnsi="Palatino Linotype" w:cs="Times New Roman"/>
          <w:lang w:val="es-ES_tradnl"/>
        </w:rPr>
        <w:fldChar w:fldCharType="end"/>
      </w:r>
      <w:r w:rsidRPr="00D66245">
        <w:rPr>
          <w:rStyle w:val="Refdenotaalpie"/>
          <w:rFonts w:ascii="Palatino Linotype" w:hAnsi="Palatino Linotype" w:cs="Times New Roman"/>
        </w:rPr>
        <w:footnoteReference w:id="440"/>
      </w:r>
      <w:r w:rsidRPr="00D66245">
        <w:rPr>
          <w:rFonts w:ascii="Palatino Linotype" w:hAnsi="Palatino Linotype" w:cs="Times New Roman"/>
          <w:lang w:val="es-ES_tradnl"/>
        </w:rPr>
        <w:t xml:space="preserve">. </w:t>
      </w:r>
    </w:p>
    <w:p w14:paraId="728A7B55"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Desde esta perspectiva, con acierto ha señalado Duce que “este tipo de peritajes no solo debieran ser normalmente excluidos por falta de necesidad de conocimiento experto, sino además por falta de confiabilidad, basada en el hecho de que dentro de la comunidad científica respectiva (psicología y psiquiatría) no existe consenso acerca de la posibilidad de afirmar científicamente si alguien miente o dice la verdad en un caso concreto”</w:t>
      </w:r>
      <w:r w:rsidRPr="00D66245">
        <w:rPr>
          <w:rFonts w:ascii="Palatino Linotype" w:hAnsi="Palatino Linotype" w:cs="Times New Roman"/>
          <w:i/>
          <w:lang w:val="es-ES_tradnl"/>
        </w:rPr>
        <w:t xml:space="preserve"> </w:t>
      </w:r>
      <w:r w:rsidRPr="00D66245">
        <w:rPr>
          <w:rFonts w:ascii="Palatino Linotype" w:hAnsi="Palatino Linotype" w:cs="Times New Roman"/>
          <w:i/>
          <w:lang w:val="es-ES_tradnl"/>
        </w:rPr>
        <w:fldChar w:fldCharType="begin" w:fldLock="1"/>
      </w:r>
      <w:r w:rsidRPr="00D66245">
        <w:rPr>
          <w:rFonts w:ascii="Palatino Linotype" w:hAnsi="Palatino Linotype" w:cs="Times New Roman"/>
          <w:i/>
          <w:lang w:val="es-ES_tradnl"/>
        </w:rPr>
        <w:instrText>ADDIN CSL_CITATION {"citationItems":[{"id":"ITEM-1","itemData":{"author":[{"dropping-particle":"","family":"Duce","given":"Mauricio","non-dropping-particle":"","parse-names":false,"suffix":""}],"id":"ITEM-1","issued":{"date-parts":[["2013"]]},"publisher":"Ediciones Didot","publisher-place":"Buenos Aires","title":"La prueba pericial. Aspectos legales y estatégicos claves para el litigio en los sistemas procesales penales acusatorios","type":"book"},"locator":"85","suppress-author":1,"uris":["http://www.mendeley.com/documents/?uuid=abfa7124-1b58-4897-bac5-027097adf065"]}],"mendeley":{"formattedCitation":"(2013b, p. 85)","plainTextFormattedCitation":"(2013b, p. 85)","previouslyFormattedCitation":"(2013b, p. 85)"},"properties":{"noteIndex":0},"schema":"https://github.com/citation-style-language/schema/raw/master/csl-citation.json"}</w:instrText>
      </w:r>
      <w:r w:rsidRPr="00D66245">
        <w:rPr>
          <w:rFonts w:ascii="Palatino Linotype" w:hAnsi="Palatino Linotype" w:cs="Times New Roman"/>
          <w:i/>
          <w:lang w:val="es-ES_tradnl"/>
        </w:rPr>
        <w:fldChar w:fldCharType="separate"/>
      </w:r>
      <w:r w:rsidRPr="00D66245">
        <w:rPr>
          <w:rFonts w:ascii="Palatino Linotype" w:hAnsi="Palatino Linotype" w:cs="Times New Roman"/>
          <w:noProof/>
          <w:lang w:val="es-ES_tradnl"/>
        </w:rPr>
        <w:t>(2013b, p. 85)</w:t>
      </w:r>
      <w:r w:rsidRPr="00D66245">
        <w:rPr>
          <w:rFonts w:ascii="Palatino Linotype" w:hAnsi="Palatino Linotype" w:cs="Times New Roman"/>
          <w:i/>
          <w:lang w:val="es-ES_tradnl"/>
        </w:rPr>
        <w:fldChar w:fldCharType="end"/>
      </w:r>
      <w:r w:rsidRPr="00D66245">
        <w:rPr>
          <w:rFonts w:ascii="Palatino Linotype" w:hAnsi="Palatino Linotype" w:cs="Times New Roman"/>
          <w:lang w:val="es-ES_tradnl"/>
        </w:rPr>
        <w:t xml:space="preserve">. </w:t>
      </w:r>
    </w:p>
    <w:p w14:paraId="32A5B9F8"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 xml:space="preserve">De esta forma, aunque el término “comunidad científica” sea vago y, en efecto, deba evitarse inferir que la aceptación de dicha comunidad con respecto a cierta teoría implica la verdad de la hipótesis o técnica aplicada”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{"citationItems":[{"id":"ITEM-1","itemData":{"ISBN":"978-84-16402-76-2","author":[{"dropping-particle":"","family":"Vázquez","given":"Carmen","non-dropping-particle":"","parse-names":false,"suffix":""}],"edition":"Primera ed","id":"ITEM-1","issued":{"date-parts":[["2015"]]},"number-of-pages":"310","publisher":"Marcial Pons","title":"De la prueba científica a la prueba pericial","type":"book"},"locator":"121-124","uris":["http://www.mendeley.com/documents/?uuid=a4f6242f-468d-49a7-a49c-2ae15ee36969"]}],"mendeley":{"formattedCitation":"(Vázquez, 2015, pp. 121–124)","plainTextFormattedCitation":"(Vázquez, 2015, pp. 121–124)","previouslyFormattedCitation":"(Vázquez, 2015, pp. 121–124)"},"properties":{"noteIndex":0},"schema":"https://github.com/citation-style-language/schema/raw/master/csl-citation.json"}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(Vázquez, 2015, pp. 121–124)</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parece adecuado sostener que, siendo el aspecto definitorio de la prueba pericial precisamente su carácter excepcional con respecto al conocimiento “común”, por decirlo de algún modo, deba superarse un umbral mínimo en torno a la técnica que se pretenda emplear para incursionar en las entrañas del aspecto que se trate, siendo posible que se pondere la relación costo-beneficio de la admisión de prueba pericial feble en el proceso, sin que esto constituya, a mi criterio, necesariamente una condición del llamado paternalismo epistémico</w:t>
      </w:r>
      <w:r w:rsidRPr="00D66245">
        <w:rPr>
          <w:rStyle w:val="Refdenotaalpie"/>
          <w:rFonts w:ascii="Palatino Linotype" w:hAnsi="Palatino Linotype" w:cs="Times New Roman"/>
        </w:rPr>
        <w:footnoteReference w:id="441"/>
      </w:r>
      <w:r w:rsidRPr="00D66245">
        <w:rPr>
          <w:rFonts w:ascii="Palatino Linotype" w:hAnsi="Palatino Linotype" w:cs="Times New Roman"/>
          <w:lang w:val="es-ES_tradnl"/>
        </w:rPr>
        <w:t>.</w:t>
      </w:r>
    </w:p>
    <w:p w14:paraId="1ADC3D0E"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Ahora bien, en la hipótesis de que se agregue una variable relacionada con la existencia de alguna anomalía psicológico-cognitiva, en definitiva se daría un cambio en cuanto a lo dicho hasta acá, esencialmente en lo relacionado con la necesidad del peritaje. La determinación de una condición que de alguna manera implique la merma de la capacidad cognitiva de un sujeto, sin duda alguna es un área que, en principio, podría requerir el conocimiento experto</w:t>
      </w:r>
      <w:r w:rsidRPr="00D66245">
        <w:rPr>
          <w:rStyle w:val="Refdenotaalpie"/>
          <w:rFonts w:ascii="Palatino Linotype" w:hAnsi="Palatino Linotype" w:cs="Times New Roman"/>
        </w:rPr>
        <w:footnoteReference w:id="442"/>
      </w:r>
      <w:r w:rsidRPr="00D66245">
        <w:rPr>
          <w:rFonts w:ascii="Palatino Linotype" w:hAnsi="Palatino Linotype" w:cs="Times New Roman"/>
          <w:lang w:val="es-ES_tradnl"/>
        </w:rPr>
        <w:t xml:space="preserve">. No obstante, debe enfatizarse que, ante este supuesto, el peritaje sería necesario pero no particularmente sobre la credibilidad del testimonio de la persona deponente, sino sobre su condición y el grado de afectación que podría representar en su relato, para lo cuál podría emularse la experiencia canadiense, en torno a la diferenciación entre prueba sobre credibilidad y prueba relevante para la credibilidad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{"citationItems":[{"id":"ITEM-1","itemData":{"author":[{"dropping-particle":"","family":"Duce","given":"Mauricio","non-dropping-particle":"","parse-names":false,"suffix":""}],"id":"ITEM-1","issued":{"date-parts":[["2013"]]},"publisher":"Ediciones Didot","publisher-place":"Buenos Aires","title":"La prueba pericial. Aspectos legales y estatégicos claves para el litigio en los sistemas procesales penales acusatorios","type":"book"},"locator":"74","uris":["http://www.mendeley.com/documents/?uuid=abfa7124-1b58-4897-bac5-027097adf065"]}],"mendeley":{"formattedCitation":"(Duce, 2013b, p. 74)","plainTextFormattedCitation":"(Duce, 2013b, p. 74)","previouslyFormattedCitation":"(Duce, 2013b, p. 74)"},"properties":{"noteIndex":0},"schema":"https://github.com/citation-style-language/schema/raw/master/csl-citation.json"}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(Duce, 2013b, p. 74)</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xml:space="preserve">. </w:t>
      </w:r>
    </w:p>
    <w:p w14:paraId="59377383"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 xml:space="preserve">A partir de esta distinción, con la inclusión hipotética del dato indicado, la prueba pericial podría ser necesaria para (no sobre) la credibilidad de la persona testigo, debiendo advertirse al experto que no debe abordar aspectos propios de la credibilidad. A partir del razonamiento expuesto, evidentemente también se cumpliría con el estándar de confiabilidad, pues la aplicación del conocimiento experto se daría a partir de métodos más fiables y direccionados a la acreditación de otro rubro (la capacidad cognitiva de la persona y la implicación de esa condición en su memoria), frente a las debilidades que presentan métodos como el SVA. </w:t>
      </w:r>
    </w:p>
    <w:p w14:paraId="12F5381E"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 xml:space="preserve">Puede pensarse en la inclusión de una variable adicional, ya no relacionada con una condición psicológica específica, sino relativa, por ejemplo, a la edad de la persona evaluada. Bajo esta distinción, considero que no se presentaría ninguna rectificación con respecto a lo dicho sobre el cumplimiento de los criterios de admisibilidad en el caso base, de forma que el peritaje no cumpliría con los requerimientos de necesidad y confiabilidad, en la mayoría de los casos. A pesar de que la literatura especializada ha avalado, no sin precisar las advertencias sobre las limitaciones ingénitas de métodos como el SVA, la admisión de este tipo de pericias exclusivamente en casos de abuso sexual infantil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{"citationItems":[{"id":"ITEM-1","itemData":{"DOI":"10.13140/2.1.3978.2729","abstract":"\" probablemente una disputa legal es realmente un conflicto entre narraciones y una decisión judicial es, en realidad, un test de la credibilidad de dos versiones de una narración \" (Crombag, 1989) I. Planteamiento General Desde que en el año mil novecientos ochenta y tres, de forma experimental, el psicólogo entrase a formar parte del personal de la Administración de Justicia, con consolidación de plazas cuatro años después, hasta la actualidad hemos asistido a un incremento exponencial de la presencia de psicólogos en el organigrama de nuestro Sistema de Justicia, en un grado superior a otros técnicos-forenses (Vázquez, 2008). La Ley 1/2000 de Enjuiciamiento Civil al potenciar un proceso presidido por el principio dispositivo o de aportación de parte ha facilitado la participación de la figura del perito psicólogo privado, situación que también se ha producido, aunque en menor medida, en los procesos penales. En definitiva, la figura del psicólogo forense está plenamente integrada en la realidad judicial española, habiendo adquirido un estatus profesional reconocido por los distintos operadores jurídicos y otros profesionales de las ciencias forenses, fruto del riguroso trabajo realizado por los pioneros de la profesión (Santolaya, 2002; Alfaro, Real, Tortosa y Jölluskin, 2004, Chacón, 2008). Pero si hay una parcela donde el informe pericial psicológico, tanto en su vertiente pública como privada, ha adquirido una relevancia especial, reflejada en un incremento significativo en su demanda, ese ha sido el de la evaluación de la credibilidad del testimonio en menores presuntas víctimas de abuso sexual infantil (Ercoli, 2003; Manzanero, 2001). Situación entendible si atendemos a la escasez de medios de prueba que suele acompañar a estos procesos penales (son delitos que se producen en ausencia de testigos, sin dejar evidencias físicas, cuando es intrafamiliar la familia tiende a ocultar los hechos y además el juzgador se encuentra con versiones contradictorias victima-victimario). Tanto el Tribunal Constitucional (STC nº 44/1989 de 20 de febrero) como el Tribunal Supremo (SSTS nºs 732/1997, de 19 de mayo, de 28 de octubre de 1992, de 16 de enero de 1991, y de 18 de septiembre de 1990) establecen el valor de los testimonios infantiles como prueba suficiente para desvirtuar la presunción de inocencia en estos casos. De ahí, la utilidad de estas periciales como ayuda a la toma de decisiones judiciales, reconocida en distinta jurisprudencia del Tribunal Supr…","author":[{"dropping-particle":"","family":"Manzanero","given":"Antonio","non-dropping-particle":"","parse-names":false,"suffix":""},{"dropping-particle":"","family":"Muñoz","given":"José Manuel","non-dropping-particle":"","parse-names":false,"suffix":""}],"id":"ITEM-1","issue":"January 2015","issued":{"date-parts":[["2011"]]},"page":"1-13","title":"La prueba pericial psicológica sobre la credibilidad del testimonio: reflexiones psico-legales","type":"article-journal"},"locator":"10","uris":["http://www.mendeley.com/documents/?uuid=676f8d35-bd17-448e-9d7a-7b6b5072a461"]}],"mendeley":{"formattedCitation":"(Manzanero &amp; Muñoz, 2011, p. 10)","plainTextFormattedCitation":"(Manzanero &amp; Muñoz, 2011, p. 10)","previouslyFormattedCitation":"(Manzanero &amp; Muñoz, 2011, p. 10)"},"properties":{"noteIndex":0},"schema":"https://github.com/citation-style-language/schema/raw/master/csl-citation.json"}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(Manzanero &amp; Muñoz, 2011, p. 10)</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xml:space="preserve">, y a pesar de que algún sector de la doctrina también lo ha aprobado en este tipo de casos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{"citationItems":[{"id":"ITEM-1","itemData":{"author":[{"dropping-particle":"","family":"Duce","given":"Mauricio","non-dropping-particle":"","parse-names":false,"suffix":""}],"id":"ITEM-1","issued":{"date-parts":[["2013"]]},"publisher":"Ediciones Didot","publisher-place":"Buenos Aires","title":"La prueba pericial. Aspectos legales y estatégicos claves para el litigio en los sistemas procesales penales acusatorios","type":"book"},"locator":"74","uris":["http://www.mendeley.com/documents/?uuid=abfa7124-1b58-4897-bac5-027097adf065"]}],"mendeley":{"formattedCitation":"(Duce, 2013b, p. 74)","manualFormatting":"(sobre el particular puede verse Duce, 2013, p. 74)","plainTextFormattedCitation":"(Duce, 2013b, p. 74)","previouslyFormattedCitation":"(Duce, 2013b, p. 74)"},"properties":{"noteIndex":0},"schema":"https://github.com/citation-style-language/schema/raw/master/csl-citation.json"}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(sobre el particular puede verse Duce, 2013, p. 74)</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me parece que esa flexibilización es producto de la manifiesta inviabilidad de abolir el uso de este tipo de peritajes en todos los asuntos, por lo que se ha intentado al menos disminuir su uso a aquellos que presenten mayores posibilidades de éxito</w:t>
      </w:r>
      <w:r w:rsidRPr="00D66245">
        <w:rPr>
          <w:rStyle w:val="Refdenotaalpie"/>
          <w:rFonts w:ascii="Palatino Linotype" w:hAnsi="Palatino Linotype" w:cs="Times New Roman"/>
        </w:rPr>
        <w:footnoteReference w:id="443"/>
      </w:r>
      <w:r w:rsidRPr="00D66245">
        <w:rPr>
          <w:rFonts w:ascii="Palatino Linotype" w:hAnsi="Palatino Linotype" w:cs="Times New Roman"/>
          <w:lang w:val="es-ES_tradnl"/>
        </w:rPr>
        <w:t xml:space="preserve">. </w:t>
      </w:r>
    </w:p>
    <w:p w14:paraId="33371015"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 xml:space="preserve">Sin embargo, si se evalúa de forma rigurosa este tipo de pericias de credibilidad, sea en niños, adolecentes o adultos, la ausencia de necesidad, por tratarse, en cualquier caso, de la evaluación de un testimonio, competencia exclusiva del juez, y la falta de confiabilidad, dado que conlleva un método que, por ejemplo, no cumple con dos de los criterios Daubert: porcentaje de error superior al tolerable y no aceptación por la comunidad científica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{"citationItems":[{"id":"ITEM-1","itemData":{"DOI":"10.13140/2.1.3978.2729","abstract":"\" probablemente una disputa legal es realmente un conflicto entre narraciones y una decisión judicial es, en realidad, un test de la credibilidad de dos versiones de una narración \" (Crombag, 1989) I. Planteamiento General Desde que en el año mil novecientos ochenta y tres, de forma experimental, el psicólogo entrase a formar parte del personal de la Administración de Justicia, con consolidación de plazas cuatro años después, hasta la actualidad hemos asistido a un incremento exponencial de la presencia de psicólogos en el organigrama de nuestro Sistema de Justicia, en un grado superior a otros técnicos-forenses (Vázquez, 2008). La Ley 1/2000 de Enjuiciamiento Civil al potenciar un proceso presidido por el principio dispositivo o de aportación de parte ha facilitado la participación de la figura del perito psicólogo privado, situación que también se ha producido, aunque en menor medida, en los procesos penales. En definitiva, la figura del psicólogo forense está plenamente integrada en la realidad judicial española, habiendo adquirido un estatus profesional reconocido por los distintos operadores jurídicos y otros profesionales de las ciencias forenses, fruto del riguroso trabajo realizado por los pioneros de la profesión (Santolaya, 2002; Alfaro, Real, Tortosa y Jölluskin, 2004, Chacón, 2008). Pero si hay una parcela donde el informe pericial psicológico, tanto en su vertiente pública como privada, ha adquirido una relevancia especial, reflejada en un incremento significativo en su demanda, ese ha sido el de la evaluación de la credibilidad del testimonio en menores presuntas víctimas de abuso sexual infantil (Ercoli, 2003; Manzanero, 2001). Situación entendible si atendemos a la escasez de medios de prueba que suele acompañar a estos procesos penales (son delitos que se producen en ausencia de testigos, sin dejar evidencias físicas, cuando es intrafamiliar la familia tiende a ocultar los hechos y además el juzgador se encuentra con versiones contradictorias victima-victimario). Tanto el Tribunal Constitucional (STC nº 44/1989 de 20 de febrero) como el Tribunal Supremo (SSTS nºs 732/1997, de 19 de mayo, de 28 de octubre de 1992, de 16 de enero de 1991, y de 18 de septiembre de 1990) establecen el valor de los testimonios infantiles como prueba suficiente para desvirtuar la presunción de inocencia en estos casos. De ahí, la utilidad de estas periciales como ayuda a la toma de decisiones judiciales, reconocida en distinta jurisprudencia del Tribunal Supr…","author":[{"dropping-particle":"","family":"Manzanero","given":"Antonio","non-dropping-particle":"","parse-names":false,"suffix":""},{"dropping-particle":"","family":"Muñoz","given":"José Manuel","non-dropping-particle":"","parse-names":false,"suffix":""}],"id":"ITEM-1","issue":"January 2015","issued":{"date-parts":[["2011"]]},"page":"1-13","title":"La prueba pericial psicológica sobre la credibilidad del testimonio: reflexiones psico-legales","type":"article-journal"},"locator":"9","uris":["http://www.mendeley.com/documents/?uuid=676f8d35-bd17-448e-9d7a-7b6b5072a461"]},{"id":"ITEM-2","itemData":{"author":[{"dropping-particle":"","family":"Duce","given":"Mauricio","non-dropping-particle":"","parse-names":false,"suffix":""}],"id":"ITEM-2","issued":{"date-parts":[["2013"]]},"publisher":"Ediciones Didot","publisher-place":"Buenos Aires","title":"La prueba pericial. Aspectos legales y estatégicos claves para el litigio en los sistemas procesales penales acusatorios","type":"book"},"locator":"85-86","uris":["http://www.mendeley.com/documents/?uuid=abfa7124-1b58-4897-bac5-027097adf065"]},{"id":"ITEM-3","itemData":{"ISBN":"978-84-16402-76-2","author":[{"dropping-particle":"","family":"Vázquez","given":"Carmen","non-dropping-particle":"","parse-names":false,"suffix":""}],"edition":"Primera ed","id":"ITEM-3","issued":{"date-parts":[["2015"]]},"number-of-pages":"310","publisher":"Marcial Pons","title":"De la prueba científica a la prueba pericial","type":"book"},"locator":"103-148","uris":["http://www.mendeley.com/documents/?uuid=a4f6242f-468d-49a7-a49c-2ae15ee36969"]}],"mendeley":{"formattedCitation":"(Duce, 2013b, pp. 85–86; Manzanero &amp; Muñoz, 2011, p. 9; Vázquez, 2015, pp. 103–148)","manualFormatting":"(Duce, 2013, pp. 85–86; Manzanero &amp; Muñoz, 2011, p. 9; cfr. críticamente sobre los factores Daubert y los casos Joiner y Kumho: Vázquez, 2015, pp. 103–148)","plainTextFormattedCitation":"(Duce, 2013b, pp. 85–86; Manzanero &amp; Muñoz, 2011, p. 9; Vázquez, 2015, pp. 103–148)","previouslyFormattedCitation":"(Duce, 2013b, pp. 85–86; Manzanero &amp; Muñoz, 2011, p. 9; Vázquez, 2015, pp. 103–148)"},"properties":{"noteIndex":0},"schema":"https://github.com/citation-style-language/schema/raw/master/csl-citation.json"}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(Duce, 2013, pp. 85–86; Manzanero &amp; Muñoz, 2011, p. 9; cfr. críticamente sobre los factores Daubert y los casos Joiner y Kumho: Vázquez, 2015, pp. 103–148)</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xml:space="preserve">, no presenta variación alguna. </w:t>
      </w:r>
    </w:p>
    <w:p w14:paraId="1AA0999E"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A diferencia del primer supuesto hipotético, en el que existe una condición psicopatológica que pudiera ser aclarada por el experto, en este último caso la simple variación de la edad no afecta las consideraciones críticas efectuadas con respecto a la ausencia de necesidad y confiabilidad en los peritajes de credibilidad que, como se ha referido, salvo casos verdaderamente excepcionales, deberían ser inadmitidos como medios de pruebas.</w:t>
      </w:r>
    </w:p>
    <w:p w14:paraId="7DF1A133" w14:textId="77777777" w:rsidR="00B377B2" w:rsidRPr="00D66245" w:rsidRDefault="00B377B2" w:rsidP="00BC0DD2">
      <w:pPr>
        <w:pStyle w:val="Prrafodelista"/>
        <w:numPr>
          <w:ilvl w:val="0"/>
          <w:numId w:val="10"/>
        </w:numPr>
        <w:spacing w:before="120" w:after="200" w:line="240" w:lineRule="auto"/>
        <w:ind w:left="0" w:firstLine="0"/>
        <w:contextualSpacing w:val="0"/>
        <w:jc w:val="both"/>
        <w:rPr>
          <w:rFonts w:ascii="Palatino Linotype" w:hAnsi="Palatino Linotype" w:cs="Times New Roman"/>
          <w:b/>
          <w:lang w:val="es-ES_tradnl"/>
        </w:rPr>
      </w:pPr>
      <w:r w:rsidRPr="00D66245">
        <w:rPr>
          <w:rFonts w:ascii="Palatino Linotype" w:hAnsi="Palatino Linotype" w:cs="Times New Roman"/>
          <w:b/>
          <w:lang w:val="es-ES_tradnl"/>
        </w:rPr>
        <w:t>Conclusiones</w:t>
      </w:r>
    </w:p>
    <w:p w14:paraId="656CED82" w14:textId="77777777" w:rsidR="00B377B2" w:rsidRPr="00D66245" w:rsidRDefault="00B377B2" w:rsidP="00BC0DD2">
      <w:pPr>
        <w:pStyle w:val="Prrafodelista"/>
        <w:numPr>
          <w:ilvl w:val="0"/>
          <w:numId w:val="20"/>
        </w:numPr>
        <w:spacing w:before="120" w:after="200" w:line="240" w:lineRule="auto"/>
        <w:ind w:left="0" w:firstLine="0"/>
        <w:contextualSpacing w:val="0"/>
        <w:jc w:val="both"/>
        <w:rPr>
          <w:rFonts w:ascii="Palatino Linotype" w:hAnsi="Palatino Linotype" w:cs="Times New Roman"/>
          <w:lang w:val="es-ES_tradnl"/>
        </w:rPr>
      </w:pPr>
      <w:r w:rsidRPr="00D66245">
        <w:rPr>
          <w:rFonts w:ascii="Palatino Linotype" w:hAnsi="Palatino Linotype" w:cs="Times New Roman"/>
          <w:b/>
          <w:lang w:val="es-ES_tradnl"/>
        </w:rPr>
        <w:t>En cuanto al testimonio</w:t>
      </w:r>
      <w:r w:rsidRPr="00D66245">
        <w:rPr>
          <w:rFonts w:ascii="Palatino Linotype" w:hAnsi="Palatino Linotype" w:cs="Times New Roman"/>
          <w:lang w:val="es-ES_tradnl"/>
        </w:rPr>
        <w:t>:</w:t>
      </w:r>
    </w:p>
    <w:p w14:paraId="277D3F37" w14:textId="77777777" w:rsidR="00B377B2" w:rsidRPr="00D66245" w:rsidRDefault="00B377B2" w:rsidP="00F53211">
      <w:pPr>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La valoración del testimonio en sede judicial debe replantearse, si se quiere mantener un ejercicio racional e intersubjetivamente controlable al enfrentarse a este tipo de prueba. Para ello, al menos se debe:</w:t>
      </w:r>
    </w:p>
    <w:p w14:paraId="08E32C76" w14:textId="77777777" w:rsidR="00B377B2" w:rsidRPr="00D66245" w:rsidRDefault="00B377B2" w:rsidP="00F53211">
      <w:pPr>
        <w:pStyle w:val="Prrafodelista"/>
        <w:numPr>
          <w:ilvl w:val="0"/>
          <w:numId w:val="21"/>
        </w:numPr>
        <w:spacing w:before="120" w:after="200" w:line="240" w:lineRule="auto"/>
        <w:contextualSpacing w:val="0"/>
        <w:jc w:val="both"/>
        <w:rPr>
          <w:rFonts w:ascii="Palatino Linotype" w:hAnsi="Palatino Linotype" w:cs="Times New Roman"/>
          <w:lang w:val="es-ES_tradnl"/>
        </w:rPr>
      </w:pPr>
      <w:r w:rsidRPr="00D66245">
        <w:rPr>
          <w:rFonts w:ascii="Palatino Linotype" w:hAnsi="Palatino Linotype" w:cs="Times New Roman"/>
          <w:lang w:val="es-ES_tradnl"/>
        </w:rPr>
        <w:t>Excluir la intuición de la valoración del testimonio.</w:t>
      </w:r>
    </w:p>
    <w:p w14:paraId="0E2D68C3" w14:textId="77777777" w:rsidR="00B377B2" w:rsidRPr="00D66245" w:rsidRDefault="00B377B2" w:rsidP="00F53211">
      <w:pPr>
        <w:pStyle w:val="Prrafodelista"/>
        <w:numPr>
          <w:ilvl w:val="0"/>
          <w:numId w:val="21"/>
        </w:numPr>
        <w:spacing w:before="120" w:after="200" w:line="240" w:lineRule="auto"/>
        <w:contextualSpacing w:val="0"/>
        <w:jc w:val="both"/>
        <w:rPr>
          <w:rFonts w:ascii="Palatino Linotype" w:hAnsi="Palatino Linotype" w:cs="Times New Roman"/>
          <w:lang w:val="es-ES_tradnl"/>
        </w:rPr>
      </w:pPr>
      <w:r w:rsidRPr="00D66245">
        <w:rPr>
          <w:rFonts w:ascii="Palatino Linotype" w:hAnsi="Palatino Linotype" w:cs="Times New Roman"/>
          <w:lang w:val="es-ES_tradnl"/>
        </w:rPr>
        <w:t>Desatender la consolidada relevancia del conductismo, de forma que se evalúe el testimonio y no al testigo.</w:t>
      </w:r>
    </w:p>
    <w:p w14:paraId="7F18B5A9" w14:textId="77777777" w:rsidR="00B377B2" w:rsidRPr="00D66245" w:rsidRDefault="00B377B2" w:rsidP="00F53211">
      <w:pPr>
        <w:pStyle w:val="Prrafodelista"/>
        <w:numPr>
          <w:ilvl w:val="0"/>
          <w:numId w:val="21"/>
        </w:numPr>
        <w:spacing w:before="120" w:after="200" w:line="240" w:lineRule="auto"/>
        <w:contextualSpacing w:val="0"/>
        <w:jc w:val="both"/>
        <w:rPr>
          <w:rFonts w:ascii="Palatino Linotype" w:hAnsi="Palatino Linotype" w:cs="Times New Roman"/>
          <w:lang w:val="es-ES_tradnl"/>
        </w:rPr>
      </w:pPr>
      <w:r w:rsidRPr="00D66245">
        <w:rPr>
          <w:rFonts w:ascii="Palatino Linotype" w:hAnsi="Palatino Linotype" w:cs="Times New Roman"/>
          <w:lang w:val="es-ES_tradnl"/>
        </w:rPr>
        <w:t>Desestimar la llamada “concepción mística” de la inmediación.</w:t>
      </w:r>
    </w:p>
    <w:p w14:paraId="71FE16C4" w14:textId="77777777" w:rsidR="00B377B2" w:rsidRPr="00D66245" w:rsidRDefault="00B377B2" w:rsidP="00F53211">
      <w:pPr>
        <w:pStyle w:val="Prrafodelista"/>
        <w:numPr>
          <w:ilvl w:val="0"/>
          <w:numId w:val="21"/>
        </w:numPr>
        <w:spacing w:before="120" w:after="200" w:line="240" w:lineRule="auto"/>
        <w:contextualSpacing w:val="0"/>
        <w:jc w:val="both"/>
        <w:rPr>
          <w:rFonts w:ascii="Palatino Linotype" w:hAnsi="Palatino Linotype" w:cs="Times New Roman"/>
          <w:lang w:val="es-ES_tradnl"/>
        </w:rPr>
      </w:pPr>
      <w:r w:rsidRPr="00D66245">
        <w:rPr>
          <w:rFonts w:ascii="Palatino Linotype" w:hAnsi="Palatino Linotype" w:cs="Times New Roman"/>
          <w:lang w:val="es-ES_tradnl"/>
        </w:rPr>
        <w:t>Aplicar el conocimiento derivado de la psicología del testimonio y otras áreas de estudio al análisis de la prueba testimonial.</w:t>
      </w:r>
    </w:p>
    <w:p w14:paraId="3BBC5F81" w14:textId="77777777" w:rsidR="00B377B2" w:rsidRPr="00D66245" w:rsidRDefault="00B377B2" w:rsidP="00F53211">
      <w:pPr>
        <w:pStyle w:val="Prrafodelista"/>
        <w:numPr>
          <w:ilvl w:val="0"/>
          <w:numId w:val="21"/>
        </w:numPr>
        <w:spacing w:before="120" w:after="200" w:line="240" w:lineRule="auto"/>
        <w:contextualSpacing w:val="0"/>
        <w:jc w:val="both"/>
        <w:rPr>
          <w:rFonts w:ascii="Palatino Linotype" w:hAnsi="Palatino Linotype" w:cs="Times New Roman"/>
          <w:lang w:val="es-ES_tradnl"/>
        </w:rPr>
      </w:pPr>
      <w:r w:rsidRPr="00D66245">
        <w:rPr>
          <w:rFonts w:ascii="Palatino Linotype" w:hAnsi="Palatino Linotype" w:cs="Times New Roman"/>
          <w:lang w:val="es-ES_tradnl"/>
        </w:rPr>
        <w:t>Afianzar una estructura de análisis que permita evaluar aquellas circunstancias del testimonio que sí pueden ser controladas por las partes y el órgano decisor, mismas que no serán taxativas, pero que pueden incluir aspectos tales como la coherencia del relato, su contextualización, la existencia de corroboraciones periféricas y la presencia de detalles oportunistas a favor del declarante.</w:t>
      </w:r>
    </w:p>
    <w:p w14:paraId="44A8ACE8" w14:textId="77777777" w:rsidR="00B377B2" w:rsidRPr="00D66245" w:rsidRDefault="00B377B2" w:rsidP="00F53211">
      <w:pPr>
        <w:pStyle w:val="Prrafodelista"/>
        <w:numPr>
          <w:ilvl w:val="0"/>
          <w:numId w:val="21"/>
        </w:numPr>
        <w:spacing w:before="120" w:after="200" w:line="240" w:lineRule="auto"/>
        <w:contextualSpacing w:val="0"/>
        <w:jc w:val="both"/>
        <w:rPr>
          <w:rFonts w:ascii="Palatino Linotype" w:hAnsi="Palatino Linotype" w:cs="Times New Roman"/>
          <w:lang w:val="es-ES_tradnl"/>
        </w:rPr>
      </w:pPr>
      <w:r w:rsidRPr="00D66245">
        <w:rPr>
          <w:rFonts w:ascii="Palatino Linotype" w:hAnsi="Palatino Linotype" w:cs="Times New Roman"/>
          <w:lang w:val="es-ES_tradnl"/>
        </w:rPr>
        <w:t>Cuando se afronte la declaración de menores de edad, en la medida de lo posible, deberán realizarse la menor cantidad de intervenciones, siendo lo deseable que el abordaje se efectúe en una única entrevista, diligencia que tendrá que ser videograbada y practicada por expertos en el área de la psicología forense infantil.</w:t>
      </w:r>
    </w:p>
    <w:p w14:paraId="15FE2058" w14:textId="77777777" w:rsidR="00B377B2" w:rsidRPr="00D66245" w:rsidRDefault="00B377B2" w:rsidP="00F53211">
      <w:pPr>
        <w:pStyle w:val="Prrafodelista"/>
        <w:numPr>
          <w:ilvl w:val="0"/>
          <w:numId w:val="21"/>
        </w:numPr>
        <w:spacing w:before="120" w:after="200" w:line="240" w:lineRule="auto"/>
        <w:contextualSpacing w:val="0"/>
        <w:jc w:val="both"/>
        <w:rPr>
          <w:rFonts w:ascii="Palatino Linotype" w:hAnsi="Palatino Linotype" w:cs="Times New Roman"/>
          <w:lang w:val="es-ES_tradnl"/>
        </w:rPr>
      </w:pPr>
      <w:r w:rsidRPr="00D66245">
        <w:rPr>
          <w:rFonts w:ascii="Palatino Linotype" w:hAnsi="Palatino Linotype" w:cs="Times New Roman"/>
          <w:lang w:val="es-ES_tradnl"/>
        </w:rPr>
        <w:t>En cuanto a la evaluación del testimonio de la víctima de un delito, principalmente cuando este sea el único medio probatorio existente, deben evitarse la tendencia a creer que se trata de una suerte de “testigo privilegiado”, lo que ha sido desmentido por la psicología del testimonio, así como el establecimiento casuístico de estándares probatorios diferenciados, valoraciones que incurren en la falacia de petición de principio, la relativización del principio de presunción de inocencia y la consecuente merma de los derechos y garantías que asisten al imputado, además de las llamadas preposiciones sociales.</w:t>
      </w:r>
    </w:p>
    <w:p w14:paraId="0C954724" w14:textId="77777777" w:rsidR="00B377B2" w:rsidRPr="00D66245" w:rsidRDefault="00B377B2" w:rsidP="00BC0DD2">
      <w:pPr>
        <w:pStyle w:val="Prrafodelista"/>
        <w:widowControl w:val="0"/>
        <w:numPr>
          <w:ilvl w:val="0"/>
          <w:numId w:val="20"/>
        </w:numPr>
        <w:autoSpaceDE w:val="0"/>
        <w:autoSpaceDN w:val="0"/>
        <w:adjustRightInd w:val="0"/>
        <w:spacing w:before="120" w:after="200" w:line="240" w:lineRule="auto"/>
        <w:ind w:left="0" w:firstLine="0"/>
        <w:contextualSpacing w:val="0"/>
        <w:jc w:val="both"/>
        <w:rPr>
          <w:rFonts w:ascii="Palatino Linotype" w:hAnsi="Palatino Linotype" w:cs="Times New Roman"/>
          <w:b/>
          <w:lang w:val="es-ES_tradnl"/>
        </w:rPr>
      </w:pPr>
      <w:r w:rsidRPr="00D66245">
        <w:rPr>
          <w:rFonts w:ascii="Palatino Linotype" w:hAnsi="Palatino Linotype" w:cs="Times New Roman"/>
          <w:b/>
          <w:lang w:val="es-ES_tradnl"/>
        </w:rPr>
        <w:t>En cuanto a las diligencias de reconocimiento ocular:</w:t>
      </w:r>
    </w:p>
    <w:p w14:paraId="32CFEEA2"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 xml:space="preserve">A la hora de evaluar un reconocimiento ocular en sede judicial, es preciso tomar en consideración las </w:t>
      </w:r>
      <w:r w:rsidRPr="00D66245">
        <w:rPr>
          <w:rFonts w:ascii="Palatino Linotype" w:hAnsi="Palatino Linotype" w:cs="Times New Roman"/>
          <w:i/>
          <w:lang w:val="es-ES_tradnl"/>
        </w:rPr>
        <w:t>variables a estimar</w:t>
      </w:r>
      <w:r w:rsidRPr="00D66245">
        <w:rPr>
          <w:rFonts w:ascii="Palatino Linotype" w:hAnsi="Palatino Linotype" w:cs="Times New Roman"/>
          <w:lang w:val="es-ES_tradnl"/>
        </w:rPr>
        <w:t xml:space="preserve">, las </w:t>
      </w:r>
      <w:r w:rsidRPr="00D66245">
        <w:rPr>
          <w:rFonts w:ascii="Palatino Linotype" w:hAnsi="Palatino Linotype" w:cs="Times New Roman"/>
          <w:i/>
          <w:lang w:val="es-ES_tradnl"/>
        </w:rPr>
        <w:t>variables del sistema</w:t>
      </w:r>
      <w:r w:rsidRPr="00D66245">
        <w:rPr>
          <w:rFonts w:ascii="Palatino Linotype" w:hAnsi="Palatino Linotype" w:cs="Times New Roman"/>
          <w:lang w:val="es-ES_tradnl"/>
        </w:rPr>
        <w:t xml:space="preserve"> y los </w:t>
      </w:r>
      <w:r w:rsidRPr="00D66245">
        <w:rPr>
          <w:rFonts w:ascii="Palatino Linotype" w:hAnsi="Palatino Linotype" w:cs="Times New Roman"/>
          <w:i/>
          <w:lang w:val="es-ES_tradnl"/>
        </w:rPr>
        <w:t>factores de retención</w:t>
      </w:r>
      <w:r w:rsidRPr="00D66245">
        <w:rPr>
          <w:rFonts w:ascii="Palatino Linotype" w:hAnsi="Palatino Linotype" w:cs="Times New Roman"/>
          <w:lang w:val="es-ES_tradnl"/>
        </w:rPr>
        <w:t>. En el ámbito costarricense, efectuado el diagnóstico y esbozados los principales problemas presentes, sugiero tres grandes áreas</w:t>
      </w:r>
      <w:r w:rsidRPr="00D66245">
        <w:rPr>
          <w:rStyle w:val="Refdenotaalpie"/>
          <w:rFonts w:ascii="Palatino Linotype" w:hAnsi="Palatino Linotype" w:cs="Times New Roman"/>
          <w:vertAlign w:val="baseline"/>
          <w:lang w:val="es-ES_tradnl"/>
        </w:rPr>
        <w:footnoteReference w:id="444"/>
      </w:r>
      <w:r w:rsidRPr="00D66245">
        <w:rPr>
          <w:rFonts w:ascii="Palatino Linotype" w:hAnsi="Palatino Linotype" w:cs="Times New Roman"/>
          <w:lang w:val="es-ES_tradnl"/>
        </w:rPr>
        <w:t xml:space="preserve"> en donde deberían enfilarse esfuerzos, si se quiere mejorar la práctica de este tipo de diligencias:</w:t>
      </w:r>
    </w:p>
    <w:p w14:paraId="74B21217" w14:textId="77777777" w:rsidR="00B377B2" w:rsidRPr="00D66245" w:rsidRDefault="00B377B2" w:rsidP="00BC0DD2">
      <w:pPr>
        <w:pStyle w:val="Prrafodelista"/>
        <w:widowControl w:val="0"/>
        <w:numPr>
          <w:ilvl w:val="0"/>
          <w:numId w:val="22"/>
        </w:numPr>
        <w:autoSpaceDE w:val="0"/>
        <w:autoSpaceDN w:val="0"/>
        <w:adjustRightInd w:val="0"/>
        <w:spacing w:before="120" w:after="200" w:line="240" w:lineRule="auto"/>
        <w:ind w:left="0" w:firstLine="142"/>
        <w:contextualSpacing w:val="0"/>
        <w:jc w:val="both"/>
        <w:rPr>
          <w:rFonts w:ascii="Palatino Linotype" w:hAnsi="Palatino Linotype" w:cs="Times New Roman"/>
          <w:b/>
          <w:lang w:val="es-ES_tradnl"/>
        </w:rPr>
      </w:pPr>
      <w:r w:rsidRPr="00D66245">
        <w:rPr>
          <w:rFonts w:ascii="Palatino Linotype" w:hAnsi="Palatino Linotype" w:cs="Times New Roman"/>
          <w:b/>
          <w:lang w:val="es-ES_tradnl"/>
        </w:rPr>
        <w:t>Reforma legal y establecimiento de protocolos de actuación</w:t>
      </w:r>
    </w:p>
    <w:p w14:paraId="64C8DB37"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El marco legal en esta materia debe actualizarse, eliminado los aspectos identificados como yerros de la legislación (reconocimientos simultáneos, registro mediante acta, reconocimiento sin consentimiento del imputado), así como la inclusión de un estándar específico</w:t>
      </w:r>
      <w:r w:rsidRPr="00D66245">
        <w:rPr>
          <w:rStyle w:val="Refdenotaalpie"/>
          <w:rFonts w:ascii="Palatino Linotype" w:hAnsi="Palatino Linotype" w:cs="Times New Roman"/>
          <w:lang w:val="es-ES_tradnl"/>
        </w:rPr>
        <w:footnoteReference w:id="445"/>
      </w:r>
      <w:r w:rsidRPr="00D66245">
        <w:rPr>
          <w:rFonts w:ascii="Palatino Linotype" w:hAnsi="Palatino Linotype" w:cs="Times New Roman"/>
          <w:lang w:val="es-ES_tradnl"/>
        </w:rPr>
        <w:t xml:space="preserve"> y las consecuencias de no alcanzarlo, sea la exclusión de la prueba, de forma total o con una admisión limitada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{"citationItems":[{"id":"ITEM-1","itemData":{"author":[{"dropping-particle":"","family":"Wells","given":"Gary et. al.","non-dropping-particle":"","parse-names":false,"suffix":""}],"chapter-number":"8","container-title":"Conviction of the innocent","editor":[{"dropping-particle":"","family":"Cutler","given":"Brian","non-dropping-particle":"","parse-names":false,"suffix":""}],"id":"ITEM-1","issued":{"date-parts":[["2012"]]},"publisher-place":"Washington D.C.","title":"Why do motions to suppress suggestive eyewitness identifications fail?","type":"chapter"},"uris":["http://www.mendeley.com/documents/?uuid=5fd3d3fb-0f4d-4b29-bdc3-ad8a88773504"]}],"mendeley":{"formattedCitation":"(Wells, 2012)","plainTextFormattedCitation":"(Wells, 2012)","previouslyFormattedCitation":"(Wells, 2012)"},"properties":{"noteIndex":0},"schema":"https://github.com/citation-style-language/schema/raw/master/csl-citation.json"}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(Wells, 2012)</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además de la eliminación de la subsidiariedad del reconocimiento fotográfico (existiendo acuerdo sobre la intrascendencia de una segunda identificación</w:t>
      </w:r>
      <w:r w:rsidRPr="00D66245">
        <w:rPr>
          <w:rStyle w:val="Refdenotaalpie"/>
          <w:rFonts w:ascii="Palatino Linotype" w:hAnsi="Palatino Linotype" w:cs="Times New Roman"/>
          <w:lang w:val="es-ES_tradnl"/>
        </w:rPr>
        <w:footnoteReference w:id="446"/>
      </w:r>
      <w:r w:rsidRPr="00D66245">
        <w:rPr>
          <w:rFonts w:ascii="Palatino Linotype" w:hAnsi="Palatino Linotype" w:cs="Times New Roman"/>
          <w:lang w:val="es-ES_tradnl"/>
        </w:rPr>
        <w:t>), para pasar a un modelo en donde el instrumento principal sea el reconocimiento efectuado mediante la utilización de mecanismos tecnológicos</w:t>
      </w:r>
      <w:r w:rsidRPr="00D66245">
        <w:rPr>
          <w:rStyle w:val="Refdenotaalpie"/>
          <w:rFonts w:ascii="Palatino Linotype" w:hAnsi="Palatino Linotype" w:cs="Times New Roman"/>
          <w:lang w:val="es-ES_tradnl"/>
        </w:rPr>
        <w:footnoteReference w:id="447"/>
      </w:r>
      <w:r w:rsidRPr="00D66245">
        <w:rPr>
          <w:rFonts w:ascii="Palatino Linotype" w:hAnsi="Palatino Linotype" w:cs="Times New Roman"/>
          <w:lang w:val="es-ES_tradnl"/>
        </w:rPr>
        <w:t xml:space="preserve">. </w:t>
      </w:r>
    </w:p>
    <w:p w14:paraId="63FE93D2"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Adicionalmente, es preciso establecer protocolos de actuación para el Ministerio Publico y la Policía Administrativa y Judicial, en donde se disponga, con mayor detalle, aspectos como la utilización del doble ciego, la proscripción de cualquier tipo de sugestión por parte de los funcionarios actuantes (y las consecuencias de su incumplimiento), la integración de las ruedas de personas</w:t>
      </w:r>
      <w:r w:rsidRPr="00D66245">
        <w:rPr>
          <w:rStyle w:val="Refdenotaalpie"/>
          <w:rFonts w:ascii="Palatino Linotype" w:hAnsi="Palatino Linotype" w:cs="Times New Roman"/>
          <w:lang w:val="es-ES_tradnl"/>
        </w:rPr>
        <w:footnoteReference w:id="448"/>
      </w:r>
      <w:r w:rsidRPr="00D66245">
        <w:rPr>
          <w:rFonts w:ascii="Palatino Linotype" w:hAnsi="Palatino Linotype" w:cs="Times New Roman"/>
          <w:lang w:val="es-ES_tradnl"/>
        </w:rPr>
        <w:t xml:space="preserve"> y de los álbumes fotográficos (al menos estableciendo condiciones límite inadecuadas), entre otros. </w:t>
      </w:r>
    </w:p>
    <w:p w14:paraId="33EA9431" w14:textId="77777777" w:rsidR="00B377B2" w:rsidRPr="00D66245" w:rsidRDefault="00B377B2" w:rsidP="00F53211">
      <w:pPr>
        <w:pStyle w:val="Prrafodelista"/>
        <w:widowControl w:val="0"/>
        <w:numPr>
          <w:ilvl w:val="0"/>
          <w:numId w:val="22"/>
        </w:numPr>
        <w:autoSpaceDE w:val="0"/>
        <w:autoSpaceDN w:val="0"/>
        <w:adjustRightInd w:val="0"/>
        <w:spacing w:before="120" w:after="200" w:line="240" w:lineRule="auto"/>
        <w:contextualSpacing w:val="0"/>
        <w:jc w:val="both"/>
        <w:rPr>
          <w:rFonts w:ascii="Palatino Linotype" w:hAnsi="Palatino Linotype" w:cs="Times New Roman"/>
          <w:lang w:val="es-ES_tradnl"/>
        </w:rPr>
      </w:pPr>
      <w:r w:rsidRPr="00D66245">
        <w:rPr>
          <w:rFonts w:ascii="Palatino Linotype" w:hAnsi="Palatino Linotype" w:cs="Times New Roman"/>
          <w:b/>
          <w:lang w:val="es-ES_tradnl"/>
        </w:rPr>
        <w:t>Implementación de mecanismos tecnológicos</w:t>
      </w:r>
    </w:p>
    <w:p w14:paraId="4EFDF7B2"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La primera propuesta, aunque pudiera parecer utópica en este momento, es que el mecanismo prevalente para el reconocimiento ocular sea mediante una plataforma electrónica, en formato de video o de fotografías. Lo anterior dado que, con las posibilidades tecnológicas actuales, se torna innecesario la inmediación entre el testigo y el sospechoso, pues los formatos de grabación digital presentan alta resolución -aspecto que motivó la disposición subsidiaria del reconocimiento fotográfico en Costa Rica</w:t>
      </w:r>
      <w:r w:rsidRPr="00D66245">
        <w:rPr>
          <w:rStyle w:val="Refdenotaalpie"/>
          <w:rFonts w:ascii="Palatino Linotype" w:hAnsi="Palatino Linotype" w:cs="Times New Roman"/>
          <w:lang w:val="es-ES_tradnl"/>
        </w:rPr>
        <w:footnoteReference w:id="449"/>
      </w:r>
      <w:r w:rsidRPr="00D66245">
        <w:rPr>
          <w:rFonts w:ascii="Palatino Linotype" w:hAnsi="Palatino Linotype" w:cs="Times New Roman"/>
          <w:lang w:val="es-ES_tradnl"/>
        </w:rPr>
        <w:t xml:space="preserve"> pero que ya no tiene sentido-, permite un control previo (puede ser objeto de revisión antes de mostrárselo al testigo y realizar la diligencia como tal), disminuye los costos y dificultades detectadas en la localización de descartes (pues podría utilizarse un software biométrico para establecer criterios objetivos de semejanza, a partir de una base de información amplia) y disminuye las dificultades en caso de resistencia del imputado. </w:t>
      </w:r>
    </w:p>
    <w:p w14:paraId="25219807"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 xml:space="preserve">En segundo lugar, la diligencia de reconocimiento debe ser grabada en audio y video, siendo esta la única forma de verificar sesgos o fallos en los factores del sistema. Resulta descabellado que en pleno siglo XXI aún se utilicen actas para registrar actos definitivos e irreproductibles </w:t>
      </w:r>
      <w:r w:rsidRPr="00D66245">
        <w:rPr>
          <w:rFonts w:ascii="Palatino Linotype" w:hAnsi="Palatino Linotype" w:cs="Times New Roman"/>
          <w:lang w:val="es-ES_tradnl"/>
        </w:rPr>
        <w:fldChar w:fldCharType="begin" w:fldLock="1"/>
      </w:r>
      <w:r w:rsidRPr="00D66245">
        <w:rPr>
          <w:rFonts w:ascii="Palatino Linotype" w:hAnsi="Palatino Linotype" w:cs="Times New Roman"/>
          <w:lang w:val="es-ES_tradnl"/>
        </w:rPr>
        <w:instrText>ADDIN CSL_CITATION {"citationItems":[{"id":"ITEM-1","itemData":{"ISBN":"978-9968-561-50-1","author":[{"dropping-particle":"","family":"Llobet Rodríguez","given":"Javier","non-dropping-particle":"","parse-names":false,"suffix":""}],"edition":"5ª edición","id":"ITEM-1","issued":{"date-parts":[["2012"]]},"number-of-pages":"821","publisher":"Editorial Jurídica Continental","publisher-place":"San José","title":"Proceso penal comentado (Código procesal penal comentado)","type":"book"},"locator":"388","uris":["http://www.mendeley.com/documents/?uuid=b955d057-951c-45c2-8483-f56c3596c12a"]}],"mendeley":{"formattedCitation":"(Llobet Rodríguez, 2012, p. 388)","plainTextFormattedCitation":"(Llobet Rodríguez, 2012, p. 388)","previouslyFormattedCitation":"(Llobet Rodríguez, 2012, p. 388)"},"properties":{"noteIndex":0},"schema":"https://github.com/citation-style-language/schema/raw/master/csl-citation.json"}</w:instrText>
      </w:r>
      <w:r w:rsidRPr="00D66245">
        <w:rPr>
          <w:rFonts w:ascii="Palatino Linotype" w:hAnsi="Palatino Linotype" w:cs="Times New Roman"/>
          <w:lang w:val="es-ES_tradnl"/>
        </w:rPr>
        <w:fldChar w:fldCharType="separate"/>
      </w:r>
      <w:r w:rsidRPr="00D66245">
        <w:rPr>
          <w:rFonts w:ascii="Palatino Linotype" w:hAnsi="Palatino Linotype" w:cs="Times New Roman"/>
          <w:noProof/>
          <w:lang w:val="es-ES_tradnl"/>
        </w:rPr>
        <w:t>(Llobet Rodríguez, 2012, p. 388)</w:t>
      </w:r>
      <w:r w:rsidRPr="00D66245">
        <w:rPr>
          <w:rFonts w:ascii="Palatino Linotype" w:hAnsi="Palatino Linotype" w:cs="Times New Roman"/>
          <w:lang w:val="es-ES_tradnl"/>
        </w:rPr>
        <w:fldChar w:fldCharType="end"/>
      </w:r>
      <w:r w:rsidRPr="00D66245">
        <w:rPr>
          <w:rFonts w:ascii="Palatino Linotype" w:hAnsi="Palatino Linotype" w:cs="Times New Roman"/>
          <w:lang w:val="es-ES_tradnl"/>
        </w:rPr>
        <w:t xml:space="preserve"> de tanta trascendencia como los reconocimientos oculares, con las limitaciones que este medio de registro posee. </w:t>
      </w:r>
    </w:p>
    <w:p w14:paraId="589A3ACD" w14:textId="77777777" w:rsidR="00B377B2" w:rsidRPr="00D66245" w:rsidRDefault="00B377B2" w:rsidP="00F53211">
      <w:pPr>
        <w:pStyle w:val="Prrafodelista"/>
        <w:widowControl w:val="0"/>
        <w:numPr>
          <w:ilvl w:val="0"/>
          <w:numId w:val="22"/>
        </w:numPr>
        <w:autoSpaceDE w:val="0"/>
        <w:autoSpaceDN w:val="0"/>
        <w:adjustRightInd w:val="0"/>
        <w:spacing w:before="120" w:after="200" w:line="240" w:lineRule="auto"/>
        <w:contextualSpacing w:val="0"/>
        <w:jc w:val="both"/>
        <w:rPr>
          <w:rFonts w:ascii="Palatino Linotype" w:hAnsi="Palatino Linotype" w:cs="Times New Roman"/>
          <w:b/>
          <w:lang w:val="es-ES_tradnl"/>
        </w:rPr>
      </w:pPr>
      <w:r w:rsidRPr="00D66245">
        <w:rPr>
          <w:rFonts w:ascii="Palatino Linotype" w:hAnsi="Palatino Linotype" w:cs="Times New Roman"/>
          <w:b/>
          <w:lang w:val="es-ES_tradnl"/>
        </w:rPr>
        <w:t>Capacitación y proactividad de los órganos de control jurisdiccional</w:t>
      </w:r>
    </w:p>
    <w:p w14:paraId="2881E035"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lang w:val="es-ES_tradnl"/>
        </w:rPr>
        <w:t>Finalmente, la capacitación es esencial (un 75% de los entrevistados manifestó que no se les capacita), siendo que esto, a su vez, potenciaría que todos los actores del sistema, principalmente los jueces, sean más proactivos y ejerzan las labores de control de este tipo de prueba de forma más sólida y eficiente.</w:t>
      </w:r>
    </w:p>
    <w:p w14:paraId="541C974D" w14:textId="77777777" w:rsidR="00B377B2" w:rsidRPr="00D66245" w:rsidRDefault="00B377B2" w:rsidP="00BC0DD2">
      <w:pPr>
        <w:pStyle w:val="Prrafodelista"/>
        <w:numPr>
          <w:ilvl w:val="0"/>
          <w:numId w:val="20"/>
        </w:numPr>
        <w:spacing w:before="120" w:after="200" w:line="240" w:lineRule="auto"/>
        <w:ind w:left="0" w:firstLine="0"/>
        <w:contextualSpacing w:val="0"/>
        <w:jc w:val="both"/>
        <w:rPr>
          <w:rFonts w:ascii="Palatino Linotype" w:hAnsi="Palatino Linotype" w:cs="Times New Roman"/>
          <w:b/>
        </w:rPr>
      </w:pPr>
      <w:r w:rsidRPr="00D66245">
        <w:rPr>
          <w:rFonts w:ascii="Palatino Linotype" w:hAnsi="Palatino Linotype" w:cs="Times New Roman"/>
          <w:b/>
        </w:rPr>
        <w:t>En cuanto a los peritajes de credibilidad:</w:t>
      </w:r>
    </w:p>
    <w:p w14:paraId="615C9B16"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Pese a que no se utilice en el ordenamiento jurídico costarricense el término “peritaje de credibilidad”, salta a la vista que las evaluaciones psicológicas que en algunos casos se practican a víctimas-testigos, principalmente, son utilizadas por los jueces como un descargo de responsabilidad en cuanto a la determinación de la fiabilidad del relato. Es decir, en la práctica existe cierto relevo de funciones en cuanto a una labor que es, en esencia, estrictamente jurisdiccional.</w:t>
      </w:r>
    </w:p>
    <w:p w14:paraId="125746C3" w14:textId="348185B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 xml:space="preserve">Si a lo anterior se abona la utilización de metodologías desfasadas y la mediocridad de muchos de estos </w:t>
      </w:r>
      <w:r w:rsidRPr="00D66245">
        <w:rPr>
          <w:rFonts w:ascii="Palatino Linotype" w:hAnsi="Palatino Linotype" w:cs="Times New Roman"/>
          <w:i/>
        </w:rPr>
        <w:t>informes</w:t>
      </w:r>
      <w:r w:rsidRPr="00D66245">
        <w:rPr>
          <w:rFonts w:ascii="Palatino Linotype" w:hAnsi="Palatino Linotype" w:cs="Times New Roman"/>
        </w:rPr>
        <w:t>, se denota que esta práctica puede acarrear y encubrir, con facilidad, la arbitrariedad y ausencia de fundamentación intelectiva en las resoluciones judiciales en sede penal.</w:t>
      </w:r>
    </w:p>
    <w:p w14:paraId="394252AC" w14:textId="77777777" w:rsidR="00B377B2" w:rsidRPr="00D66245" w:rsidRDefault="00B377B2" w:rsidP="00F53211">
      <w:pPr>
        <w:spacing w:before="120" w:after="200"/>
        <w:jc w:val="both"/>
        <w:rPr>
          <w:rFonts w:ascii="Palatino Linotype" w:hAnsi="Palatino Linotype" w:cs="Times New Roman"/>
        </w:rPr>
      </w:pPr>
      <w:r w:rsidRPr="00D66245">
        <w:rPr>
          <w:rFonts w:ascii="Palatino Linotype" w:hAnsi="Palatino Linotype" w:cs="Times New Roman"/>
        </w:rPr>
        <w:t>En cualquier caso, debe tenerse claridad en cuanto a que este tipo de pericias, sea cual sea la denominación que se les otorgue, generalmente no cumplen con los requerimientos de necesidad, idoneidad y confiabilidad, por lo que se impone su rechazo.</w:t>
      </w:r>
    </w:p>
    <w:p w14:paraId="37635280" w14:textId="77777777" w:rsidR="00B377B2" w:rsidRPr="00D66245" w:rsidRDefault="00B377B2" w:rsidP="00BC0DD2">
      <w:pPr>
        <w:pStyle w:val="Prrafodelista"/>
        <w:numPr>
          <w:ilvl w:val="0"/>
          <w:numId w:val="10"/>
        </w:numPr>
        <w:spacing w:before="120" w:after="200" w:line="240" w:lineRule="auto"/>
        <w:ind w:left="0" w:firstLine="0"/>
        <w:contextualSpacing w:val="0"/>
        <w:jc w:val="both"/>
        <w:rPr>
          <w:rFonts w:ascii="Palatino Linotype" w:hAnsi="Palatino Linotype" w:cs="Times New Roman"/>
          <w:b/>
        </w:rPr>
      </w:pPr>
      <w:r w:rsidRPr="00D66245">
        <w:rPr>
          <w:rFonts w:ascii="Palatino Linotype" w:hAnsi="Palatino Linotype" w:cs="Times New Roman"/>
          <w:b/>
        </w:rPr>
        <w:t>Bibliografía consultada</w:t>
      </w:r>
    </w:p>
    <w:p w14:paraId="356C6589"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rPr>
        <w:fldChar w:fldCharType="begin" w:fldLock="1"/>
      </w:r>
      <w:r w:rsidRPr="00D66245">
        <w:rPr>
          <w:rFonts w:ascii="Palatino Linotype" w:hAnsi="Palatino Linotype" w:cs="Times New Roman"/>
        </w:rPr>
        <w:instrText xml:space="preserve">ADDIN Mendeley Bibliography CSL_BIBLIOGRAPHY </w:instrText>
      </w:r>
      <w:r w:rsidRPr="00D66245">
        <w:rPr>
          <w:rFonts w:ascii="Palatino Linotype" w:hAnsi="Palatino Linotype" w:cs="Times New Roman"/>
        </w:rPr>
        <w:fldChar w:fldCharType="separate"/>
      </w:r>
      <w:r w:rsidRPr="00D66245">
        <w:rPr>
          <w:rFonts w:ascii="Palatino Linotype" w:hAnsi="Palatino Linotype" w:cs="Times New Roman"/>
          <w:noProof/>
          <w:lang w:val="es-ES_tradnl"/>
        </w:rPr>
        <w:t xml:space="preserve">Aguilera, E. (2018). El germen contraepistémico del garantismo penal extremo. In </w:t>
      </w:r>
      <w:r w:rsidRPr="00D66245">
        <w:rPr>
          <w:rFonts w:ascii="Palatino Linotype" w:hAnsi="Palatino Linotype" w:cs="Times New Roman"/>
          <w:i/>
          <w:iCs/>
          <w:noProof/>
          <w:lang w:val="es-ES_tradnl"/>
        </w:rPr>
        <w:t>Hechos y razonamiento probatorio</w:t>
      </w:r>
      <w:r w:rsidRPr="00D66245">
        <w:rPr>
          <w:rFonts w:ascii="Palatino Linotype" w:hAnsi="Palatino Linotype" w:cs="Times New Roman"/>
          <w:noProof/>
          <w:lang w:val="es-ES_tradnl"/>
        </w:rPr>
        <w:t xml:space="preserve"> (pp. 85–104). Editorial CEJI.</w:t>
      </w:r>
    </w:p>
    <w:p w14:paraId="1A801A67"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Alcaíno, E. (2014, December). La confiabilidad como estándar para evaluar la calidad de los reconocimientos de imputados. </w:t>
      </w:r>
      <w:r w:rsidRPr="00D66245">
        <w:rPr>
          <w:rFonts w:ascii="Palatino Linotype" w:hAnsi="Palatino Linotype" w:cs="Times New Roman"/>
          <w:i/>
          <w:iCs/>
          <w:noProof/>
          <w:lang w:val="es-ES_tradnl"/>
        </w:rPr>
        <w:t>Política Criminal. Vol. 9, No 18</w:t>
      </w:r>
      <w:r w:rsidRPr="00D66245">
        <w:rPr>
          <w:rFonts w:ascii="Palatino Linotype" w:hAnsi="Palatino Linotype" w:cs="Times New Roman"/>
          <w:noProof/>
          <w:lang w:val="es-ES_tradnl"/>
        </w:rPr>
        <w:t>, 564–613.</w:t>
      </w:r>
    </w:p>
    <w:p w14:paraId="3F81AEE5"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Atienza, M. (2005). </w:t>
      </w:r>
      <w:r w:rsidRPr="00D66245">
        <w:rPr>
          <w:rFonts w:ascii="Palatino Linotype" w:hAnsi="Palatino Linotype" w:cs="Times New Roman"/>
          <w:i/>
          <w:iCs/>
          <w:noProof/>
          <w:lang w:val="es-ES_tradnl"/>
        </w:rPr>
        <w:t>Las razones del derecho. Teorías de la argumentación jurídica</w:t>
      </w:r>
      <w:r w:rsidRPr="00D66245">
        <w:rPr>
          <w:rFonts w:ascii="Palatino Linotype" w:hAnsi="Palatino Linotype" w:cs="Times New Roman"/>
          <w:noProof/>
          <w:lang w:val="es-ES_tradnl"/>
        </w:rPr>
        <w:t>. Universidad Nacional Autónoma de México.</w:t>
      </w:r>
    </w:p>
    <w:p w14:paraId="6D1F59FC"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Diges, M. (2016). </w:t>
      </w:r>
      <w:r w:rsidRPr="00D66245">
        <w:rPr>
          <w:rFonts w:ascii="Palatino Linotype" w:hAnsi="Palatino Linotype" w:cs="Times New Roman"/>
          <w:i/>
          <w:iCs/>
          <w:noProof/>
          <w:lang w:val="es-ES_tradnl"/>
        </w:rPr>
        <w:t>Testigos, sospechosos y recuerdos falsos. Estudios de psicología forense</w:t>
      </w:r>
      <w:r w:rsidRPr="00D66245">
        <w:rPr>
          <w:rFonts w:ascii="Palatino Linotype" w:hAnsi="Palatino Linotype" w:cs="Times New Roman"/>
          <w:noProof/>
          <w:lang w:val="es-ES_tradnl"/>
        </w:rPr>
        <w:t>. Madrid: Editorial Trotta.</w:t>
      </w:r>
    </w:p>
    <w:p w14:paraId="66CC0DBC"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Diges, M., &amp; Pérez-Mata, N. (2014). La prueba de identificación desde la psicología del testimonio. In </w:t>
      </w:r>
      <w:r w:rsidRPr="00D66245">
        <w:rPr>
          <w:rFonts w:ascii="Palatino Linotype" w:hAnsi="Palatino Linotype" w:cs="Times New Roman"/>
          <w:i/>
          <w:iCs/>
          <w:noProof/>
          <w:lang w:val="es-ES_tradnl"/>
        </w:rPr>
        <w:t>Identificaciones fotográficas y en rueda de reconocimiento. Un análisis desde el Derecho procesal penal y la psicología del testimonio</w:t>
      </w:r>
      <w:r w:rsidRPr="00D66245">
        <w:rPr>
          <w:rFonts w:ascii="Palatino Linotype" w:hAnsi="Palatino Linotype" w:cs="Times New Roman"/>
          <w:noProof/>
          <w:lang w:val="es-ES_tradnl"/>
        </w:rPr>
        <w:t>. Marcial Pons.</w:t>
      </w:r>
    </w:p>
    <w:p w14:paraId="3D37C26F"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Duce, M. (2013a). Errores del sistema y condena de inocentes: Nuevos desafíos para nuestra justicia penal acusatoria. In </w:t>
      </w:r>
      <w:r w:rsidRPr="00D66245">
        <w:rPr>
          <w:rFonts w:ascii="Palatino Linotype" w:hAnsi="Palatino Linotype" w:cs="Times New Roman"/>
          <w:i/>
          <w:iCs/>
          <w:noProof/>
          <w:lang w:val="es-ES_tradnl"/>
        </w:rPr>
        <w:t>El modelo adversarial en Chile. Ponencias sobre su implementación en la reforma procesal penal</w:t>
      </w:r>
      <w:r w:rsidRPr="00D66245">
        <w:rPr>
          <w:rFonts w:ascii="Palatino Linotype" w:hAnsi="Palatino Linotype" w:cs="Times New Roman"/>
          <w:noProof/>
          <w:lang w:val="es-ES_tradnl"/>
        </w:rPr>
        <w:t xml:space="preserve"> (p. 322). Thomson Reuters.</w:t>
      </w:r>
    </w:p>
    <w:p w14:paraId="1F2AEDB3"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Duce, M. (2013b). </w:t>
      </w:r>
      <w:r w:rsidRPr="00D66245">
        <w:rPr>
          <w:rFonts w:ascii="Palatino Linotype" w:hAnsi="Palatino Linotype" w:cs="Times New Roman"/>
          <w:i/>
          <w:iCs/>
          <w:noProof/>
          <w:lang w:val="es-ES_tradnl"/>
        </w:rPr>
        <w:t>La prueba pericial. Aspectos legales y estatégicos claves para el litigio en los sistemas procesales penales acusatorios</w:t>
      </w:r>
      <w:r w:rsidRPr="00D66245">
        <w:rPr>
          <w:rFonts w:ascii="Palatino Linotype" w:hAnsi="Palatino Linotype" w:cs="Times New Roman"/>
          <w:noProof/>
          <w:lang w:val="es-ES_tradnl"/>
        </w:rPr>
        <w:t>. Buenos Aires: Ediciones Didot.</w:t>
      </w:r>
    </w:p>
    <w:p w14:paraId="4CEDA98B"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Duce, M. (2017, July). Los reconocimientos oculares: una aproximación empírica a su funcionamiento y algunas recomendaciones para su mejora. </w:t>
      </w:r>
      <w:r w:rsidRPr="00D66245">
        <w:rPr>
          <w:rFonts w:ascii="Palatino Linotype" w:hAnsi="Palatino Linotype" w:cs="Times New Roman"/>
          <w:i/>
          <w:iCs/>
          <w:noProof/>
          <w:lang w:val="es-ES_tradnl"/>
        </w:rPr>
        <w:t>Política Criminal. Vol. 12, No 23</w:t>
      </w:r>
      <w:r w:rsidRPr="00D66245">
        <w:rPr>
          <w:rFonts w:ascii="Palatino Linotype" w:hAnsi="Palatino Linotype" w:cs="Times New Roman"/>
          <w:noProof/>
          <w:lang w:val="es-ES_tradnl"/>
        </w:rPr>
        <w:t>, 291–379. Retrieved from http://www.politicacriminal.cl/Vol_12/n_23/Vol12N23A9.pdf</w:t>
      </w:r>
    </w:p>
    <w:p w14:paraId="548E1834"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Duce, M. (2018a). Prácticas probatorias y riesgo de condena de inocentes: una visión empírica. </w:t>
      </w:r>
      <w:r w:rsidRPr="00D66245">
        <w:rPr>
          <w:rFonts w:ascii="Palatino Linotype" w:hAnsi="Palatino Linotype" w:cs="Times New Roman"/>
          <w:i/>
          <w:iCs/>
          <w:noProof/>
          <w:lang w:val="es-ES_tradnl"/>
        </w:rPr>
        <w:t>Congreso Mundial de Razonamiento Probatorio</w:t>
      </w:r>
      <w:r w:rsidRPr="00D66245">
        <w:rPr>
          <w:rFonts w:ascii="Palatino Linotype" w:hAnsi="Palatino Linotype" w:cs="Times New Roman"/>
          <w:noProof/>
          <w:lang w:val="es-ES_tradnl"/>
        </w:rPr>
        <w:t>, 1–42. Girona.</w:t>
      </w:r>
    </w:p>
    <w:p w14:paraId="6A437381"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Duce, M. (2018b, May). Condena de inocentes y litigación en juicio oral: Resultados de una investigación empírica sobre reconocimientos oculares y prueba pericial. </w:t>
      </w:r>
      <w:r w:rsidRPr="00D66245">
        <w:rPr>
          <w:rFonts w:ascii="Palatino Linotype" w:hAnsi="Palatino Linotype" w:cs="Times New Roman"/>
          <w:i/>
          <w:iCs/>
          <w:noProof/>
          <w:lang w:val="es-ES_tradnl"/>
        </w:rPr>
        <w:t>Sistemas Judiciales</w:t>
      </w:r>
      <w:r w:rsidRPr="00D66245">
        <w:rPr>
          <w:rFonts w:ascii="Palatino Linotype" w:hAnsi="Palatino Linotype" w:cs="Times New Roman"/>
          <w:noProof/>
          <w:lang w:val="es-ES_tradnl"/>
        </w:rPr>
        <w:t>, (21), 16–29.</w:t>
      </w:r>
    </w:p>
    <w:p w14:paraId="38B31C4B"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Fernández López, M. (2007, March). La valoración de pruebas personales y el estándar de duda razonable. </w:t>
      </w:r>
      <w:r w:rsidRPr="00D66245">
        <w:rPr>
          <w:rFonts w:ascii="Palatino Linotype" w:hAnsi="Palatino Linotype" w:cs="Times New Roman"/>
          <w:i/>
          <w:iCs/>
          <w:noProof/>
          <w:lang w:val="es-ES_tradnl"/>
        </w:rPr>
        <w:t>Cuadernos Electrónicos de Filosofía Del Derecho</w:t>
      </w:r>
      <w:r w:rsidRPr="00D66245">
        <w:rPr>
          <w:rFonts w:ascii="Palatino Linotype" w:hAnsi="Palatino Linotype" w:cs="Times New Roman"/>
          <w:noProof/>
          <w:lang w:val="es-ES_tradnl"/>
        </w:rPr>
        <w:t>, (15), 1–12. Retrieved from http://dialnet.unirioja.es/servlet/articulo?codigo=2260161&amp;orden=110621&amp;info=link</w:t>
      </w:r>
    </w:p>
    <w:p w14:paraId="4A512976"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Ferrer Beltrán, J. (2005). </w:t>
      </w:r>
      <w:r w:rsidRPr="00D66245">
        <w:rPr>
          <w:rFonts w:ascii="Palatino Linotype" w:hAnsi="Palatino Linotype" w:cs="Times New Roman"/>
          <w:i/>
          <w:iCs/>
          <w:noProof/>
          <w:lang w:val="es-ES_tradnl"/>
        </w:rPr>
        <w:t>Prueba y verdad en el derecho</w:t>
      </w:r>
      <w:r w:rsidRPr="00D66245">
        <w:rPr>
          <w:rFonts w:ascii="Palatino Linotype" w:hAnsi="Palatino Linotype" w:cs="Times New Roman"/>
          <w:noProof/>
          <w:lang w:val="es-ES_tradnl"/>
        </w:rPr>
        <w:t xml:space="preserve"> (2a edición). Madrid: Marcial Pons.</w:t>
      </w:r>
    </w:p>
    <w:p w14:paraId="26B060E5"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Ferrer Beltrán, J. (2007). </w:t>
      </w:r>
      <w:r w:rsidRPr="00D66245">
        <w:rPr>
          <w:rFonts w:ascii="Palatino Linotype" w:hAnsi="Palatino Linotype" w:cs="Times New Roman"/>
          <w:i/>
          <w:iCs/>
          <w:noProof/>
          <w:lang w:val="es-ES_tradnl"/>
        </w:rPr>
        <w:t>La Valoración Racional de la Prueba</w:t>
      </w:r>
      <w:r w:rsidRPr="00D66245">
        <w:rPr>
          <w:rFonts w:ascii="Palatino Linotype" w:hAnsi="Palatino Linotype" w:cs="Times New Roman"/>
          <w:noProof/>
          <w:lang w:val="es-ES_tradnl"/>
        </w:rPr>
        <w:t>. Madrid: Marcial Pons.</w:t>
      </w:r>
    </w:p>
    <w:p w14:paraId="5782008A"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Ferrer Beltrán, J. (2017). </w:t>
      </w:r>
      <w:r w:rsidRPr="00D66245">
        <w:rPr>
          <w:rFonts w:ascii="Palatino Linotype" w:hAnsi="Palatino Linotype" w:cs="Times New Roman"/>
          <w:i/>
          <w:iCs/>
          <w:noProof/>
          <w:lang w:val="es-ES_tradnl"/>
        </w:rPr>
        <w:t>El control de la valoración de la prueba en segunda instancia: Inmediación e inferencias probatorias</w:t>
      </w:r>
      <w:r w:rsidRPr="00D66245">
        <w:rPr>
          <w:rFonts w:ascii="Palatino Linotype" w:hAnsi="Palatino Linotype" w:cs="Times New Roman"/>
          <w:noProof/>
          <w:lang w:val="es-ES_tradnl"/>
        </w:rPr>
        <w:t>. (33), 107–126. https://doi.org/10.4000/revus.4016</w:t>
      </w:r>
    </w:p>
    <w:p w14:paraId="315B95AF"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Harbottle-Quirós, F. (2013). Psicología forense y responsabilidad penal en Costa Rica. </w:t>
      </w:r>
      <w:r w:rsidRPr="00D66245">
        <w:rPr>
          <w:rFonts w:ascii="Palatino Linotype" w:hAnsi="Palatino Linotype" w:cs="Times New Roman"/>
          <w:i/>
          <w:iCs/>
          <w:noProof/>
          <w:lang w:val="es-ES_tradnl"/>
        </w:rPr>
        <w:t>Revista Costarricense de Psicología</w:t>
      </w:r>
      <w:r w:rsidRPr="00D66245">
        <w:rPr>
          <w:rFonts w:ascii="Palatino Linotype" w:hAnsi="Palatino Linotype" w:cs="Times New Roman"/>
          <w:noProof/>
          <w:lang w:val="es-ES_tradnl"/>
        </w:rPr>
        <w:t>, 89–107.</w:t>
      </w:r>
    </w:p>
    <w:p w14:paraId="218A3577"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Ibáñez, P. A. (2015). </w:t>
      </w:r>
      <w:r w:rsidRPr="00D66245">
        <w:rPr>
          <w:rFonts w:ascii="Palatino Linotype" w:hAnsi="Palatino Linotype" w:cs="Times New Roman"/>
          <w:i/>
          <w:iCs/>
          <w:noProof/>
          <w:lang w:val="es-ES_tradnl"/>
        </w:rPr>
        <w:t>Tercero en discordia. Jurisdicción y Juez del Estado Constitucional</w:t>
      </w:r>
      <w:r w:rsidRPr="00D66245">
        <w:rPr>
          <w:rFonts w:ascii="Palatino Linotype" w:hAnsi="Palatino Linotype" w:cs="Times New Roman"/>
          <w:noProof/>
          <w:lang w:val="es-ES_tradnl"/>
        </w:rPr>
        <w:t>. Madrid: Editorial Trotta.</w:t>
      </w:r>
    </w:p>
    <w:p w14:paraId="4E31D65E"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Ibáñez, P. A. (2018). Garantismo y garantías procesales. </w:t>
      </w:r>
      <w:r w:rsidRPr="00D66245">
        <w:rPr>
          <w:rFonts w:ascii="Palatino Linotype" w:hAnsi="Palatino Linotype" w:cs="Times New Roman"/>
          <w:i/>
          <w:iCs/>
          <w:noProof/>
          <w:lang w:val="es-ES_tradnl"/>
        </w:rPr>
        <w:t>Máster En Razonamiento Probatorio</w:t>
      </w:r>
      <w:r w:rsidRPr="00D66245">
        <w:rPr>
          <w:rFonts w:ascii="Palatino Linotype" w:hAnsi="Palatino Linotype" w:cs="Times New Roman"/>
          <w:noProof/>
          <w:lang w:val="es-ES_tradnl"/>
        </w:rPr>
        <w:t>. Universitat de Girona.</w:t>
      </w:r>
    </w:p>
    <w:p w14:paraId="68F9C091"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Llobet Rodríguez, J. (2010). </w:t>
      </w:r>
      <w:r w:rsidRPr="00D66245">
        <w:rPr>
          <w:rFonts w:ascii="Palatino Linotype" w:hAnsi="Palatino Linotype" w:cs="Times New Roman"/>
          <w:i/>
          <w:iCs/>
          <w:noProof/>
          <w:lang w:val="es-ES_tradnl"/>
        </w:rPr>
        <w:t>La prisión preventiva (Límites constitucionales)</w:t>
      </w:r>
      <w:r w:rsidRPr="00D66245">
        <w:rPr>
          <w:rFonts w:ascii="Palatino Linotype" w:hAnsi="Palatino Linotype" w:cs="Times New Roman"/>
          <w:noProof/>
          <w:lang w:val="es-ES_tradnl"/>
        </w:rPr>
        <w:t xml:space="preserve"> (3a edición). San José: Editorial Jurídica Continental.</w:t>
      </w:r>
    </w:p>
    <w:p w14:paraId="505D7482"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Llobet Rodríguez, J. (2012). </w:t>
      </w:r>
      <w:r w:rsidRPr="00D66245">
        <w:rPr>
          <w:rFonts w:ascii="Palatino Linotype" w:hAnsi="Palatino Linotype" w:cs="Times New Roman"/>
          <w:i/>
          <w:iCs/>
          <w:noProof/>
          <w:lang w:val="es-ES_tradnl"/>
        </w:rPr>
        <w:t>Proceso penal comentado (Código procesal penal comentado)</w:t>
      </w:r>
      <w:r w:rsidRPr="00D66245">
        <w:rPr>
          <w:rFonts w:ascii="Palatino Linotype" w:hAnsi="Palatino Linotype" w:cs="Times New Roman"/>
          <w:noProof/>
          <w:lang w:val="es-ES_tradnl"/>
        </w:rPr>
        <w:t xml:space="preserve"> (5a edición). San José: Editorial Jurídica Continental.</w:t>
      </w:r>
    </w:p>
    <w:p w14:paraId="2C4B8668"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Llobet Rodríguez, J. (2017). </w:t>
      </w:r>
      <w:r w:rsidRPr="00D66245">
        <w:rPr>
          <w:rFonts w:ascii="Palatino Linotype" w:hAnsi="Palatino Linotype" w:cs="Times New Roman"/>
          <w:i/>
          <w:iCs/>
          <w:noProof/>
          <w:lang w:val="es-ES_tradnl"/>
        </w:rPr>
        <w:t>Proceso penal comentado (Código Procesal Penal comentado)</w:t>
      </w:r>
      <w:r w:rsidRPr="00D66245">
        <w:rPr>
          <w:rFonts w:ascii="Palatino Linotype" w:hAnsi="Palatino Linotype" w:cs="Times New Roman"/>
          <w:noProof/>
          <w:lang w:val="es-ES_tradnl"/>
        </w:rPr>
        <w:t>. Editorial Jurídica Continental.</w:t>
      </w:r>
    </w:p>
    <w:p w14:paraId="686FFBD3"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Manzanero, A., &amp; Muñoz, J. M. (2011). </w:t>
      </w:r>
      <w:r w:rsidRPr="00D66245">
        <w:rPr>
          <w:rFonts w:ascii="Palatino Linotype" w:hAnsi="Palatino Linotype" w:cs="Times New Roman"/>
          <w:i/>
          <w:iCs/>
          <w:noProof/>
          <w:lang w:val="es-ES_tradnl"/>
        </w:rPr>
        <w:t>La prueba pericial psicológica sobre la credibilidad del testimonio: reflexiones psico-legales</w:t>
      </w:r>
      <w:r w:rsidRPr="00D66245">
        <w:rPr>
          <w:rFonts w:ascii="Palatino Linotype" w:hAnsi="Palatino Linotype" w:cs="Times New Roman"/>
          <w:noProof/>
          <w:lang w:val="es-ES_tradnl"/>
        </w:rPr>
        <w:t>. (January 2015), 1–13. https://doi.org/10.13140/2.1.3978.2729</w:t>
      </w:r>
    </w:p>
    <w:p w14:paraId="2B1CC8C3"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Mazzoni, G. (2010). </w:t>
      </w:r>
      <w:r w:rsidRPr="00D66245">
        <w:rPr>
          <w:rFonts w:ascii="Palatino Linotype" w:hAnsi="Palatino Linotype" w:cs="Times New Roman"/>
          <w:i/>
          <w:iCs/>
          <w:noProof/>
          <w:lang w:val="es-ES_tradnl"/>
        </w:rPr>
        <w:t>¿Se puede creer a un testigo? El testimonio y las trampas de la memoria</w:t>
      </w:r>
      <w:r w:rsidRPr="00D66245">
        <w:rPr>
          <w:rFonts w:ascii="Palatino Linotype" w:hAnsi="Palatino Linotype" w:cs="Times New Roman"/>
          <w:noProof/>
          <w:lang w:val="es-ES_tradnl"/>
        </w:rPr>
        <w:t xml:space="preserve"> (J. M. Revuelta, Trans.). Madrid: Editorial Trotta.</w:t>
      </w:r>
    </w:p>
    <w:p w14:paraId="0A4EA507"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Mora Sánchez, J. J. (2015). </w:t>
      </w:r>
      <w:r w:rsidRPr="00D66245">
        <w:rPr>
          <w:rFonts w:ascii="Palatino Linotype" w:hAnsi="Palatino Linotype" w:cs="Times New Roman"/>
          <w:i/>
          <w:iCs/>
          <w:noProof/>
          <w:lang w:val="es-ES_tradnl"/>
        </w:rPr>
        <w:t>Prisión preventiva y control de convencionalidad</w:t>
      </w:r>
      <w:r w:rsidRPr="00D66245">
        <w:rPr>
          <w:rFonts w:ascii="Palatino Linotype" w:hAnsi="Palatino Linotype" w:cs="Times New Roman"/>
          <w:noProof/>
          <w:lang w:val="es-ES_tradnl"/>
        </w:rPr>
        <w:t>. San José: Editorial Juritexto.</w:t>
      </w:r>
    </w:p>
    <w:p w14:paraId="061DBC43"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Mora Sánchez, J. J. (2016, September 10). Las trampas de la memoria y la prueba testimonial. </w:t>
      </w:r>
      <w:r w:rsidRPr="00D66245">
        <w:rPr>
          <w:rFonts w:ascii="Palatino Linotype" w:hAnsi="Palatino Linotype" w:cs="Times New Roman"/>
          <w:i/>
          <w:iCs/>
          <w:noProof/>
          <w:lang w:val="es-ES_tradnl"/>
        </w:rPr>
        <w:t>La Nación</w:t>
      </w:r>
      <w:r w:rsidRPr="00D66245">
        <w:rPr>
          <w:rFonts w:ascii="Palatino Linotype" w:hAnsi="Palatino Linotype" w:cs="Times New Roman"/>
          <w:noProof/>
          <w:lang w:val="es-ES_tradnl"/>
        </w:rPr>
        <w:t>.</w:t>
      </w:r>
    </w:p>
    <w:p w14:paraId="3DCC0B17"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Mora Sánchez, J. J. (2019, February). Estándares probatorios (¿diferenciados?) en delitos contra las mujeres. Apuntes sobre la construcción de un proceso penal con perspectiva de género. </w:t>
      </w:r>
      <w:r w:rsidRPr="00D66245">
        <w:rPr>
          <w:rFonts w:ascii="Palatino Linotype" w:hAnsi="Palatino Linotype" w:cs="Times New Roman"/>
          <w:i/>
          <w:iCs/>
          <w:noProof/>
          <w:lang w:val="es-ES_tradnl"/>
        </w:rPr>
        <w:t>Revista El Foro</w:t>
      </w:r>
      <w:r w:rsidRPr="00D66245">
        <w:rPr>
          <w:rFonts w:ascii="Palatino Linotype" w:hAnsi="Palatino Linotype" w:cs="Times New Roman"/>
          <w:noProof/>
          <w:lang w:val="es-ES_tradnl"/>
        </w:rPr>
        <w:t>, 49–75.</w:t>
      </w:r>
    </w:p>
    <w:p w14:paraId="57D24666"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Nieva Fenoll, J. (2010). </w:t>
      </w:r>
      <w:r w:rsidRPr="00D66245">
        <w:rPr>
          <w:rFonts w:ascii="Palatino Linotype" w:hAnsi="Palatino Linotype" w:cs="Times New Roman"/>
          <w:i/>
          <w:iCs/>
          <w:noProof/>
          <w:lang w:val="es-ES_tradnl"/>
        </w:rPr>
        <w:t>La valoración de la prueba</w:t>
      </w:r>
      <w:r w:rsidRPr="00D66245">
        <w:rPr>
          <w:rFonts w:ascii="Palatino Linotype" w:hAnsi="Palatino Linotype" w:cs="Times New Roman"/>
          <w:noProof/>
          <w:lang w:val="es-ES_tradnl"/>
        </w:rPr>
        <w:t>. Madrid: Marcial Pons.</w:t>
      </w:r>
    </w:p>
    <w:p w14:paraId="38E3971D"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Pérez-Mata, N., &amp; Diges, M. (2017). </w:t>
      </w:r>
      <w:r w:rsidRPr="00D66245">
        <w:rPr>
          <w:rFonts w:ascii="Palatino Linotype" w:hAnsi="Palatino Linotype" w:cs="Times New Roman"/>
          <w:i/>
          <w:iCs/>
          <w:noProof/>
          <w:lang w:val="es-ES_tradnl"/>
        </w:rPr>
        <w:t>La prueba testimonial</w:t>
      </w:r>
      <w:r w:rsidRPr="00D66245">
        <w:rPr>
          <w:rFonts w:ascii="Palatino Linotype" w:hAnsi="Palatino Linotype" w:cs="Times New Roman"/>
          <w:noProof/>
          <w:lang w:val="es-ES_tradnl"/>
        </w:rPr>
        <w:t>. Ciudad de México: Centro de Estudios Carbonell.</w:t>
      </w:r>
    </w:p>
    <w:p w14:paraId="0E290822"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Quirós Pereira, J. A. (2007). El reconocimiento de personas como medio de prueba en el proceso penal: Su regulación normativa en el Código Procesal Penal y crítica de la jurisprudencia de la Sala Tercera de Justicia. Universidad de Costa Rica.</w:t>
      </w:r>
    </w:p>
    <w:p w14:paraId="5729B699"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Salas, M. (2017). </w:t>
      </w:r>
      <w:r w:rsidRPr="00D66245">
        <w:rPr>
          <w:rFonts w:ascii="Palatino Linotype" w:hAnsi="Palatino Linotype" w:cs="Times New Roman"/>
          <w:i/>
          <w:iCs/>
          <w:noProof/>
          <w:lang w:val="es-ES_tradnl"/>
        </w:rPr>
        <w:t>Anti-dogmática. El derecho penal en el banquillo de los acusados</w:t>
      </w:r>
      <w:r w:rsidRPr="00D66245">
        <w:rPr>
          <w:rFonts w:ascii="Palatino Linotype" w:hAnsi="Palatino Linotype" w:cs="Times New Roman"/>
          <w:noProof/>
          <w:lang w:val="es-ES_tradnl"/>
        </w:rPr>
        <w:t>. Santiago: Olejnik.</w:t>
      </w:r>
    </w:p>
    <w:p w14:paraId="764EF8E6"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Sancinetti, M. (2012). Las imputaciones por abuso sexual libradas a la arbitrariedad del denunciante. </w:t>
      </w:r>
      <w:r w:rsidRPr="00D66245">
        <w:rPr>
          <w:rFonts w:ascii="Palatino Linotype" w:hAnsi="Palatino Linotype" w:cs="Times New Roman"/>
          <w:i/>
          <w:iCs/>
          <w:noProof/>
          <w:lang w:val="es-ES_tradnl"/>
        </w:rPr>
        <w:t>Revista Pensamiento Penal</w:t>
      </w:r>
      <w:r w:rsidRPr="00D66245">
        <w:rPr>
          <w:rFonts w:ascii="Palatino Linotype" w:hAnsi="Palatino Linotype" w:cs="Times New Roman"/>
          <w:noProof/>
          <w:lang w:val="es-ES_tradnl"/>
        </w:rPr>
        <w:t>. Retrieved from http://www.pensamientopenal.com.ar/system/files/2012/07/doctrina34309.pdf</w:t>
      </w:r>
    </w:p>
    <w:p w14:paraId="4EAF9048"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Schauer, F. (2013). </w:t>
      </w:r>
      <w:r w:rsidRPr="00D66245">
        <w:rPr>
          <w:rFonts w:ascii="Palatino Linotype" w:hAnsi="Palatino Linotype" w:cs="Times New Roman"/>
          <w:i/>
          <w:iCs/>
          <w:noProof/>
          <w:lang w:val="es-ES_tradnl"/>
        </w:rPr>
        <w:t>Pensar como un abogado</w:t>
      </w:r>
      <w:r w:rsidRPr="00D66245">
        <w:rPr>
          <w:rFonts w:ascii="Palatino Linotype" w:hAnsi="Palatino Linotype" w:cs="Times New Roman"/>
          <w:noProof/>
          <w:lang w:val="es-ES_tradnl"/>
        </w:rPr>
        <w:t xml:space="preserve"> (T. Schleider, Trans.). Madrid: Marcial Pons.</w:t>
      </w:r>
    </w:p>
    <w:p w14:paraId="403EF665"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Schopenhauer, A. (2009). </w:t>
      </w:r>
      <w:r w:rsidRPr="00D66245">
        <w:rPr>
          <w:rFonts w:ascii="Palatino Linotype" w:hAnsi="Palatino Linotype" w:cs="Times New Roman"/>
          <w:i/>
          <w:iCs/>
          <w:noProof/>
          <w:lang w:val="es-ES_tradnl"/>
        </w:rPr>
        <w:t>El arte de tener razón expuesto en 38 estratagemas</w:t>
      </w:r>
      <w:r w:rsidRPr="00D66245">
        <w:rPr>
          <w:rFonts w:ascii="Palatino Linotype" w:hAnsi="Palatino Linotype" w:cs="Times New Roman"/>
          <w:noProof/>
          <w:lang w:val="es-ES_tradnl"/>
        </w:rPr>
        <w:t xml:space="preserve"> (15a edició; D. Garzón, Trans.). Biblioteca Edaf.</w:t>
      </w:r>
    </w:p>
    <w:p w14:paraId="4A7F4B2B"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Vázquez, C. (2015). </w:t>
      </w:r>
      <w:r w:rsidRPr="00D66245">
        <w:rPr>
          <w:rFonts w:ascii="Palatino Linotype" w:hAnsi="Palatino Linotype" w:cs="Times New Roman"/>
          <w:i/>
          <w:iCs/>
          <w:noProof/>
          <w:lang w:val="es-ES_tradnl"/>
        </w:rPr>
        <w:t>De la prueba científica a la prueba pericial</w:t>
      </w:r>
      <w:r w:rsidRPr="00D66245">
        <w:rPr>
          <w:rFonts w:ascii="Palatino Linotype" w:hAnsi="Palatino Linotype" w:cs="Times New Roman"/>
          <w:noProof/>
          <w:lang w:val="es-ES_tradnl"/>
        </w:rPr>
        <w:t xml:space="preserve"> (Primera ed). Marcial Pons.</w:t>
      </w:r>
    </w:p>
    <w:p w14:paraId="10739F98"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s-ES_tradnl"/>
        </w:rPr>
      </w:pPr>
      <w:r w:rsidRPr="00D66245">
        <w:rPr>
          <w:rFonts w:ascii="Palatino Linotype" w:hAnsi="Palatino Linotype" w:cs="Times New Roman"/>
          <w:noProof/>
          <w:lang w:val="es-ES_tradnl"/>
        </w:rPr>
        <w:t xml:space="preserve">Vázquez, C. (2016). La prueba pericial en la experiencia Estadounidense. El caso Daubert. </w:t>
      </w:r>
      <w:r w:rsidRPr="00D66245">
        <w:rPr>
          <w:rFonts w:ascii="Palatino Linotype" w:hAnsi="Palatino Linotype" w:cs="Times New Roman"/>
          <w:i/>
          <w:iCs/>
          <w:noProof/>
          <w:lang w:val="es-ES_tradnl"/>
        </w:rPr>
        <w:t>Jueces Para La Democracia</w:t>
      </w:r>
      <w:r w:rsidRPr="00D66245">
        <w:rPr>
          <w:rFonts w:ascii="Palatino Linotype" w:hAnsi="Palatino Linotype" w:cs="Times New Roman"/>
          <w:noProof/>
          <w:lang w:val="es-ES_tradnl"/>
        </w:rPr>
        <w:t xml:space="preserve">, </w:t>
      </w:r>
      <w:r w:rsidRPr="00D66245">
        <w:rPr>
          <w:rFonts w:ascii="Palatino Linotype" w:hAnsi="Palatino Linotype" w:cs="Times New Roman"/>
          <w:i/>
          <w:iCs/>
          <w:noProof/>
          <w:lang w:val="es-ES_tradnl"/>
        </w:rPr>
        <w:t>86</w:t>
      </w:r>
      <w:r w:rsidRPr="00D66245">
        <w:rPr>
          <w:rFonts w:ascii="Palatino Linotype" w:hAnsi="Palatino Linotype" w:cs="Times New Roman"/>
          <w:noProof/>
          <w:lang w:val="es-ES_tradnl"/>
        </w:rPr>
        <w:t>, 92–112.</w:t>
      </w:r>
    </w:p>
    <w:p w14:paraId="3EBE3E12"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n-US"/>
        </w:rPr>
      </w:pPr>
      <w:r w:rsidRPr="00D66245">
        <w:rPr>
          <w:rFonts w:ascii="Palatino Linotype" w:hAnsi="Palatino Linotype" w:cs="Times New Roman"/>
          <w:noProof/>
          <w:lang w:val="es-ES_tradnl"/>
        </w:rPr>
        <w:t xml:space="preserve">Vega Monge, A. (2015). </w:t>
      </w:r>
      <w:r w:rsidRPr="00D66245">
        <w:rPr>
          <w:rFonts w:ascii="Palatino Linotype" w:hAnsi="Palatino Linotype" w:cs="Times New Roman"/>
          <w:i/>
          <w:iCs/>
          <w:noProof/>
          <w:lang w:val="es-ES_tradnl"/>
        </w:rPr>
        <w:t>Populismo punitivo y medios de comunicación</w:t>
      </w:r>
      <w:r w:rsidRPr="00D66245">
        <w:rPr>
          <w:rFonts w:ascii="Palatino Linotype" w:hAnsi="Palatino Linotype" w:cs="Times New Roman"/>
          <w:noProof/>
          <w:lang w:val="es-ES_tradnl"/>
        </w:rPr>
        <w:t xml:space="preserve">. </w:t>
      </w:r>
      <w:r w:rsidRPr="00D66245">
        <w:rPr>
          <w:rFonts w:ascii="Palatino Linotype" w:hAnsi="Palatino Linotype" w:cs="Times New Roman"/>
          <w:noProof/>
          <w:lang w:val="en-US"/>
        </w:rPr>
        <w:t>San José: Editorial Jurídica Continental.</w:t>
      </w:r>
    </w:p>
    <w:p w14:paraId="236006B1"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noProof/>
          <w:lang w:val="en-US"/>
        </w:rPr>
      </w:pPr>
      <w:r w:rsidRPr="00D66245">
        <w:rPr>
          <w:rFonts w:ascii="Palatino Linotype" w:hAnsi="Palatino Linotype" w:cs="Times New Roman"/>
          <w:noProof/>
          <w:lang w:val="en-US"/>
        </w:rPr>
        <w:t xml:space="preserve">Wells, G. et. al. (2012). Why do motions to suppress suggestive eyewitness identifications fail? In B. Cutler (Ed.), </w:t>
      </w:r>
      <w:r w:rsidRPr="00D66245">
        <w:rPr>
          <w:rFonts w:ascii="Palatino Linotype" w:hAnsi="Palatino Linotype" w:cs="Times New Roman"/>
          <w:i/>
          <w:iCs/>
          <w:noProof/>
          <w:lang w:val="en-US"/>
        </w:rPr>
        <w:t>Conviction of the innocent</w:t>
      </w:r>
      <w:r w:rsidRPr="00D66245">
        <w:rPr>
          <w:rFonts w:ascii="Palatino Linotype" w:hAnsi="Palatino Linotype" w:cs="Times New Roman"/>
          <w:noProof/>
          <w:lang w:val="en-US"/>
        </w:rPr>
        <w:t>. Washington D.C.</w:t>
      </w:r>
    </w:p>
    <w:p w14:paraId="35ED7916"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i/>
          <w:lang w:val="en-US"/>
        </w:rPr>
      </w:pPr>
      <w:r w:rsidRPr="00D66245">
        <w:rPr>
          <w:rFonts w:ascii="Palatino Linotype" w:hAnsi="Palatino Linotype" w:cs="Times New Roman"/>
        </w:rPr>
        <w:fldChar w:fldCharType="end"/>
      </w:r>
      <w:r w:rsidRPr="00D66245">
        <w:rPr>
          <w:rFonts w:ascii="Palatino Linotype" w:hAnsi="Palatino Linotype" w:cs="Times New Roman"/>
          <w:lang w:val="en-US"/>
        </w:rPr>
        <w:t xml:space="preserve">Suprema Corte de Canadá, caso </w:t>
      </w:r>
      <w:r w:rsidRPr="00D66245">
        <w:rPr>
          <w:rFonts w:ascii="Palatino Linotype" w:hAnsi="Palatino Linotype" w:cs="Times New Roman"/>
          <w:i/>
          <w:lang w:val="en-US"/>
        </w:rPr>
        <w:t>White Burgess vs. Abbott and Haliburton.</w:t>
      </w:r>
    </w:p>
    <w:p w14:paraId="724B1116" w14:textId="77777777" w:rsidR="00B377B2" w:rsidRPr="00D66245" w:rsidRDefault="00B377B2" w:rsidP="00BC0DD2">
      <w:pPr>
        <w:widowControl w:val="0"/>
        <w:autoSpaceDE w:val="0"/>
        <w:autoSpaceDN w:val="0"/>
        <w:adjustRightInd w:val="0"/>
        <w:spacing w:before="120" w:after="200"/>
        <w:ind w:left="480" w:hanging="480"/>
        <w:jc w:val="both"/>
        <w:rPr>
          <w:rFonts w:ascii="Palatino Linotype" w:hAnsi="Palatino Linotype" w:cs="Times New Roman"/>
          <w:lang w:val="en-US"/>
        </w:rPr>
      </w:pPr>
      <w:r w:rsidRPr="00D66245">
        <w:rPr>
          <w:rFonts w:ascii="Palatino Linotype" w:hAnsi="Palatino Linotype" w:cs="Times New Roman"/>
          <w:lang w:val="en-US"/>
        </w:rPr>
        <w:t xml:space="preserve">Fraser, Scott. </w:t>
      </w:r>
      <w:r w:rsidRPr="00D66245">
        <w:rPr>
          <w:rFonts w:ascii="Palatino Linotype" w:hAnsi="Palatino Linotype" w:cs="Times New Roman"/>
          <w:i/>
          <w:lang w:val="en-US"/>
        </w:rPr>
        <w:t xml:space="preserve">The problem with eyewitness testimony. </w:t>
      </w:r>
      <w:r w:rsidRPr="00D66245">
        <w:rPr>
          <w:rFonts w:ascii="Palatino Linotype" w:hAnsi="Palatino Linotype" w:cs="Times New Roman"/>
          <w:lang w:val="en-US"/>
        </w:rPr>
        <w:t>Retrieve from https://youtu.be/buhMdC7MO0U</w:t>
      </w:r>
    </w:p>
    <w:p w14:paraId="2B696F67"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lang w:val="es-ES_tradnl"/>
        </w:rPr>
      </w:pPr>
      <w:r w:rsidRPr="00D66245">
        <w:rPr>
          <w:rFonts w:ascii="Palatino Linotype" w:hAnsi="Palatino Linotype" w:cs="Times New Roman"/>
          <w:b/>
          <w:lang w:val="es-ES_tradnl"/>
        </w:rPr>
        <w:t>Sentencias citadas</w:t>
      </w:r>
      <w:r w:rsidRPr="00D66245">
        <w:rPr>
          <w:rFonts w:ascii="Palatino Linotype" w:hAnsi="Palatino Linotype" w:cs="Times New Roman"/>
          <w:lang w:val="es-ES_tradnl"/>
        </w:rPr>
        <w:t>:</w:t>
      </w:r>
    </w:p>
    <w:p w14:paraId="62703E5B" w14:textId="77777777" w:rsidR="00B377B2" w:rsidRPr="00D66245" w:rsidRDefault="00B377B2" w:rsidP="00F53211">
      <w:pPr>
        <w:pStyle w:val="Prrafodelista"/>
        <w:widowControl w:val="0"/>
        <w:numPr>
          <w:ilvl w:val="0"/>
          <w:numId w:val="9"/>
        </w:numPr>
        <w:autoSpaceDE w:val="0"/>
        <w:autoSpaceDN w:val="0"/>
        <w:adjustRightInd w:val="0"/>
        <w:spacing w:before="120" w:after="200" w:line="240" w:lineRule="auto"/>
        <w:contextualSpacing w:val="0"/>
        <w:jc w:val="both"/>
        <w:rPr>
          <w:rFonts w:ascii="Palatino Linotype" w:hAnsi="Palatino Linotype" w:cs="Times New Roman"/>
          <w:lang w:val="es-ES_tradnl"/>
        </w:rPr>
      </w:pPr>
      <w:r w:rsidRPr="00D66245">
        <w:rPr>
          <w:rFonts w:ascii="Palatino Linotype" w:hAnsi="Palatino Linotype" w:cs="Times New Roman"/>
          <w:lang w:val="es-ES_tradnl"/>
        </w:rPr>
        <w:t>Nº 25-1998, Sala Tercera de la Corte Suprema de Justicia.</w:t>
      </w:r>
    </w:p>
    <w:p w14:paraId="071522F9" w14:textId="77777777" w:rsidR="00B377B2" w:rsidRPr="00D66245" w:rsidRDefault="00B377B2" w:rsidP="00F53211">
      <w:pPr>
        <w:pStyle w:val="Prrafodelista"/>
        <w:widowControl w:val="0"/>
        <w:numPr>
          <w:ilvl w:val="0"/>
          <w:numId w:val="9"/>
        </w:numPr>
        <w:autoSpaceDE w:val="0"/>
        <w:autoSpaceDN w:val="0"/>
        <w:adjustRightInd w:val="0"/>
        <w:spacing w:before="120" w:after="200" w:line="240" w:lineRule="auto"/>
        <w:contextualSpacing w:val="0"/>
        <w:jc w:val="both"/>
        <w:rPr>
          <w:rFonts w:ascii="Palatino Linotype" w:hAnsi="Palatino Linotype" w:cs="Times New Roman"/>
          <w:lang w:val="es-ES_tradnl"/>
        </w:rPr>
      </w:pPr>
      <w:r w:rsidRPr="00D66245">
        <w:rPr>
          <w:rFonts w:ascii="Palatino Linotype" w:hAnsi="Palatino Linotype" w:cs="Times New Roman"/>
          <w:lang w:val="es-ES_tradnl"/>
        </w:rPr>
        <w:t>Nº 612-2015, Sala Tercera de la Corte Suprema de Justicia.</w:t>
      </w:r>
    </w:p>
    <w:p w14:paraId="50EB4BE0" w14:textId="77777777" w:rsidR="00B377B2" w:rsidRPr="00D66245" w:rsidRDefault="00B377B2" w:rsidP="00F53211">
      <w:pPr>
        <w:pStyle w:val="Prrafodelista"/>
        <w:widowControl w:val="0"/>
        <w:numPr>
          <w:ilvl w:val="0"/>
          <w:numId w:val="9"/>
        </w:numPr>
        <w:autoSpaceDE w:val="0"/>
        <w:autoSpaceDN w:val="0"/>
        <w:adjustRightInd w:val="0"/>
        <w:spacing w:before="120" w:after="200" w:line="240" w:lineRule="auto"/>
        <w:contextualSpacing w:val="0"/>
        <w:jc w:val="both"/>
        <w:rPr>
          <w:rFonts w:ascii="Palatino Linotype" w:hAnsi="Palatino Linotype" w:cs="Times New Roman"/>
          <w:lang w:val="es-ES_tradnl"/>
        </w:rPr>
      </w:pPr>
      <w:r w:rsidRPr="00D66245">
        <w:rPr>
          <w:rFonts w:ascii="Palatino Linotype" w:hAnsi="Palatino Linotype" w:cs="Times New Roman"/>
          <w:lang w:val="es-ES_tradnl"/>
        </w:rPr>
        <w:t>Nº 1644-1993, Sala Constitucional de la Corte Suprema de Justicia.</w:t>
      </w:r>
    </w:p>
    <w:p w14:paraId="6DCAAAA9" w14:textId="77777777" w:rsidR="00B377B2" w:rsidRPr="00D66245" w:rsidRDefault="00B377B2" w:rsidP="00F53211">
      <w:pPr>
        <w:pStyle w:val="Prrafodelista"/>
        <w:widowControl w:val="0"/>
        <w:numPr>
          <w:ilvl w:val="0"/>
          <w:numId w:val="9"/>
        </w:numPr>
        <w:autoSpaceDE w:val="0"/>
        <w:autoSpaceDN w:val="0"/>
        <w:adjustRightInd w:val="0"/>
        <w:spacing w:before="120" w:after="200" w:line="240" w:lineRule="auto"/>
        <w:contextualSpacing w:val="0"/>
        <w:jc w:val="both"/>
        <w:rPr>
          <w:rFonts w:ascii="Palatino Linotype" w:hAnsi="Palatino Linotype" w:cs="Times New Roman"/>
          <w:lang w:val="es-ES_tradnl"/>
        </w:rPr>
      </w:pPr>
      <w:r w:rsidRPr="00D66245">
        <w:rPr>
          <w:rFonts w:ascii="Palatino Linotype" w:hAnsi="Palatino Linotype" w:cs="Times New Roman"/>
          <w:lang w:val="es-ES_tradnl"/>
        </w:rPr>
        <w:t>Nº 72-2001, Sala Constitucional de la Corte Suprema de Justicia.</w:t>
      </w:r>
    </w:p>
    <w:p w14:paraId="130210E1" w14:textId="77777777" w:rsidR="00B377B2" w:rsidRPr="00D66245" w:rsidRDefault="00B377B2" w:rsidP="00F53211">
      <w:pPr>
        <w:pStyle w:val="Prrafodelista"/>
        <w:widowControl w:val="0"/>
        <w:numPr>
          <w:ilvl w:val="0"/>
          <w:numId w:val="9"/>
        </w:numPr>
        <w:autoSpaceDE w:val="0"/>
        <w:autoSpaceDN w:val="0"/>
        <w:adjustRightInd w:val="0"/>
        <w:spacing w:before="120" w:after="200" w:line="240" w:lineRule="auto"/>
        <w:contextualSpacing w:val="0"/>
        <w:jc w:val="both"/>
        <w:rPr>
          <w:rFonts w:ascii="Palatino Linotype" w:hAnsi="Palatino Linotype" w:cs="Times New Roman"/>
          <w:lang w:val="es-ES_tradnl"/>
        </w:rPr>
      </w:pPr>
      <w:r w:rsidRPr="00D66245">
        <w:rPr>
          <w:rFonts w:ascii="Palatino Linotype" w:hAnsi="Palatino Linotype" w:cs="Times New Roman"/>
          <w:lang w:val="es-ES_tradnl"/>
        </w:rPr>
        <w:t xml:space="preserve">Nº 2016-0333, Tribunal de Apelación de Sentencia Penal del Segundo Circuito Judicial de San José. </w:t>
      </w:r>
    </w:p>
    <w:p w14:paraId="514E4867" w14:textId="77777777" w:rsidR="00B377B2" w:rsidRPr="00D66245" w:rsidRDefault="00B377B2" w:rsidP="00F53211">
      <w:pPr>
        <w:pStyle w:val="Prrafodelista"/>
        <w:widowControl w:val="0"/>
        <w:numPr>
          <w:ilvl w:val="0"/>
          <w:numId w:val="9"/>
        </w:numPr>
        <w:autoSpaceDE w:val="0"/>
        <w:autoSpaceDN w:val="0"/>
        <w:adjustRightInd w:val="0"/>
        <w:spacing w:before="120" w:after="200" w:line="240" w:lineRule="auto"/>
        <w:contextualSpacing w:val="0"/>
        <w:jc w:val="both"/>
        <w:rPr>
          <w:rFonts w:ascii="Palatino Linotype" w:hAnsi="Palatino Linotype" w:cs="Times New Roman"/>
          <w:lang w:val="es-ES_tradnl"/>
        </w:rPr>
      </w:pPr>
      <w:r w:rsidRPr="00D66245">
        <w:rPr>
          <w:rFonts w:ascii="Palatino Linotype" w:hAnsi="Palatino Linotype" w:cs="Times New Roman"/>
          <w:lang w:val="es-ES_tradnl"/>
        </w:rPr>
        <w:t>Nº 947-2016, Tribunal de Apelación de Sentencia Penal del Segundo Circuito Judicial de San José.</w:t>
      </w:r>
    </w:p>
    <w:p w14:paraId="433C67E4" w14:textId="77777777" w:rsidR="00B377B2" w:rsidRPr="00D66245" w:rsidRDefault="00B377B2" w:rsidP="00F53211">
      <w:pPr>
        <w:pStyle w:val="Prrafodelista"/>
        <w:widowControl w:val="0"/>
        <w:numPr>
          <w:ilvl w:val="0"/>
          <w:numId w:val="9"/>
        </w:numPr>
        <w:autoSpaceDE w:val="0"/>
        <w:autoSpaceDN w:val="0"/>
        <w:adjustRightInd w:val="0"/>
        <w:spacing w:before="120" w:after="200" w:line="240" w:lineRule="auto"/>
        <w:contextualSpacing w:val="0"/>
        <w:jc w:val="both"/>
        <w:rPr>
          <w:rFonts w:ascii="Palatino Linotype" w:hAnsi="Palatino Linotype" w:cs="Times New Roman"/>
          <w:lang w:val="es-ES_tradnl"/>
        </w:rPr>
      </w:pPr>
      <w:r w:rsidRPr="00D66245">
        <w:rPr>
          <w:rFonts w:ascii="Palatino Linotype" w:hAnsi="Palatino Linotype" w:cs="Times New Roman"/>
          <w:lang w:val="es-ES_tradnl"/>
        </w:rPr>
        <w:t>Nº 1118-2017, Tribunal de Apelación de Sentencia Penal del Segundo Circuito Judicial de San José.</w:t>
      </w:r>
    </w:p>
    <w:p w14:paraId="7F6A72D0" w14:textId="77777777" w:rsidR="00B377B2" w:rsidRPr="00D66245" w:rsidRDefault="00B377B2" w:rsidP="00F53211">
      <w:pPr>
        <w:pStyle w:val="Prrafodelista"/>
        <w:widowControl w:val="0"/>
        <w:numPr>
          <w:ilvl w:val="0"/>
          <w:numId w:val="9"/>
        </w:numPr>
        <w:autoSpaceDE w:val="0"/>
        <w:autoSpaceDN w:val="0"/>
        <w:adjustRightInd w:val="0"/>
        <w:spacing w:before="120" w:after="200" w:line="240" w:lineRule="auto"/>
        <w:contextualSpacing w:val="0"/>
        <w:jc w:val="both"/>
        <w:rPr>
          <w:rFonts w:ascii="Palatino Linotype" w:hAnsi="Palatino Linotype" w:cs="Times New Roman"/>
          <w:lang w:val="es-ES_tradnl"/>
        </w:rPr>
      </w:pPr>
      <w:r w:rsidRPr="00D66245">
        <w:rPr>
          <w:rFonts w:ascii="Palatino Linotype" w:hAnsi="Palatino Linotype" w:cs="Times New Roman"/>
          <w:lang w:val="es-ES_tradnl"/>
        </w:rPr>
        <w:t xml:space="preserve">Nº 239-201, Tribunal de Apelación de Sentencia Penal de Cartago. </w:t>
      </w:r>
    </w:p>
    <w:p w14:paraId="31C37F5D" w14:textId="77777777" w:rsidR="00B377B2" w:rsidRPr="00D66245" w:rsidRDefault="00B377B2" w:rsidP="00F53211">
      <w:pPr>
        <w:pStyle w:val="Prrafodelista"/>
        <w:widowControl w:val="0"/>
        <w:numPr>
          <w:ilvl w:val="0"/>
          <w:numId w:val="9"/>
        </w:numPr>
        <w:autoSpaceDE w:val="0"/>
        <w:autoSpaceDN w:val="0"/>
        <w:adjustRightInd w:val="0"/>
        <w:spacing w:before="120" w:after="200" w:line="240" w:lineRule="auto"/>
        <w:contextualSpacing w:val="0"/>
        <w:jc w:val="both"/>
        <w:rPr>
          <w:rFonts w:ascii="Palatino Linotype" w:hAnsi="Palatino Linotype" w:cs="Times New Roman"/>
          <w:lang w:val="es-ES_tradnl"/>
        </w:rPr>
      </w:pPr>
      <w:r w:rsidRPr="00D66245">
        <w:rPr>
          <w:rFonts w:ascii="Palatino Linotype" w:hAnsi="Palatino Linotype" w:cs="Times New Roman"/>
          <w:lang w:val="es-ES_tradnl"/>
        </w:rPr>
        <w:t>Nº 513-2017, Tribunal de Apelación de Sentencia Penal de Cartago.</w:t>
      </w:r>
    </w:p>
    <w:p w14:paraId="33F9D88B" w14:textId="77777777" w:rsidR="00B377B2" w:rsidRPr="00D66245" w:rsidRDefault="00B377B2" w:rsidP="00F53211">
      <w:pPr>
        <w:pStyle w:val="Prrafodelista"/>
        <w:widowControl w:val="0"/>
        <w:numPr>
          <w:ilvl w:val="0"/>
          <w:numId w:val="9"/>
        </w:numPr>
        <w:autoSpaceDE w:val="0"/>
        <w:autoSpaceDN w:val="0"/>
        <w:adjustRightInd w:val="0"/>
        <w:spacing w:before="120" w:after="200" w:line="240" w:lineRule="auto"/>
        <w:contextualSpacing w:val="0"/>
        <w:jc w:val="both"/>
        <w:rPr>
          <w:rFonts w:ascii="Palatino Linotype" w:hAnsi="Palatino Linotype" w:cs="Times New Roman"/>
          <w:lang w:val="es-ES_tradnl"/>
        </w:rPr>
      </w:pPr>
      <w:r w:rsidRPr="00D66245">
        <w:rPr>
          <w:rFonts w:ascii="Palatino Linotype" w:hAnsi="Palatino Linotype" w:cs="Times New Roman"/>
          <w:lang w:val="es-ES_tradnl"/>
        </w:rPr>
        <w:t xml:space="preserve">Nº 475-2017, Tribunal de Apelación de Sentencia Penal de Cartago. </w:t>
      </w:r>
    </w:p>
    <w:p w14:paraId="1131666F" w14:textId="77777777" w:rsidR="00B377B2" w:rsidRPr="00D66245" w:rsidRDefault="00B377B2" w:rsidP="00F53211">
      <w:pPr>
        <w:widowControl w:val="0"/>
        <w:autoSpaceDE w:val="0"/>
        <w:autoSpaceDN w:val="0"/>
        <w:adjustRightInd w:val="0"/>
        <w:spacing w:before="120" w:after="200"/>
        <w:jc w:val="both"/>
        <w:rPr>
          <w:rFonts w:ascii="Palatino Linotype" w:hAnsi="Palatino Linotype" w:cs="Times New Roman"/>
          <w:b/>
          <w:lang w:val="es-ES_tradnl"/>
        </w:rPr>
      </w:pPr>
      <w:r w:rsidRPr="00D66245">
        <w:rPr>
          <w:rFonts w:ascii="Palatino Linotype" w:hAnsi="Palatino Linotype" w:cs="Times New Roman"/>
          <w:b/>
          <w:lang w:val="es-ES_tradnl"/>
        </w:rPr>
        <w:t>Entrevista semi-estructurada:</w:t>
      </w:r>
    </w:p>
    <w:p w14:paraId="0D40E216" w14:textId="77777777" w:rsidR="006229D5" w:rsidRDefault="00B377B2" w:rsidP="003920ED">
      <w:pPr>
        <w:widowControl w:val="0"/>
        <w:autoSpaceDE w:val="0"/>
        <w:autoSpaceDN w:val="0"/>
        <w:adjustRightInd w:val="0"/>
        <w:spacing w:before="120" w:after="200"/>
        <w:jc w:val="both"/>
        <w:rPr>
          <w:rFonts w:ascii="Palatino Linotype" w:hAnsi="Palatino Linotype" w:cs="Arial"/>
        </w:rPr>
      </w:pPr>
      <w:r w:rsidRPr="00D66245">
        <w:rPr>
          <w:rFonts w:ascii="Palatino Linotype" w:hAnsi="Palatino Linotype" w:cs="Times New Roman"/>
          <w:lang w:val="es-ES_tradnl"/>
        </w:rPr>
        <w:t>Realizada personalmente a 12 funcionarios de los Tribunales de Justicia del Segundo Circuito Judicial de la Zona Sur (sede Golfito), en fecha 25 de octubre de 2018. La composición de los entrevistados fue la siguiente: 4 fiscales, 4 defensores públicos y 4 ju</w:t>
      </w:r>
      <w:r w:rsidRPr="00D66245">
        <w:rPr>
          <w:rFonts w:ascii="Palatino Linotype" w:hAnsi="Palatino Linotype" w:cs="Times New Roman"/>
        </w:rPr>
        <w:t>eces de juicio.</w:t>
      </w:r>
      <w:r w:rsidR="003920ED" w:rsidRPr="00D66245">
        <w:rPr>
          <w:rFonts w:ascii="Palatino Linotype" w:hAnsi="Palatino Linotype" w:cs="Arial"/>
        </w:rPr>
        <w:t xml:space="preserve"> </w:t>
      </w:r>
    </w:p>
    <w:p w14:paraId="3EA1EA99" w14:textId="77777777" w:rsidR="006229D5" w:rsidRDefault="006229D5" w:rsidP="003920ED">
      <w:pPr>
        <w:widowControl w:val="0"/>
        <w:autoSpaceDE w:val="0"/>
        <w:autoSpaceDN w:val="0"/>
        <w:adjustRightInd w:val="0"/>
        <w:spacing w:before="120" w:after="200"/>
        <w:jc w:val="both"/>
        <w:rPr>
          <w:rFonts w:ascii="Palatino Linotype" w:hAnsi="Palatino Linotype" w:cs="Arial"/>
        </w:rPr>
      </w:pPr>
    </w:p>
    <w:p w14:paraId="771723A1" w14:textId="0D2E272F" w:rsidR="006229D5" w:rsidRDefault="006229D5" w:rsidP="003920ED">
      <w:pPr>
        <w:widowControl w:val="0"/>
        <w:autoSpaceDE w:val="0"/>
        <w:autoSpaceDN w:val="0"/>
        <w:adjustRightInd w:val="0"/>
        <w:spacing w:before="120" w:after="200"/>
        <w:jc w:val="both"/>
        <w:rPr>
          <w:rFonts w:ascii="Palatino Linotype" w:hAnsi="Palatino Linotype" w:cs="Arial"/>
        </w:rPr>
        <w:sectPr w:rsidR="006229D5" w:rsidSect="00D95FD2">
          <w:headerReference w:type="even" r:id="rId64"/>
          <w:headerReference w:type="default" r:id="rId65"/>
          <w:type w:val="oddPage"/>
          <w:pgSz w:w="12242" w:h="15842" w:code="1"/>
          <w:pgMar w:top="1474" w:right="2098" w:bottom="1021" w:left="2778" w:header="851" w:footer="2835" w:gutter="0"/>
          <w:cols w:space="708"/>
          <w:titlePg/>
          <w:docGrid w:linePitch="360"/>
        </w:sectPr>
      </w:pPr>
    </w:p>
    <w:p w14:paraId="2DD86DE0" w14:textId="77777777" w:rsidR="006229D5" w:rsidRDefault="006229D5" w:rsidP="006229D5">
      <w:pPr>
        <w:widowControl w:val="0"/>
      </w:pPr>
      <w:bookmarkStart w:id="69" w:name="_Toc128992534"/>
      <w:bookmarkStart w:id="70" w:name="_Hlk8638454"/>
    </w:p>
    <w:p w14:paraId="62FBFF58" w14:textId="77777777" w:rsidR="006229D5" w:rsidRPr="006229D5" w:rsidRDefault="006229D5" w:rsidP="006229D5">
      <w:pPr>
        <w:widowControl w:val="0"/>
        <w:pBdr>
          <w:top w:val="nil"/>
          <w:left w:val="nil"/>
          <w:bottom w:val="nil"/>
          <w:right w:val="nil"/>
          <w:between w:val="nil"/>
        </w:pBdr>
        <w:spacing w:before="120" w:after="200"/>
        <w:jc w:val="center"/>
        <w:rPr>
          <w:rFonts w:ascii="Palatino Linotype" w:eastAsia="Arial" w:hAnsi="Palatino Linotype" w:cs="Arial"/>
          <w:b/>
          <w:color w:val="000000"/>
          <w:lang w:val="es-ES_tradnl" w:eastAsia="es-ES_tradnl"/>
        </w:rPr>
      </w:pPr>
      <w:r w:rsidRPr="006229D5">
        <w:rPr>
          <w:rFonts w:ascii="Palatino Linotype" w:eastAsia="Arial" w:hAnsi="Palatino Linotype" w:cs="Arial"/>
          <w:b/>
          <w:color w:val="000000"/>
          <w:lang w:val="es-ES_tradnl" w:eastAsia="es-ES_tradnl"/>
        </w:rPr>
        <w:t>LA APELACIÓN EN EL PROCESO PENAL COSTARRICENSE</w:t>
      </w:r>
    </w:p>
    <w:p w14:paraId="787FAC0E" w14:textId="77777777" w:rsidR="006229D5" w:rsidRPr="006229D5" w:rsidRDefault="006229D5" w:rsidP="006229D5">
      <w:pPr>
        <w:widowControl w:val="0"/>
        <w:pBdr>
          <w:top w:val="nil"/>
          <w:left w:val="nil"/>
          <w:bottom w:val="nil"/>
          <w:right w:val="nil"/>
          <w:between w:val="nil"/>
        </w:pBdr>
        <w:spacing w:before="120" w:after="200"/>
        <w:jc w:val="right"/>
        <w:rPr>
          <w:rFonts w:ascii="Palatino Linotype" w:eastAsia="Arial" w:hAnsi="Palatino Linotype" w:cs="Arial"/>
          <w:i/>
          <w:color w:val="000000"/>
          <w:lang w:val="es-ES_tradnl" w:eastAsia="es-ES_tradnl"/>
        </w:rPr>
      </w:pPr>
    </w:p>
    <w:p w14:paraId="54F8942A" w14:textId="77777777" w:rsidR="006229D5" w:rsidRPr="006229D5" w:rsidRDefault="006229D5" w:rsidP="006229D5">
      <w:pPr>
        <w:widowControl w:val="0"/>
        <w:pBdr>
          <w:top w:val="nil"/>
          <w:left w:val="nil"/>
          <w:bottom w:val="nil"/>
          <w:right w:val="nil"/>
          <w:between w:val="nil"/>
        </w:pBdr>
        <w:spacing w:before="120" w:after="200"/>
        <w:jc w:val="right"/>
        <w:rPr>
          <w:rFonts w:ascii="Palatino Linotype" w:eastAsia="Arial" w:hAnsi="Palatino Linotype" w:cs="Arial"/>
          <w:i/>
          <w:color w:val="000000"/>
          <w:lang w:val="es-ES_tradnl" w:eastAsia="es-ES_tradnl"/>
        </w:rPr>
      </w:pPr>
      <w:r w:rsidRPr="006229D5">
        <w:rPr>
          <w:rFonts w:ascii="Palatino Linotype" w:eastAsia="Arial" w:hAnsi="Palatino Linotype" w:cs="Arial"/>
          <w:i/>
          <w:color w:val="000000"/>
          <w:lang w:val="es-ES_tradnl" w:eastAsia="es-ES_tradnl"/>
        </w:rPr>
        <w:t>Dr. Erick Gatgens Gómez</w:t>
      </w:r>
      <w:r w:rsidRPr="006229D5">
        <w:rPr>
          <w:rFonts w:ascii="Palatino Linotype" w:eastAsia="Arial" w:hAnsi="Palatino Linotype" w:cs="Arial"/>
          <w:i/>
          <w:color w:val="000000"/>
          <w:vertAlign w:val="superscript"/>
          <w:lang w:val="es-ES_tradnl" w:eastAsia="es-ES_tradnl"/>
        </w:rPr>
        <w:footnoteReference w:id="450"/>
      </w:r>
    </w:p>
    <w:p w14:paraId="5F58EB7E" w14:textId="77777777" w:rsidR="006229D5" w:rsidRPr="006229D5" w:rsidRDefault="006229D5" w:rsidP="006229D5">
      <w:pPr>
        <w:widowControl w:val="0"/>
        <w:pBdr>
          <w:top w:val="nil"/>
          <w:left w:val="nil"/>
          <w:bottom w:val="nil"/>
          <w:right w:val="nil"/>
          <w:between w:val="nil"/>
        </w:pBdr>
        <w:spacing w:before="120" w:after="200"/>
        <w:rPr>
          <w:rFonts w:ascii="Palatino Linotype" w:eastAsia="Arial" w:hAnsi="Palatino Linotype" w:cs="Arial"/>
          <w:b/>
          <w:color w:val="000000"/>
          <w:lang w:val="es-ES_tradnl" w:eastAsia="es-ES_tradnl"/>
        </w:rPr>
      </w:pPr>
    </w:p>
    <w:p w14:paraId="714F319D" w14:textId="77777777" w:rsidR="006229D5" w:rsidRPr="006229D5" w:rsidRDefault="006229D5" w:rsidP="006229D5">
      <w:pPr>
        <w:widowControl w:val="0"/>
        <w:pBdr>
          <w:top w:val="nil"/>
          <w:left w:val="nil"/>
          <w:bottom w:val="nil"/>
          <w:right w:val="nil"/>
          <w:between w:val="nil"/>
        </w:pBdr>
        <w:tabs>
          <w:tab w:val="left" w:pos="7513"/>
        </w:tabs>
        <w:spacing w:before="120" w:after="200"/>
        <w:ind w:left="1134" w:right="1325"/>
        <w:rPr>
          <w:rFonts w:ascii="Palatino Linotype" w:eastAsia="Arial" w:hAnsi="Palatino Linotype" w:cs="Arial"/>
          <w:b/>
          <w:color w:val="000000"/>
          <w:lang w:val="es-ES_tradnl" w:eastAsia="es-ES_tradnl"/>
        </w:rPr>
      </w:pPr>
      <w:r w:rsidRPr="006229D5">
        <w:rPr>
          <w:rFonts w:ascii="Palatino Linotype" w:eastAsia="Arial" w:hAnsi="Palatino Linotype" w:cs="Arial"/>
          <w:b/>
          <w:color w:val="000000"/>
          <w:u w:val="single"/>
          <w:lang w:val="es-ES_tradnl" w:eastAsia="es-ES_tradnl"/>
        </w:rPr>
        <w:t>Sumario</w:t>
      </w:r>
      <w:r w:rsidRPr="006229D5">
        <w:rPr>
          <w:rFonts w:ascii="Palatino Linotype" w:eastAsia="Arial" w:hAnsi="Palatino Linotype" w:cs="Arial"/>
          <w:b/>
          <w:color w:val="000000"/>
          <w:lang w:val="es-ES_tradnl" w:eastAsia="es-ES_tradnl"/>
        </w:rPr>
        <w:t>: I. Introducción. II. La importancia de los recursos en el proceso penal. III. La apelación como medio para evitar la arbitrariedad judicial. IV.  Vicios in procedendo y vicios in iudicando  V. El recurso de apelación “interlocutorio”. VI. El recurso de apelación de sentencia. VII. Bibliografía.</w:t>
      </w:r>
    </w:p>
    <w:p w14:paraId="062F4302" w14:textId="77777777" w:rsidR="006229D5" w:rsidRPr="006229D5" w:rsidRDefault="006229D5" w:rsidP="006229D5">
      <w:pPr>
        <w:widowControl w:val="0"/>
        <w:pBdr>
          <w:top w:val="nil"/>
          <w:left w:val="nil"/>
          <w:bottom w:val="nil"/>
          <w:right w:val="nil"/>
          <w:between w:val="nil"/>
        </w:pBdr>
        <w:spacing w:before="120" w:after="200"/>
        <w:jc w:val="center"/>
        <w:rPr>
          <w:rFonts w:ascii="Palatino Linotype" w:eastAsia="Arial" w:hAnsi="Palatino Linotype" w:cs="Arial"/>
          <w:b/>
          <w:color w:val="000000"/>
          <w:lang w:val="es-ES_tradnl" w:eastAsia="es-ES_tradnl"/>
        </w:rPr>
      </w:pPr>
    </w:p>
    <w:p w14:paraId="30E6E40C" w14:textId="77777777" w:rsidR="006229D5" w:rsidRPr="006229D5" w:rsidRDefault="006229D5" w:rsidP="006229D5">
      <w:pPr>
        <w:widowControl w:val="0"/>
        <w:pBdr>
          <w:top w:val="nil"/>
          <w:left w:val="nil"/>
          <w:bottom w:val="nil"/>
          <w:right w:val="nil"/>
          <w:between w:val="nil"/>
        </w:pBdr>
        <w:spacing w:before="120" w:after="200"/>
        <w:ind w:right="357"/>
        <w:rPr>
          <w:rFonts w:ascii="Palatino Linotype" w:eastAsia="Arial" w:hAnsi="Palatino Linotype" w:cs="Arial"/>
          <w:b/>
          <w:color w:val="000000"/>
          <w:lang w:val="es-ES_tradnl" w:eastAsia="es-ES_tradnl"/>
        </w:rPr>
      </w:pPr>
      <w:bookmarkStart w:id="71" w:name="_Toc128971418"/>
      <w:bookmarkStart w:id="72" w:name="_Toc128992535"/>
      <w:bookmarkEnd w:id="69"/>
      <w:r w:rsidRPr="006229D5">
        <w:rPr>
          <w:rFonts w:ascii="Palatino Linotype" w:eastAsia="Arial" w:hAnsi="Palatino Linotype" w:cs="Arial"/>
          <w:b/>
          <w:color w:val="000000"/>
          <w:lang w:val="es-ES_tradnl" w:eastAsia="es-ES_tradnl"/>
        </w:rPr>
        <w:t>I. Introducción</w:t>
      </w:r>
      <w:bookmarkEnd w:id="71"/>
      <w:bookmarkEnd w:id="72"/>
      <w:r w:rsidRPr="006229D5">
        <w:rPr>
          <w:rFonts w:ascii="Palatino Linotype" w:eastAsia="Arial" w:hAnsi="Palatino Linotype" w:cs="Arial"/>
          <w:b/>
          <w:color w:val="000000"/>
          <w:lang w:val="es-ES_tradnl" w:eastAsia="es-ES_tradnl"/>
        </w:rPr>
        <w:t xml:space="preserve">. </w:t>
      </w:r>
    </w:p>
    <w:p w14:paraId="24C770D6"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 xml:space="preserve">Respecto de la apelación en el proceso penal costarricense, es mucho lo que se puede escribir. El presente artículo, por lo tanto, no pretende agotar la multiplicad de temas relevantes que giran en torno a esta temática. Más bien, busca destacar algunos aspectos generales sobre la apelación en el proceso penal costarricense, así como algunos puntos en los que quisiera centrar mi atención para efectos de eventuales reformas. </w:t>
      </w:r>
    </w:p>
    <w:p w14:paraId="1240785E"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Cuando en este artículo hacemos referencia a la apelación en el proceso penal costarricense, resulta necesaria una advertencia previa. El Código Procesal Penal costarricense (en adelante CPP) regula dos tipos de apelación. La primera, que podríamos denominar, de manera impropia, interlocutoria, se encuentra regulada a partir del artículo 452 del CPP. Y ¿por qué decimos que el término “interlocutorio” como adjetivo de esta apelación resulta impropio? Por cuanto el término interlocutorio, hace referencia generalmente a aquella decisión jurisdiccional que tiene lugar antes de la definitiva, que ocurre durante el curso del proceso y, por lo tanto, tiene el carácter de provisional, y aunque es cierto que los dos primeros supuestos de este recurso pueden hacer alusión a medios de impugnación que no se dirigen contra la resolución “final” del proceso, existe un supuesto específico “</w:t>
      </w:r>
      <w:r w:rsidRPr="006229D5">
        <w:rPr>
          <w:rFonts w:ascii="Palatino Linotype" w:hAnsi="Palatino Linotype"/>
          <w:i/>
        </w:rPr>
        <w:t>el de poner fin a la acción</w:t>
      </w:r>
      <w:r w:rsidRPr="006229D5">
        <w:rPr>
          <w:rFonts w:ascii="Palatino Linotype" w:hAnsi="Palatino Linotype"/>
        </w:rPr>
        <w:t xml:space="preserve">” que sí se dirige contra una resolución que pone fin al proceso. No obstante, no encontramos un mejor adjetivo con el cual podamos diferenciar esta apelación, del recurso de apelación de sentencia que se encuentra regulado a partir del artículo 458 del CPP. </w:t>
      </w:r>
    </w:p>
    <w:p w14:paraId="65504D40" w14:textId="77777777" w:rsidR="006229D5" w:rsidRPr="006229D5" w:rsidRDefault="006229D5" w:rsidP="006229D5">
      <w:pPr>
        <w:widowControl w:val="0"/>
        <w:spacing w:before="120" w:after="200"/>
        <w:rPr>
          <w:rFonts w:ascii="Palatino Linotype" w:hAnsi="Palatino Linotype"/>
        </w:rPr>
      </w:pPr>
      <w:bookmarkStart w:id="73" w:name="_Toc128971419"/>
      <w:bookmarkStart w:id="74" w:name="_Toc128992536"/>
      <w:r w:rsidRPr="006229D5">
        <w:rPr>
          <w:rFonts w:ascii="Palatino Linotype" w:hAnsi="Palatino Linotype"/>
          <w:b/>
        </w:rPr>
        <w:t>II</w:t>
      </w:r>
      <w:r w:rsidRPr="006229D5">
        <w:rPr>
          <w:rFonts w:ascii="Palatino Linotype" w:hAnsi="Palatino Linotype"/>
        </w:rPr>
        <w:t xml:space="preserve">. </w:t>
      </w:r>
      <w:r w:rsidRPr="006229D5">
        <w:rPr>
          <w:rFonts w:ascii="Palatino Linotype" w:eastAsia="Arial" w:hAnsi="Palatino Linotype" w:cs="Arial"/>
          <w:b/>
          <w:color w:val="000000"/>
          <w:lang w:val="es-ES_tradnl" w:eastAsia="es-ES_tradnl"/>
        </w:rPr>
        <w:t>La importancia de los recursos en el proceso penal.</w:t>
      </w:r>
      <w:r w:rsidRPr="006229D5">
        <w:rPr>
          <w:rFonts w:ascii="Palatino Linotype" w:hAnsi="Palatino Linotype"/>
        </w:rPr>
        <w:t xml:space="preserve"> </w:t>
      </w:r>
      <w:bookmarkEnd w:id="73"/>
      <w:bookmarkEnd w:id="74"/>
    </w:p>
    <w:p w14:paraId="54B06E36"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Los recursos deben brindarle al afectado, en primer término, protección jurídica</w:t>
      </w:r>
      <w:r w:rsidRPr="006229D5">
        <w:rPr>
          <w:rStyle w:val="Refdenotaalpie"/>
          <w:rFonts w:ascii="Palatino Linotype" w:eastAsia="Times New Roman" w:hAnsi="Palatino Linotype" w:cs="Arial"/>
          <w:color w:val="000000"/>
        </w:rPr>
        <w:footnoteReference w:id="451"/>
      </w:r>
      <w:r w:rsidRPr="006229D5">
        <w:rPr>
          <w:rFonts w:ascii="Palatino Linotype" w:hAnsi="Palatino Linotype"/>
        </w:rPr>
        <w:t xml:space="preserve">, y esa protección jurídica debe estar encaminada, esencialmente, a eliminar la posibilidad del error judicial. </w:t>
      </w:r>
    </w:p>
    <w:p w14:paraId="0F80DEEB"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Para la corrección de los posibles errores que pueda contener una decisión jurisdiccional, el CPP ha provisto diversos medios de impugnación. Este fin general de corrección en sentido fáctico y jurídico le corresponde a todos los recursos.</w:t>
      </w:r>
      <w:r w:rsidRPr="006229D5">
        <w:rPr>
          <w:rStyle w:val="Refdenotaalpie"/>
          <w:rFonts w:ascii="Palatino Linotype" w:eastAsia="Times New Roman" w:hAnsi="Palatino Linotype" w:cs="Arial"/>
          <w:color w:val="000000"/>
        </w:rPr>
        <w:footnoteReference w:id="452"/>
      </w:r>
    </w:p>
    <w:p w14:paraId="5DF493EB"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El afectado por la decisión jurisdiccional tendrá, regularmente, un interés de obtener, con ayuda de los recursos, una decisión „justa“ del caso. Problemático, sin embargo, es qué debemos entender por una decisión „justa“.</w:t>
      </w:r>
      <w:r w:rsidRPr="006229D5">
        <w:rPr>
          <w:rStyle w:val="Refdenotaalpie"/>
          <w:rFonts w:ascii="Palatino Linotype" w:hAnsi="Palatino Linotype"/>
        </w:rPr>
        <w:footnoteReference w:id="453"/>
      </w:r>
      <w:r w:rsidRPr="006229D5">
        <w:rPr>
          <w:rFonts w:ascii="Palatino Linotype" w:hAnsi="Palatino Linotype"/>
        </w:rPr>
        <w:t xml:space="preserve"> </w:t>
      </w:r>
    </w:p>
    <w:p w14:paraId="0ADB8135"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Los recursos – especialmente: la apelación interlocutoria, la apelación de sentencia y la casación- tienen por lo tanto, todos ellos, sin excepción, la tarea de desempeñar una determinada función de control fáctico-jurídico, con la finalidad de asegurar – en la medida de lo posible – una decisión „justa“ del caso concreto.</w:t>
      </w:r>
      <w:r w:rsidRPr="006229D5">
        <w:rPr>
          <w:rStyle w:val="Refdenotaalpie"/>
          <w:rFonts w:ascii="Palatino Linotype" w:eastAsia="Times New Roman" w:hAnsi="Palatino Linotype" w:cs="Arial"/>
          <w:color w:val="000000"/>
        </w:rPr>
        <w:footnoteReference w:id="454"/>
      </w:r>
      <w:r w:rsidRPr="006229D5">
        <w:rPr>
          <w:rFonts w:ascii="Palatino Linotype" w:hAnsi="Palatino Linotype"/>
        </w:rPr>
        <w:t xml:space="preserve"> En este caso, insistimos, pese a las dificultades de obtener un consenso sobre el concepto “justo”, que aquí por decisión judicial justa, entendemos aquella exenta de errores judiciales. </w:t>
      </w:r>
    </w:p>
    <w:p w14:paraId="21F871C6"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La idea de la protección jurídica que, debe garantizarse por medio de los recursos, engloba claramente la idea del resguardo contra la arbitrariedad judicial.  En este sentido se afirma que, el principio de los recursos, que se materializa al hacer posible una revisión de las violaciones procesales, se basa en la idea vigente tanto antes como ahora, de la protección de los sujetos procesales frente a la arbitrariedad judicial.</w:t>
      </w:r>
      <w:r w:rsidRPr="006229D5">
        <w:rPr>
          <w:rStyle w:val="Refdenotaalpie"/>
          <w:rFonts w:ascii="Palatino Linotype" w:eastAsia="Times New Roman" w:hAnsi="Palatino Linotype" w:cs="Arial"/>
          <w:color w:val="000000"/>
        </w:rPr>
        <w:footnoteReference w:id="455"/>
      </w:r>
      <w:r w:rsidRPr="006229D5">
        <w:rPr>
          <w:rFonts w:ascii="Palatino Linotype" w:hAnsi="Palatino Linotype"/>
        </w:rPr>
        <w:t xml:space="preserve"> </w:t>
      </w:r>
    </w:p>
    <w:p w14:paraId="53317027"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En este contexto subraya Roxin que, especialmente la regulación de los vicios procesales sirve a la protección del acusado frente a la arbitrariedad judicial, ya que en el proceso penal actual al acusado debe imponérsele una pena en un proceso conforme al Estado de derecho y que garantice las formas procesales.</w:t>
      </w:r>
      <w:r w:rsidRPr="006229D5">
        <w:rPr>
          <w:rStyle w:val="Refdenotaalpie"/>
          <w:rFonts w:ascii="Palatino Linotype" w:eastAsia="Times New Roman" w:hAnsi="Palatino Linotype" w:cs="Arial"/>
          <w:color w:val="000000"/>
        </w:rPr>
        <w:footnoteReference w:id="456"/>
      </w:r>
      <w:r w:rsidRPr="006229D5">
        <w:rPr>
          <w:rFonts w:ascii="Palatino Linotype" w:hAnsi="Palatino Linotype"/>
        </w:rPr>
        <w:t xml:space="preserve"> Con ello, sin embargo, se pasa por alto, que la arbitrariedad no sólo puede tener lugar mediante vicios procesales. Existe toda una amplia zona del derecho material- que igualmente es propenso a la arbitrariedad, por ejemplo, en los casos de abuso de la discrecionalidad judicial. Por lo tanto, los recursos también deben constituir un control efectivo frente a la arbitrariedad en esta área del derecho. Es por ello que, no solo los vicios procesales también conocidos como </w:t>
      </w:r>
      <w:r w:rsidRPr="006229D5">
        <w:rPr>
          <w:rFonts w:ascii="Palatino Linotype" w:hAnsi="Palatino Linotype"/>
          <w:i/>
        </w:rPr>
        <w:t xml:space="preserve">in procedendo, </w:t>
      </w:r>
      <w:r w:rsidRPr="006229D5">
        <w:rPr>
          <w:rFonts w:ascii="Palatino Linotype" w:hAnsi="Palatino Linotype"/>
        </w:rPr>
        <w:t xml:space="preserve">sirven a la protección del acusado frente a la arbitrariedad judicial. También los vicios </w:t>
      </w:r>
      <w:r w:rsidRPr="006229D5">
        <w:rPr>
          <w:rFonts w:ascii="Palatino Linotype" w:hAnsi="Palatino Linotype"/>
          <w:i/>
        </w:rPr>
        <w:t>in iudicando</w:t>
      </w:r>
      <w:r w:rsidRPr="006229D5">
        <w:rPr>
          <w:rFonts w:ascii="Palatino Linotype" w:hAnsi="Palatino Linotype"/>
        </w:rPr>
        <w:t xml:space="preserve">, deben estar al servicio y protección del acusado en ese sentido.  </w:t>
      </w:r>
    </w:p>
    <w:p w14:paraId="18042111" w14:textId="77777777" w:rsidR="006229D5" w:rsidRPr="006229D5" w:rsidRDefault="006229D5" w:rsidP="006229D5">
      <w:pPr>
        <w:widowControl w:val="0"/>
        <w:spacing w:before="120" w:after="200"/>
        <w:rPr>
          <w:rFonts w:ascii="Palatino Linotype" w:eastAsia="Arial" w:hAnsi="Palatino Linotype" w:cs="Arial"/>
          <w:b/>
          <w:color w:val="000000"/>
          <w:lang w:val="es-ES_tradnl" w:eastAsia="es-ES_tradnl"/>
        </w:rPr>
      </w:pPr>
      <w:r w:rsidRPr="006229D5">
        <w:rPr>
          <w:rFonts w:ascii="Palatino Linotype" w:eastAsia="Arial" w:hAnsi="Palatino Linotype" w:cs="Arial"/>
          <w:b/>
          <w:color w:val="000000"/>
          <w:lang w:val="es-ES_tradnl" w:eastAsia="es-ES_tradnl"/>
        </w:rPr>
        <w:t xml:space="preserve">III. La apelación como medio para evitar la arbitrariedad judicial. </w:t>
      </w:r>
    </w:p>
    <w:p w14:paraId="717543C4"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 xml:space="preserve">En relación con los dos recursos que son objeto de este artículo, podríamos preguntarnos si sirven como un medio para impedir la arbitrariedad judicial. </w:t>
      </w:r>
    </w:p>
    <w:p w14:paraId="3AB5B80E"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 xml:space="preserve">Al respecto debemos señalar que, la posibilidad de formular apelación contra las sentencias de sobreseimiento dictadas durante las etapas preparatoria e intermedia, fue objeto de un trato discriminatorio – y, por lo tanto, violatorio del principio de igualdad- por parte del legislador, respecto de las sentencias, ya sea absolutorias o condenatorias dictadas por el Tribunal de Juicio. </w:t>
      </w:r>
    </w:p>
    <w:p w14:paraId="6862C2AE"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 xml:space="preserve">En ese sentido, el sobreseimiento que dicta, por ejemplo, un juez de la etapa intermedia, únicamente cuenta con el recurso de apelación que aquí hemos denominado “interlocutorio”, el cual debe ser conocido por el Tribunal de Juicio con integración unipersonal, independientemente de la penalidad prevista para el tipo penal que se le haya atribuido al imputado. Resuelta la apelación, esa resolución no cuenta con recurso ulterior alguno. </w:t>
      </w:r>
    </w:p>
    <w:p w14:paraId="2FD385FF"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 xml:space="preserve">Por el contrario, si el asunto logra superar la etapa intermedia y en debate, se dicta una sentencia absolutoria a favor del imputado, esa misma sentencia, tendrá un recurso de apelación, cuyo conocimiento compete al Tribunal de apelación de sentencia respectivo (con integración colegiada); y en caso de declararse sin lugar el recurso, el interesado contaría, adicionalmente, con un recurso de casación, cuyo conocimiento le corresponde a la Sala Tercera (igualmente con integración colegiada). </w:t>
      </w:r>
    </w:p>
    <w:p w14:paraId="60C859FB"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De esta forma observamos que por el sólo hecho de dictarse el sobreseimiento en una etapa anterior al debate, se le da un trato discriminatorio y desigual</w:t>
      </w:r>
      <w:r w:rsidRPr="006229D5">
        <w:rPr>
          <w:rFonts w:ascii="Palatino Linotype" w:hAnsi="Palatino Linotype"/>
          <w:i/>
        </w:rPr>
        <w:t xml:space="preserve"> versus </w:t>
      </w:r>
      <w:r w:rsidRPr="006229D5">
        <w:rPr>
          <w:rFonts w:ascii="Palatino Linotype" w:hAnsi="Palatino Linotype"/>
        </w:rPr>
        <w:t xml:space="preserve">aquellos casos que sí lleguen a la fase de juicio. </w:t>
      </w:r>
    </w:p>
    <w:p w14:paraId="0130E3EE"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 xml:space="preserve">En otro orden de ideas, </w:t>
      </w:r>
      <w:r w:rsidRPr="006229D5">
        <w:rPr>
          <w:rFonts w:ascii="Palatino Linotype" w:hAnsi="Palatino Linotype"/>
          <w:b/>
        </w:rPr>
        <w:t>respecto de la apelación de sentencia</w:t>
      </w:r>
      <w:r w:rsidRPr="006229D5">
        <w:rPr>
          <w:rFonts w:ascii="Palatino Linotype" w:hAnsi="Palatino Linotype"/>
        </w:rPr>
        <w:t xml:space="preserve">, tenemos que en la doctrina se distinguen tradicionalmente dos modelos: </w:t>
      </w:r>
      <w:r w:rsidRPr="006229D5">
        <w:rPr>
          <w:rFonts w:ascii="Palatino Linotype" w:hAnsi="Palatino Linotype"/>
          <w:b/>
        </w:rPr>
        <w:t xml:space="preserve">la apelación amplia, plena u ordinaria y la apelación limitada. </w:t>
      </w:r>
      <w:r w:rsidRPr="006229D5">
        <w:rPr>
          <w:rFonts w:ascii="Palatino Linotype" w:hAnsi="Palatino Linotype"/>
        </w:rPr>
        <w:t>Nuestro legislador se decidió por la apelación limitada, en la cual no se realiza un nuevo juicio, sino que se lleva a cabo un análisis o fiscalización lo más extenso posible, de la sentencia de primera instancia. Ese análisis está determinado por los vicios que formulen los interesados -</w:t>
      </w:r>
      <w:r w:rsidRPr="006229D5">
        <w:rPr>
          <w:rFonts w:ascii="Palatino Linotype" w:hAnsi="Palatino Linotype"/>
          <w:i/>
        </w:rPr>
        <w:t xml:space="preserve">tantum devolutum quantum apellatum- </w:t>
      </w:r>
      <w:r w:rsidRPr="006229D5">
        <w:rPr>
          <w:rFonts w:ascii="Palatino Linotype" w:hAnsi="Palatino Linotype"/>
        </w:rPr>
        <w:t xml:space="preserve">así como por la posibilidad del Tribunal de Apelación de sentencia de determinar aquellos vicios absolutos que deban declararse de oficio. </w:t>
      </w:r>
    </w:p>
    <w:p w14:paraId="4BA4CA99"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 xml:space="preserve">Por su parte, en la </w:t>
      </w:r>
      <w:r w:rsidRPr="006229D5">
        <w:rPr>
          <w:rFonts w:ascii="Palatino Linotype" w:hAnsi="Palatino Linotype"/>
          <w:b/>
        </w:rPr>
        <w:t>apelación amplia</w:t>
      </w:r>
      <w:r w:rsidRPr="006229D5">
        <w:rPr>
          <w:rFonts w:ascii="Palatino Linotype" w:hAnsi="Palatino Linotype"/>
        </w:rPr>
        <w:t>, tal y como la conoce la Ordenanza Procesal penal alemana en los §§ 312 y ss., se debe llevar a cabo un nuevo juicio sobre el objeto del proceso ante el Tribunal de apelación (como una segunda primera instancia).</w:t>
      </w:r>
      <w:r w:rsidRPr="006229D5">
        <w:rPr>
          <w:rStyle w:val="Refdenotaalpie"/>
          <w:rFonts w:ascii="Palatino Linotype" w:hAnsi="Palatino Linotype"/>
        </w:rPr>
        <w:footnoteReference w:id="457"/>
      </w:r>
      <w:r w:rsidRPr="006229D5">
        <w:rPr>
          <w:rFonts w:ascii="Palatino Linotype" w:hAnsi="Palatino Linotype"/>
        </w:rPr>
        <w:t xml:space="preserve"> </w:t>
      </w:r>
    </w:p>
    <w:p w14:paraId="0BFD1EB6"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En esta modalidad, el Tribunal de apelación no controla la posible existencia de errores que pueda contener la sentencia impugnada,  sino que será sobre la base del auto de apertura a juicio que se discutirá el asunto en forma completamente nueva. La apelación lleva, por lo tanto, a un nuevo debate del objeto procesal. Al mismo tiempo, la sentencia recurrida es también objeto de control. Por esa razón, el procedimiento de apelación no sólo es un procedimiento de control sino que también es un nuevo procedimiento independiente. De acuerdo con el § 328 párrafo primero, de la Ordenanza citada, en el tanto la apelación esté fundamentada, debe el Tribunal de apelación anular la sentencia y entrar a conocer directamente el asunto. Únicamente cuando la apelación resulte improcedente, debe limitarse el Tribunal a rechazar la apelación y no debe decidir el asunto de nuevo.</w:t>
      </w:r>
      <w:r w:rsidRPr="006229D5">
        <w:rPr>
          <w:rStyle w:val="Refdenotaalpie"/>
          <w:rFonts w:ascii="Palatino Linotype" w:eastAsia="Times New Roman" w:hAnsi="Palatino Linotype" w:cs="Arial"/>
          <w:color w:val="000000"/>
        </w:rPr>
        <w:footnoteReference w:id="458"/>
      </w:r>
      <w:r w:rsidRPr="006229D5">
        <w:rPr>
          <w:rFonts w:ascii="Palatino Linotype" w:hAnsi="Palatino Linotype"/>
        </w:rPr>
        <w:t xml:space="preserve"> </w:t>
      </w:r>
    </w:p>
    <w:p w14:paraId="088FE3DE"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Esta apelación amplia presenta el problema de que el procedimiento recursivo constituye una continuación del proceso de primera instancia, por lo tanto, el tribunal de apelación se encuentra atado a los m</w:t>
      </w:r>
      <w:r w:rsidRPr="006229D5">
        <w:rPr>
          <w:rFonts w:ascii="Palatino Linotype" w:hAnsi="Palatino Linotype"/>
          <w:lang w:val="es-CR"/>
        </w:rPr>
        <w:t xml:space="preserve">árgenes o </w:t>
      </w:r>
      <w:r w:rsidRPr="006229D5">
        <w:rPr>
          <w:rFonts w:ascii="Palatino Linotype" w:hAnsi="Palatino Linotype"/>
        </w:rPr>
        <w:t>marcos asignados por el Tribunal de primera instancia.</w:t>
      </w:r>
      <w:r w:rsidRPr="006229D5">
        <w:rPr>
          <w:rStyle w:val="Refdenotaalpie"/>
          <w:rFonts w:ascii="Palatino Linotype" w:hAnsi="Palatino Linotype" w:cs="Arial"/>
          <w:color w:val="000000"/>
        </w:rPr>
        <w:footnoteReference w:id="459"/>
      </w:r>
      <w:r w:rsidRPr="006229D5">
        <w:rPr>
          <w:rFonts w:ascii="Palatino Linotype" w:hAnsi="Palatino Linotype"/>
        </w:rPr>
        <w:t xml:space="preserve"> Por ello se estima como posible que, los errores del Tribunal de instancia, por decirlo de algún modo, se perpetúen ante el Tribunal de apelación.</w:t>
      </w:r>
    </w:p>
    <w:p w14:paraId="13257486"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Otra objeción que se le hace a esta apelación consiste en señalar que las posibilidades probatorias, por el transcurso del tiempo, cada vez se deterioran más, y por lo tanto, no dan ninguna garantía para una mejor jurisprudencia mediante la segunda instancia del hecho. También se argumenta que, debido a la posibilidad de la apelación, el juez de primera instancia trabajará en forma menos cuidadosa, al saber que existe aún una instancia de hecho adicional. Asimismo que, mediante la existencia de la apelación se traslada el centro de gravedad del proceso penal a la segunda instancia.</w:t>
      </w:r>
      <w:r w:rsidRPr="006229D5">
        <w:rPr>
          <w:rStyle w:val="Refdenotaalpie"/>
          <w:rFonts w:ascii="Palatino Linotype" w:hAnsi="Palatino Linotype"/>
        </w:rPr>
        <w:footnoteReference w:id="460"/>
      </w:r>
      <w:r w:rsidRPr="006229D5">
        <w:rPr>
          <w:rFonts w:ascii="Palatino Linotype" w:hAnsi="Palatino Linotype"/>
        </w:rPr>
        <w:t xml:space="preserve"> </w:t>
      </w:r>
    </w:p>
    <w:p w14:paraId="1EF3E6FD"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Las bondades de una apelación amplia son, por lo tanto, controvertidas, ya que la repetición del juicio no constituye necesariamente una garantía de un mejor resultado. Además, está el posterior juicio a una mayor distancia temporal respecto del suceso sometido a juzgamiento. De esta forma, con el transcurso del tiempo, se aumentan las dificultades de la reconstrucción además de que los medios de prueba pueden desparecer.</w:t>
      </w:r>
      <w:r w:rsidRPr="006229D5">
        <w:rPr>
          <w:rStyle w:val="Refdenotaalpie"/>
          <w:rFonts w:ascii="Palatino Linotype" w:eastAsia="Times New Roman" w:hAnsi="Palatino Linotype" w:cs="Arial"/>
          <w:color w:val="000000"/>
        </w:rPr>
        <w:footnoteReference w:id="461"/>
      </w:r>
    </w:p>
    <w:p w14:paraId="0DF13521"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 xml:space="preserve">Aun y cuando en Costa Rica se reguló una apelación limitada, el problema del transcurso del tiempo ha sido una preocupación constante, ya que con la eliminación de la doble conforme respecto del recurso de apelación, tema al cual haremos referencia más adelante, y ante la existencia de un recurso extraordinario de casación, es posible, por lo menos desde un punto de vista hipotético, una regresión </w:t>
      </w:r>
      <w:r w:rsidRPr="006229D5">
        <w:rPr>
          <w:rFonts w:ascii="Palatino Linotype" w:hAnsi="Palatino Linotype"/>
          <w:i/>
        </w:rPr>
        <w:t>ad infinitum</w:t>
      </w:r>
      <w:r w:rsidRPr="006229D5">
        <w:rPr>
          <w:rFonts w:ascii="Palatino Linotype" w:hAnsi="Palatino Linotype"/>
        </w:rPr>
        <w:t xml:space="preserve"> de los procesos a la etapa de juicio, con lo cual el material probatorio se deteriora cada vez más por el transcurso del tiempo, y así las  </w:t>
      </w:r>
      <w:r w:rsidRPr="006229D5">
        <w:rPr>
          <w:rFonts w:ascii="Palatino Linotype" w:hAnsi="Palatino Linotype"/>
        </w:rPr>
        <w:br/>
        <w:t xml:space="preserve">posibilidades de reconstrucción del evento sometido a juzgamiento, se vuelven cada vez más complejas. </w:t>
      </w:r>
    </w:p>
    <w:p w14:paraId="798FF5D2"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En la apelación limitada, como la establecida por nuestro legislador, el Tribunal de apelación de sentencia no puede debatir ampliamente en forma novedosa. La apelación, aun y cuando el legislador haya establecido en el artículo 459 CPP que permite el “examen integral del fallo”  está constreñida a la comprobación jurídica y a que la determinación de los hechos haya sido realizada siguiendo las disposiciones procesales establecidas al respecto (pienso aquí especialmente en las reglas de inferencia lógicas y en general en las reglas de la sana crítica). Las posibilidades del Tribunal de apelación en la determinación fáctica y probatoria de lo ocurrido</w:t>
      </w:r>
      <w:r w:rsidRPr="006229D5">
        <w:rPr>
          <w:rStyle w:val="Refdenotaalpie"/>
          <w:rFonts w:ascii="Palatino Linotype" w:hAnsi="Palatino Linotype"/>
        </w:rPr>
        <w:footnoteReference w:id="462"/>
      </w:r>
      <w:r w:rsidRPr="006229D5">
        <w:rPr>
          <w:rFonts w:ascii="Palatino Linotype" w:hAnsi="Palatino Linotype"/>
        </w:rPr>
        <w:t xml:space="preserve">, se encuentran muy limitadas, ya que el artículo 464 CPP es sumamente restrictivo al respecto. </w:t>
      </w:r>
    </w:p>
    <w:p w14:paraId="22D67A65"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De cualquier forma, debemos resaltar que el Tribunal de apelación de sentencia debe cumplir la obligación, no sólo de verificar la correcta interpretación del derecho, la correcta determinación de los hechos, sino también de garantizar, el derecho que tienen todos los ciudadanos al ejercicio libre de errores de la discrecionalidad judicial como una forma de manifestación del principio de igualdad.</w:t>
      </w:r>
      <w:r w:rsidRPr="006229D5">
        <w:rPr>
          <w:rStyle w:val="Refdenotaalpie"/>
          <w:rFonts w:ascii="Palatino Linotype" w:eastAsia="Times New Roman" w:hAnsi="Palatino Linotype" w:cs="Arial"/>
          <w:color w:val="000000"/>
        </w:rPr>
        <w:footnoteReference w:id="463"/>
      </w:r>
      <w:r w:rsidRPr="006229D5">
        <w:rPr>
          <w:rFonts w:ascii="Palatino Linotype" w:hAnsi="Palatino Linotype"/>
        </w:rPr>
        <w:t xml:space="preserve"> </w:t>
      </w:r>
    </w:p>
    <w:p w14:paraId="192226F9"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Este derecho constituye un derecho público subjetivo y es, en principio, un derecho “formal” en el tanto no constituye una pretensión a un determinado comportamiento del aplicador del derecho.</w:t>
      </w:r>
      <w:r w:rsidRPr="006229D5">
        <w:rPr>
          <w:rStyle w:val="Refdenotaalpie"/>
          <w:rFonts w:ascii="Palatino Linotype" w:eastAsia="Times New Roman" w:hAnsi="Palatino Linotype" w:cs="Arial"/>
          <w:color w:val="000000"/>
        </w:rPr>
        <w:footnoteReference w:id="464"/>
      </w:r>
      <w:r w:rsidRPr="006229D5">
        <w:rPr>
          <w:rFonts w:ascii="Palatino Linotype" w:hAnsi="Palatino Linotype"/>
        </w:rPr>
        <w:t xml:space="preserve"> </w:t>
      </w:r>
    </w:p>
    <w:p w14:paraId="4E3DCD5D"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Mediante el recurso de apelación de sentencia, se puede también llevar a cabo un control respecto de la elección de los criterios de interpretación (también denominados cánones de interpretación o de hermenéutica) empleados por el juez de primera instancia. La arbitrariedad puede surgir por la elección así como por el uso de los criterios de interpretación de la norma, empleados por el juzgador. Aquí surge siempre el perenne problema de la jerarquía – o más bien- de la ausencia de jerarquía entre los distintos criterios de interpretación, lo cual impide también un proceso “limpio” de control, ya que esta jerarquía siempre será determinada por el Tribunal superior. Es por ello que, en este ámbito, el control se ha dirigido, en su mayor parte, hacia la fundamentación de la decisión.</w:t>
      </w:r>
      <w:r w:rsidRPr="006229D5">
        <w:rPr>
          <w:rStyle w:val="Refdenotaalpie"/>
          <w:rFonts w:ascii="Palatino Linotype" w:eastAsia="Times New Roman" w:hAnsi="Palatino Linotype" w:cs="Arial"/>
          <w:color w:val="000000"/>
        </w:rPr>
        <w:footnoteReference w:id="465"/>
      </w:r>
      <w:r w:rsidRPr="006229D5">
        <w:rPr>
          <w:rFonts w:ascii="Palatino Linotype" w:hAnsi="Palatino Linotype"/>
        </w:rPr>
        <w:t xml:space="preserve"> Aquí se trata, en esencia, de concretar la norma, de tal forma que el proceso de interpretación de la misma sea, en lo posible, controlable metódicamente y que el proceso de interpretación y su resultado sean comprensibles y aceptables para el destinatario de la norma.</w:t>
      </w:r>
      <w:r w:rsidRPr="006229D5">
        <w:rPr>
          <w:rStyle w:val="Refdenotaalpie"/>
          <w:rFonts w:ascii="Palatino Linotype" w:eastAsia="Times New Roman" w:hAnsi="Palatino Linotype" w:cs="Arial"/>
          <w:color w:val="000000"/>
        </w:rPr>
        <w:footnoteReference w:id="466"/>
      </w:r>
    </w:p>
    <w:p w14:paraId="33FC3763"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Es claro también que, la arbitrariedad puede tener lugar en la valoración de la prueba, por ejemplo, en la determinación falsa o inexacta de los hechos.</w:t>
      </w:r>
      <w:r w:rsidRPr="006229D5">
        <w:rPr>
          <w:rStyle w:val="Refdenotaalpie"/>
          <w:rFonts w:ascii="Palatino Linotype" w:eastAsia="Times New Roman" w:hAnsi="Palatino Linotype" w:cs="Arial"/>
          <w:color w:val="000000"/>
        </w:rPr>
        <w:footnoteReference w:id="467"/>
      </w:r>
      <w:r w:rsidRPr="006229D5">
        <w:rPr>
          <w:rFonts w:ascii="Palatino Linotype" w:hAnsi="Palatino Linotype"/>
        </w:rPr>
        <w:t xml:space="preserve"> Por lo tanto, en la valoración de la prueba debe también comprobarse, si el juez de instancia ha excedido los límites de su “libre valoración de la prueba”.</w:t>
      </w:r>
      <w:r w:rsidRPr="006229D5">
        <w:rPr>
          <w:rStyle w:val="Refdenotaalpie"/>
          <w:rFonts w:ascii="Palatino Linotype" w:eastAsia="Times New Roman" w:hAnsi="Palatino Linotype" w:cs="Arial"/>
          <w:color w:val="000000"/>
        </w:rPr>
        <w:footnoteReference w:id="468"/>
      </w:r>
      <w:r w:rsidRPr="006229D5">
        <w:rPr>
          <w:rFonts w:ascii="Palatino Linotype" w:hAnsi="Palatino Linotype"/>
        </w:rPr>
        <w:t xml:space="preserve"> </w:t>
      </w:r>
    </w:p>
    <w:p w14:paraId="6DE59931" w14:textId="77777777" w:rsidR="006229D5" w:rsidRPr="006229D5" w:rsidRDefault="006229D5" w:rsidP="006229D5">
      <w:pPr>
        <w:widowControl w:val="0"/>
        <w:spacing w:before="120" w:after="200"/>
        <w:jc w:val="both"/>
        <w:rPr>
          <w:rFonts w:ascii="Palatino Linotype" w:hAnsi="Palatino Linotype"/>
        </w:rPr>
      </w:pPr>
      <w:r w:rsidRPr="006229D5">
        <w:rPr>
          <w:rFonts w:ascii="Palatino Linotype" w:hAnsi="Palatino Linotype"/>
        </w:rPr>
        <w:t xml:space="preserve">El juez debe observar determinadas reglas ante la valoración de la prueba así como ante la fundamentación derivada de la misma, por ejemplo, cumplir con los estándares mínimos de la argumentación “racional” </w:t>
      </w:r>
      <w:r w:rsidRPr="006229D5">
        <w:rPr>
          <w:rStyle w:val="Refdenotaalpie"/>
          <w:rFonts w:ascii="Palatino Linotype" w:hAnsi="Palatino Linotype"/>
        </w:rPr>
        <w:footnoteReference w:id="469"/>
      </w:r>
      <w:r w:rsidRPr="006229D5">
        <w:rPr>
          <w:rFonts w:ascii="Palatino Linotype" w:hAnsi="Palatino Linotype"/>
        </w:rPr>
        <w:t>, la fundamentación no debe ser contradictoria, las reglas de la sana crítica deben respetarse, las conclusiones deben ser lógicas, y la prueba debe ser valorada ampliamente. La convicción subjetiva del juez requiere – sobre todo- un fundamento objetivo.</w:t>
      </w:r>
      <w:r w:rsidRPr="006229D5">
        <w:rPr>
          <w:rStyle w:val="Refdenotaalpie"/>
          <w:rFonts w:ascii="Palatino Linotype" w:eastAsia="Times New Roman" w:hAnsi="Palatino Linotype" w:cs="Arial"/>
          <w:color w:val="000000"/>
        </w:rPr>
        <w:footnoteReference w:id="470"/>
      </w:r>
    </w:p>
    <w:p w14:paraId="69508A62" w14:textId="77777777" w:rsidR="006229D5" w:rsidRPr="006229D5" w:rsidRDefault="006229D5" w:rsidP="006229D5">
      <w:pPr>
        <w:widowControl w:val="0"/>
        <w:spacing w:before="120" w:after="200"/>
        <w:rPr>
          <w:rFonts w:ascii="Palatino Linotype" w:hAnsi="Palatino Linotype"/>
          <w:b/>
        </w:rPr>
      </w:pPr>
      <w:r w:rsidRPr="006229D5">
        <w:rPr>
          <w:rFonts w:ascii="Palatino Linotype" w:hAnsi="Palatino Linotype"/>
          <w:b/>
        </w:rPr>
        <w:t xml:space="preserve">IV. Vicios </w:t>
      </w:r>
      <w:r w:rsidRPr="006229D5">
        <w:rPr>
          <w:rFonts w:ascii="Palatino Linotype" w:hAnsi="Palatino Linotype"/>
          <w:b/>
          <w:i/>
        </w:rPr>
        <w:t xml:space="preserve">in procedendo </w:t>
      </w:r>
      <w:r w:rsidRPr="006229D5">
        <w:rPr>
          <w:rFonts w:ascii="Palatino Linotype" w:hAnsi="Palatino Linotype"/>
          <w:b/>
        </w:rPr>
        <w:t xml:space="preserve">y vicios </w:t>
      </w:r>
      <w:r w:rsidRPr="006229D5">
        <w:rPr>
          <w:rFonts w:ascii="Palatino Linotype" w:hAnsi="Palatino Linotype"/>
          <w:b/>
          <w:i/>
        </w:rPr>
        <w:t xml:space="preserve">in iudicando </w:t>
      </w:r>
    </w:p>
    <w:p w14:paraId="51D9C1D8"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rPr>
        <w:t xml:space="preserve">En el derecho procesal penal se ha distinguido tradicionalmente entre vicios procesales y vicios sustantivos, o vicios de forma </w:t>
      </w:r>
      <w:r w:rsidRPr="006229D5">
        <w:rPr>
          <w:rFonts w:ascii="Palatino Linotype" w:hAnsi="Palatino Linotype"/>
          <w:lang w:val="es-CR"/>
        </w:rPr>
        <w:t>y fondo. Con la alegación de vicios por el fondo se verifica si en relación con los hechos tenidos por probados en la decisión judicial recurrida, no se aplicó el derecho de fondo o el mismo no se aplicó correctamente, o se tomó en consideración una regla que no constituye una norma jurídica. El error puede entonces consistir en la falsa interpretación de una norma o en la falsa subsunción. Por el contrario, con los vicios procesales se hace valer la violación de una norma jurídica atinente al proceso, en general, un error procesal. Aquí no solo se analiza si el derecho procesal ha sido interpretado correctamente, sino también si el tribunal de instancia ha determinado correctamente los hechos tenidos por probados.</w:t>
      </w:r>
      <w:r w:rsidRPr="006229D5">
        <w:rPr>
          <w:rStyle w:val="Refdenotaalpie"/>
          <w:rFonts w:ascii="Palatino Linotype" w:eastAsia="Times New Roman" w:hAnsi="Palatino Linotype" w:cs="Arial"/>
          <w:color w:val="000000"/>
        </w:rPr>
        <w:footnoteReference w:id="471"/>
      </w:r>
      <w:r w:rsidRPr="006229D5">
        <w:rPr>
          <w:rFonts w:ascii="Palatino Linotype" w:hAnsi="Palatino Linotype"/>
          <w:lang w:val="es-CR"/>
        </w:rPr>
        <w:t xml:space="preserve"> </w:t>
      </w:r>
    </w:p>
    <w:p w14:paraId="29EE590E"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En otras palabras y siguiendo a Ayan, los </w:t>
      </w:r>
      <w:r w:rsidRPr="006229D5">
        <w:rPr>
          <w:rFonts w:ascii="Palatino Linotype" w:hAnsi="Palatino Linotype"/>
          <w:i/>
          <w:lang w:val="es-CR"/>
        </w:rPr>
        <w:t xml:space="preserve">vicios in iudicando </w:t>
      </w:r>
      <w:r w:rsidRPr="006229D5">
        <w:rPr>
          <w:rFonts w:ascii="Palatino Linotype" w:hAnsi="Palatino Linotype"/>
          <w:lang w:val="es-CR"/>
        </w:rPr>
        <w:t xml:space="preserve">o errores en el juicio del juez, pueden radicarse en la apreciación de los hechos o en la consideración del derecho. Arribamos pues a la conocida y muy cuestionada distinción entre las </w:t>
      </w:r>
      <w:r w:rsidRPr="006229D5">
        <w:rPr>
          <w:rFonts w:ascii="Palatino Linotype" w:hAnsi="Palatino Linotype"/>
          <w:b/>
          <w:lang w:val="es-CR"/>
        </w:rPr>
        <w:t>cuestiones de hecho y de derecho</w:t>
      </w:r>
      <w:r w:rsidRPr="006229D5">
        <w:rPr>
          <w:rFonts w:ascii="Palatino Linotype" w:hAnsi="Palatino Linotype"/>
          <w:lang w:val="es-CR"/>
        </w:rPr>
        <w:t xml:space="preserve">. El origen de esta distinción radica en hacer ver que el recurso de casación se encuentra sustraído del campo de los hechos, ya que en sus orígenes, debe corregir el vicio in iudicando, pero solamente </w:t>
      </w:r>
      <w:r w:rsidRPr="006229D5">
        <w:rPr>
          <w:rFonts w:ascii="Palatino Linotype" w:hAnsi="Palatino Linotype"/>
          <w:i/>
          <w:lang w:val="es-CR"/>
        </w:rPr>
        <w:t>in iure</w:t>
      </w:r>
      <w:r w:rsidRPr="006229D5">
        <w:rPr>
          <w:rFonts w:ascii="Palatino Linotype" w:hAnsi="Palatino Linotype"/>
          <w:lang w:val="es-CR"/>
        </w:rPr>
        <w:t>, lo cual presupone la intangibilidad del material fáctico sometido a juzgamiento.</w:t>
      </w:r>
      <w:r w:rsidRPr="006229D5">
        <w:rPr>
          <w:rStyle w:val="Refdenotaalpie"/>
          <w:rFonts w:ascii="Palatino Linotype" w:hAnsi="Palatino Linotype"/>
          <w:lang w:val="es-CR"/>
        </w:rPr>
        <w:footnoteReference w:id="472"/>
      </w:r>
      <w:r w:rsidRPr="006229D5">
        <w:rPr>
          <w:rFonts w:ascii="Palatino Linotype" w:hAnsi="Palatino Linotype"/>
          <w:lang w:val="es-CR"/>
        </w:rPr>
        <w:t xml:space="preserve"> </w:t>
      </w:r>
    </w:p>
    <w:p w14:paraId="37DB42E8"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El vicio </w:t>
      </w:r>
      <w:r w:rsidRPr="006229D5">
        <w:rPr>
          <w:rFonts w:ascii="Palatino Linotype" w:hAnsi="Palatino Linotype"/>
          <w:i/>
          <w:lang w:val="es-CR"/>
        </w:rPr>
        <w:t xml:space="preserve">in iudicando </w:t>
      </w:r>
      <w:r w:rsidRPr="006229D5">
        <w:rPr>
          <w:rFonts w:ascii="Palatino Linotype" w:hAnsi="Palatino Linotype"/>
          <w:lang w:val="es-CR"/>
        </w:rPr>
        <w:t xml:space="preserve">en los hechos tiene lugar cuando el vicio en el juicio del juez estriba en el hecho, por haber sido fijado con error sobre la verdad histórica, es </w:t>
      </w:r>
      <w:r w:rsidRPr="006229D5">
        <w:rPr>
          <w:rFonts w:ascii="Palatino Linotype" w:hAnsi="Palatino Linotype"/>
          <w:i/>
          <w:lang w:val="es-CR"/>
        </w:rPr>
        <w:t>in factum.</w:t>
      </w:r>
      <w:r w:rsidRPr="006229D5">
        <w:rPr>
          <w:rFonts w:ascii="Palatino Linotype" w:hAnsi="Palatino Linotype"/>
          <w:lang w:val="es-CR"/>
        </w:rPr>
        <w:t xml:space="preserve"> Por su parte, cuando el vicio en el juicio del juez radica en la inteligencia de la norma que al caso debe aplicarse, es </w:t>
      </w:r>
      <w:r w:rsidRPr="006229D5">
        <w:rPr>
          <w:rFonts w:ascii="Palatino Linotype" w:hAnsi="Palatino Linotype"/>
          <w:i/>
          <w:lang w:val="es-CR"/>
        </w:rPr>
        <w:t xml:space="preserve">in iure. </w:t>
      </w:r>
      <w:r w:rsidRPr="006229D5">
        <w:rPr>
          <w:rFonts w:ascii="Palatino Linotype" w:hAnsi="Palatino Linotype"/>
          <w:lang w:val="es-CR"/>
        </w:rPr>
        <w:t>El error en este caso finca en la errónea aplicación del derecho.</w:t>
      </w:r>
      <w:r w:rsidRPr="006229D5">
        <w:rPr>
          <w:rStyle w:val="Refdenotaalpie"/>
          <w:rFonts w:ascii="Palatino Linotype" w:hAnsi="Palatino Linotype"/>
          <w:i/>
          <w:lang w:val="es-CR"/>
        </w:rPr>
        <w:footnoteReference w:id="473"/>
      </w:r>
    </w:p>
    <w:p w14:paraId="71A2896E"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Nieva Fenoll realiza una crítica muy acertada sobre esta diferenciación entre los hechos y el derecho. Señala al respecto que, la actividad lógica-deductiva del juez de fijación de hechos y creación del derecho no se desarrolla separadamente. Hecho y derecho son indivisibles en cualquier fase del proceso. Hecho y derecho no son escindibles en la jurisdicción, y el control de uno conlleva irremediablemente la censura del otro.</w:t>
      </w:r>
      <w:r w:rsidRPr="006229D5">
        <w:rPr>
          <w:rStyle w:val="Refdenotaalpie"/>
          <w:rFonts w:ascii="Palatino Linotype" w:hAnsi="Palatino Linotype"/>
          <w:lang w:val="es-CR"/>
        </w:rPr>
        <w:footnoteReference w:id="474"/>
      </w:r>
    </w:p>
    <w:p w14:paraId="037F4849"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La CIDH en el caso Mohamed vs. Argentina, señaló al respecto, lo siguiente: </w:t>
      </w:r>
    </w:p>
    <w:p w14:paraId="4504CDCB"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i/>
          <w:lang w:val="es-CR"/>
        </w:rPr>
        <w:t xml:space="preserve">“…independientemente del régimen o sistema recursivo que adopten los Estados Parte y de la denominación que den al medio de impugnación de la sentencia condenatoria, debe entenderse que “para que éste sea eficaz debe constituir un medio adecuado para procurar la corrección de una condena errónea. Ello requiere que pueda analizar cuestiones fácticas, probatorias y jurídicas en que se basa la sentencia impugnada, </w:t>
      </w:r>
      <w:r w:rsidRPr="006229D5">
        <w:rPr>
          <w:rFonts w:ascii="Palatino Linotype" w:hAnsi="Palatino Linotype"/>
          <w:b/>
          <w:i/>
          <w:lang w:val="es-CR"/>
        </w:rPr>
        <w:t>puesto que en la actividad jurisdiccional existe una interdependencia entre las determinaciones fácticas y la aplicación del derecho, de forma tal que una errónea determinación de los hechos implica una errada o indebida aplicación del derecho.</w:t>
      </w:r>
      <w:r w:rsidRPr="006229D5">
        <w:rPr>
          <w:rFonts w:ascii="Palatino Linotype" w:hAnsi="Palatino Linotype"/>
          <w:i/>
          <w:lang w:val="es-CR"/>
        </w:rPr>
        <w:t xml:space="preserve"> Consecuentemente, las causales de procedencia del recurso deben posibilitar un control amplio de los aspectos impugnados de la sentencia condenatoria…”</w:t>
      </w:r>
      <w:r w:rsidRPr="006229D5">
        <w:rPr>
          <w:rStyle w:val="Refdenotaalpie"/>
          <w:rFonts w:ascii="Palatino Linotype" w:hAnsi="Palatino Linotype"/>
          <w:i/>
          <w:lang w:val="es-CR"/>
        </w:rPr>
        <w:footnoteReference w:id="475"/>
      </w:r>
      <w:r w:rsidRPr="006229D5">
        <w:rPr>
          <w:rFonts w:ascii="Palatino Linotype" w:hAnsi="Palatino Linotype"/>
          <w:i/>
          <w:lang w:val="es-CR"/>
        </w:rPr>
        <w:t xml:space="preserve"> </w:t>
      </w:r>
      <w:r w:rsidRPr="006229D5">
        <w:rPr>
          <w:rFonts w:ascii="Palatino Linotype" w:hAnsi="Palatino Linotype"/>
          <w:lang w:val="es-CR"/>
        </w:rPr>
        <w:t>(Nota: negrita suplida).</w:t>
      </w:r>
    </w:p>
    <w:p w14:paraId="6457C434"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Por su parte, el vicio </w:t>
      </w:r>
      <w:r w:rsidRPr="006229D5">
        <w:rPr>
          <w:rFonts w:ascii="Palatino Linotype" w:hAnsi="Palatino Linotype"/>
          <w:i/>
          <w:lang w:val="es-CR"/>
        </w:rPr>
        <w:t>in procedendo</w:t>
      </w:r>
      <w:r w:rsidRPr="006229D5">
        <w:rPr>
          <w:rFonts w:ascii="Palatino Linotype" w:hAnsi="Palatino Linotype"/>
          <w:lang w:val="es-CR"/>
        </w:rPr>
        <w:t xml:space="preserve"> versa sobre la irregularidad de la actividad procesal a través de la cual se produjo la decisión. El vicio, en este caso, radica en el procedimiento (actividad) y no en el juicio del juez. Es de derecho procesal, en cuanto debe consistir en la inobservancia normas reguladoras del comportamiento que el juez debía observar al cumplir su actividad.</w:t>
      </w:r>
      <w:r w:rsidRPr="006229D5">
        <w:rPr>
          <w:rStyle w:val="Refdenotaalpie"/>
          <w:rFonts w:ascii="Palatino Linotype" w:hAnsi="Palatino Linotype"/>
          <w:lang w:val="es-CR"/>
        </w:rPr>
        <w:footnoteReference w:id="476"/>
      </w:r>
    </w:p>
    <w:p w14:paraId="160EE878"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No obstante, la diferenciación entre ambos vicios no siempre es sencilla. Por lo tanto, se afirma, que esa diferencia a menudo es borrosa.</w:t>
      </w:r>
      <w:r w:rsidRPr="006229D5">
        <w:rPr>
          <w:rStyle w:val="Refdenotaalpie"/>
          <w:rFonts w:ascii="Palatino Linotype" w:eastAsia="Times New Roman" w:hAnsi="Palatino Linotype" w:cs="Arial"/>
          <w:color w:val="000000"/>
        </w:rPr>
        <w:footnoteReference w:id="477"/>
      </w:r>
    </w:p>
    <w:p w14:paraId="54F8F472"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Pese a lo expuesto, al momento de formular el recurso de apelación “interlocutorio” así como el de apelación es sentencia, resulta recomendable dividir los motivos en forma y fondo, según el vicio que se piense desarrollar. Esta recomendación, sin embargo, se vuelve vital, cuando se trata de la formulación de un recurso de casación, ya que la Sala Tercera ha declarado inadmisibles los motivos de un recurso de casación, cuando se entremezclan aspectos de forma y fondo en un mismo motivo. </w:t>
      </w:r>
    </w:p>
    <w:p w14:paraId="788459D5" w14:textId="77777777" w:rsidR="006229D5" w:rsidRPr="006229D5" w:rsidRDefault="006229D5" w:rsidP="006229D5">
      <w:pPr>
        <w:widowControl w:val="0"/>
        <w:spacing w:before="120" w:after="200"/>
        <w:rPr>
          <w:rFonts w:ascii="Palatino Linotype" w:hAnsi="Palatino Linotype"/>
          <w:b/>
          <w:lang w:val="es-CR"/>
        </w:rPr>
      </w:pPr>
      <w:r w:rsidRPr="006229D5">
        <w:rPr>
          <w:rFonts w:ascii="Palatino Linotype" w:hAnsi="Palatino Linotype"/>
          <w:b/>
          <w:lang w:val="es-CR"/>
        </w:rPr>
        <w:t>V. El recurso de apelación “interlocutorio”.</w:t>
      </w:r>
    </w:p>
    <w:p w14:paraId="5E46904B" w14:textId="77777777" w:rsidR="006229D5" w:rsidRPr="006229D5" w:rsidRDefault="006229D5" w:rsidP="006229D5">
      <w:pPr>
        <w:widowControl w:val="0"/>
        <w:spacing w:before="120" w:after="200"/>
        <w:rPr>
          <w:rFonts w:ascii="Palatino Linotype" w:hAnsi="Palatino Linotype"/>
          <w:b/>
          <w:lang w:val="es-CR"/>
        </w:rPr>
      </w:pPr>
      <w:r w:rsidRPr="006229D5">
        <w:rPr>
          <w:rFonts w:ascii="Palatino Linotype" w:hAnsi="Palatino Linotype"/>
          <w:b/>
          <w:lang w:val="es-CR"/>
        </w:rPr>
        <w:t>a. Concepto</w:t>
      </w:r>
    </w:p>
    <w:p w14:paraId="541A7698" w14:textId="77777777" w:rsidR="006229D5" w:rsidRPr="006229D5" w:rsidRDefault="006229D5" w:rsidP="006229D5">
      <w:pPr>
        <w:widowControl w:val="0"/>
        <w:spacing w:before="120" w:after="200"/>
        <w:jc w:val="both"/>
        <w:rPr>
          <w:rFonts w:ascii="Palatino Linotype" w:hAnsi="Palatino Linotype"/>
          <w:i/>
          <w:lang w:val="es-CR"/>
        </w:rPr>
      </w:pPr>
      <w:r w:rsidRPr="006229D5">
        <w:rPr>
          <w:rFonts w:ascii="Palatino Linotype" w:hAnsi="Palatino Linotype"/>
          <w:lang w:val="es-CR"/>
        </w:rPr>
        <w:t xml:space="preserve">Se trata de un recurso amplio, en el cual se puede impugnar cualquier error que contenga la resolución, ya sea que se trate de vicios </w:t>
      </w:r>
      <w:r w:rsidRPr="006229D5">
        <w:rPr>
          <w:rFonts w:ascii="Palatino Linotype" w:hAnsi="Palatino Linotype"/>
          <w:i/>
          <w:lang w:val="es-CR"/>
        </w:rPr>
        <w:t>in iudicando</w:t>
      </w:r>
      <w:r w:rsidRPr="006229D5">
        <w:rPr>
          <w:rFonts w:ascii="Palatino Linotype" w:hAnsi="Palatino Linotype"/>
          <w:lang w:val="es-CR"/>
        </w:rPr>
        <w:t xml:space="preserve"> o </w:t>
      </w:r>
      <w:r w:rsidRPr="006229D5">
        <w:rPr>
          <w:rFonts w:ascii="Palatino Linotype" w:hAnsi="Palatino Linotype"/>
          <w:i/>
          <w:lang w:val="es-CR"/>
        </w:rPr>
        <w:t xml:space="preserve">in procedendo. </w:t>
      </w:r>
    </w:p>
    <w:p w14:paraId="16448DE5" w14:textId="77777777" w:rsidR="006229D5" w:rsidRPr="006229D5" w:rsidRDefault="006229D5" w:rsidP="006229D5">
      <w:pPr>
        <w:widowControl w:val="0"/>
        <w:spacing w:before="120" w:after="200"/>
        <w:jc w:val="both"/>
        <w:rPr>
          <w:rFonts w:ascii="Palatino Linotype" w:hAnsi="Palatino Linotype"/>
          <w:i/>
          <w:lang w:val="es-CR"/>
        </w:rPr>
      </w:pPr>
      <w:r w:rsidRPr="006229D5">
        <w:rPr>
          <w:rFonts w:ascii="Palatino Linotype" w:hAnsi="Palatino Linotype"/>
          <w:lang w:val="es-CR"/>
        </w:rPr>
        <w:t>En este recurso opera el efecto devolutivo, en el sentido de que el que resuelve es un tribunal de grado superior que aquel que ordenó la resolución impugnada</w:t>
      </w:r>
      <w:r w:rsidRPr="006229D5">
        <w:rPr>
          <w:rStyle w:val="Refdenotaalpie"/>
          <w:rFonts w:ascii="Palatino Linotype" w:hAnsi="Palatino Linotype"/>
          <w:lang w:val="es-CR"/>
        </w:rPr>
        <w:footnoteReference w:id="478"/>
      </w:r>
      <w:r w:rsidRPr="006229D5">
        <w:rPr>
          <w:rFonts w:ascii="Palatino Linotype" w:hAnsi="Palatino Linotype"/>
          <w:lang w:val="es-CR"/>
        </w:rPr>
        <w:t xml:space="preserve">; asimismo, tiene efecto suspensivo, salvo norma en contrario. En ese sentido, el artículo 444 del CPP señala: </w:t>
      </w:r>
      <w:r w:rsidRPr="006229D5">
        <w:rPr>
          <w:rFonts w:ascii="Palatino Linotype" w:hAnsi="Palatino Linotype"/>
          <w:i/>
          <w:lang w:val="es-CR"/>
        </w:rPr>
        <w:t>“La resolución no será ejecutada durante el plazo para recurrir y mientras se tramite el recurso, salvo disposición legal en contrario.”</w:t>
      </w:r>
      <w:r w:rsidRPr="006229D5">
        <w:rPr>
          <w:rStyle w:val="Ttulo3Car"/>
          <w:rFonts w:ascii="Palatino Linotype" w:hAnsi="Palatino Linotype"/>
          <w:sz w:val="22"/>
          <w:szCs w:val="22"/>
          <w:lang w:val="es-CR"/>
        </w:rPr>
        <w:t xml:space="preserve"> </w:t>
      </w:r>
      <w:r w:rsidRPr="006229D5">
        <w:rPr>
          <w:rStyle w:val="Refdenotaalpie"/>
          <w:rFonts w:ascii="Palatino Linotype" w:hAnsi="Palatino Linotype"/>
          <w:lang w:val="es-CR"/>
        </w:rPr>
        <w:footnoteReference w:id="479"/>
      </w:r>
    </w:p>
    <w:p w14:paraId="45114901" w14:textId="77777777" w:rsidR="006229D5" w:rsidRPr="006229D5" w:rsidRDefault="006229D5" w:rsidP="006229D5">
      <w:pPr>
        <w:widowControl w:val="0"/>
        <w:spacing w:before="120" w:after="200"/>
        <w:rPr>
          <w:rFonts w:ascii="Palatino Linotype" w:hAnsi="Palatino Linotype"/>
          <w:b/>
          <w:lang w:val="es-CR"/>
        </w:rPr>
      </w:pPr>
      <w:r w:rsidRPr="006229D5">
        <w:rPr>
          <w:rFonts w:ascii="Palatino Linotype" w:hAnsi="Palatino Linotype"/>
          <w:b/>
          <w:lang w:val="es-CR"/>
        </w:rPr>
        <w:t>b. Impugnabilidad o taxatividad subjetiva.</w:t>
      </w:r>
    </w:p>
    <w:p w14:paraId="432A770A"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Nuestro CPP contiene una parte general sobre los recursos, que inicia con el artículo 437. </w:t>
      </w:r>
    </w:p>
    <w:p w14:paraId="4F25A601"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En el artículo 437 párrafo segundo, se prevé lo que en doctrina se conoce como impugnabilidad o taxatividad subjetiva: </w:t>
      </w:r>
      <w:r w:rsidRPr="006229D5">
        <w:rPr>
          <w:rFonts w:ascii="Palatino Linotype" w:hAnsi="Palatino Linotype"/>
          <w:i/>
          <w:lang w:val="es-CR"/>
        </w:rPr>
        <w:t xml:space="preserve">“El derecho de recurrir corresponderá tan sólo a quien le sea expresamente acordado. Cuando la ley no distinga entre las diversas partes, el recurso podrá ser interpuesto por cualquiera de ellas.” </w:t>
      </w:r>
      <w:r w:rsidRPr="006229D5">
        <w:rPr>
          <w:rFonts w:ascii="Palatino Linotype" w:hAnsi="Palatino Linotype"/>
          <w:lang w:val="es-CR"/>
        </w:rPr>
        <w:t xml:space="preserve">Este artículo señala, a la vez, una regla importante en el sentido de que si la norma no distingue entre los distintos sujetos procesales, el recurso puede formularlo cualquiera de ellos. </w:t>
      </w:r>
    </w:p>
    <w:p w14:paraId="725E595D" w14:textId="77777777" w:rsidR="006229D5" w:rsidRPr="006229D5" w:rsidRDefault="006229D5" w:rsidP="006229D5">
      <w:pPr>
        <w:widowControl w:val="0"/>
        <w:spacing w:before="120" w:after="200"/>
        <w:jc w:val="both"/>
        <w:rPr>
          <w:rFonts w:ascii="Palatino Linotype" w:hAnsi="Palatino Linotype"/>
          <w:i/>
          <w:lang w:val="es-CR"/>
        </w:rPr>
      </w:pPr>
      <w:r w:rsidRPr="006229D5">
        <w:rPr>
          <w:rFonts w:ascii="Palatino Linotype" w:hAnsi="Palatino Linotype"/>
          <w:lang w:val="es-CR"/>
        </w:rPr>
        <w:t xml:space="preserve">Ayan entiende por impugnabilidad subjetiva, aquellas </w:t>
      </w:r>
      <w:r w:rsidRPr="006229D5">
        <w:rPr>
          <w:rFonts w:ascii="Palatino Linotype" w:hAnsi="Palatino Linotype"/>
          <w:i/>
          <w:lang w:val="es-CR"/>
        </w:rPr>
        <w:t>“…condiciones para la impugnación, consideradas desde un punto de vista subjetivo, son el conjunto de los requisitos establecidos por la ley con relación a los sujetos del proceso, estableciendo genéricamente la necesidad de que exista un interés en la impugnación, y específicamente, la naturaleza o contenido de las resoluciones impugnables por cada sujeto en particular…”</w:t>
      </w:r>
      <w:r w:rsidRPr="006229D5">
        <w:rPr>
          <w:rStyle w:val="Refdenotaalpie"/>
          <w:rFonts w:ascii="Palatino Linotype" w:hAnsi="Palatino Linotype"/>
          <w:i/>
          <w:lang w:val="es-CR"/>
        </w:rPr>
        <w:footnoteReference w:id="480"/>
      </w:r>
    </w:p>
    <w:p w14:paraId="28973F4B"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La regla existente en esta materia es entonces que, la potestad de recurrir le corresponde únicamente a aquellos sujetos procesales a quiénes expresamente el CPP les acuerde esa posibilidad. </w:t>
      </w:r>
    </w:p>
    <w:p w14:paraId="4D63F97C"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En relación con el recurso de apelación “interlocutorio” será necesario acudir a la norma específica, con el fin de determinar a cuáles sujetos procesales el CPP les otorga la posibilidad de recurrir. </w:t>
      </w:r>
    </w:p>
    <w:p w14:paraId="7B2CD705" w14:textId="77777777" w:rsidR="006229D5" w:rsidRPr="006229D5" w:rsidRDefault="006229D5" w:rsidP="006229D5">
      <w:pPr>
        <w:widowControl w:val="0"/>
        <w:spacing w:before="120" w:after="200"/>
        <w:rPr>
          <w:rFonts w:ascii="Palatino Linotype" w:hAnsi="Palatino Linotype"/>
          <w:b/>
          <w:lang w:val="es-CR"/>
        </w:rPr>
      </w:pPr>
      <w:r w:rsidRPr="006229D5">
        <w:rPr>
          <w:rFonts w:ascii="Palatino Linotype" w:hAnsi="Palatino Linotype"/>
          <w:b/>
          <w:lang w:val="es-CR"/>
        </w:rPr>
        <w:t>c. Interés en recurrir</w:t>
      </w:r>
    </w:p>
    <w:p w14:paraId="0241CC69"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El CPP establece en general, para cualquier recurso, la necesidad de la existencia de un interés en recurrir como condición de procedencia del recurso.</w:t>
      </w:r>
      <w:r w:rsidRPr="006229D5">
        <w:rPr>
          <w:rStyle w:val="Refdenotaalpie"/>
          <w:rFonts w:ascii="Palatino Linotype" w:hAnsi="Palatino Linotype"/>
          <w:lang w:val="es-CR"/>
        </w:rPr>
        <w:footnoteReference w:id="481"/>
      </w:r>
      <w:r w:rsidRPr="006229D5">
        <w:rPr>
          <w:rFonts w:ascii="Palatino Linotype" w:hAnsi="Palatino Linotype"/>
          <w:lang w:val="es-CR"/>
        </w:rPr>
        <w:t xml:space="preserve"> </w:t>
      </w:r>
    </w:p>
    <w:p w14:paraId="314B99B5" w14:textId="77777777" w:rsidR="006229D5" w:rsidRPr="006229D5" w:rsidRDefault="006229D5" w:rsidP="006229D5">
      <w:pPr>
        <w:widowControl w:val="0"/>
        <w:spacing w:before="120" w:after="200"/>
        <w:jc w:val="both"/>
        <w:rPr>
          <w:rFonts w:ascii="Palatino Linotype" w:hAnsi="Palatino Linotype"/>
          <w:i/>
          <w:lang w:val="es-CR"/>
        </w:rPr>
      </w:pPr>
      <w:r w:rsidRPr="006229D5">
        <w:rPr>
          <w:rFonts w:ascii="Palatino Linotype" w:hAnsi="Palatino Linotype"/>
          <w:lang w:val="es-CR"/>
        </w:rPr>
        <w:t>En doctrina se señala que “</w:t>
      </w:r>
      <w:r w:rsidRPr="006229D5">
        <w:rPr>
          <w:rFonts w:ascii="Palatino Linotype" w:hAnsi="Palatino Linotype"/>
          <w:i/>
          <w:lang w:val="es-CR"/>
        </w:rPr>
        <w:t>…el interés es la medida del recurso…Desde el punto de vista objetivo, para que exista interés, la resolución que se ataca debe tener un contenido desfavorable para el impugnante, a los efectos del ordenamiento jurídico, concretamente, y no según su apreciación subjetiva</w:t>
      </w:r>
      <w:r w:rsidRPr="006229D5">
        <w:rPr>
          <w:rFonts w:ascii="Palatino Linotype" w:hAnsi="Palatino Linotype"/>
          <w:lang w:val="es-CR"/>
        </w:rPr>
        <w:t xml:space="preserve">. </w:t>
      </w:r>
      <w:r w:rsidRPr="006229D5">
        <w:rPr>
          <w:rFonts w:ascii="Palatino Linotype" w:hAnsi="Palatino Linotype"/>
          <w:i/>
          <w:lang w:val="es-CR"/>
        </w:rPr>
        <w:t>El interés capaz de sustentar el recurso debe ser objetivamente aprehensible por la existencia de un gravamen causado al sujeto por el sentido de la resolución. En consecuencia, ésta debe ocasionarle un agravio o gravamen, esto es, un perjuicio o una desventaja, consistente en una restricción a su derecho o a su libertad. El perjuicio o desventaja es un componente esencial en la definición de los recursos”.</w:t>
      </w:r>
      <w:r w:rsidRPr="006229D5">
        <w:rPr>
          <w:rStyle w:val="Refdenotaalpie"/>
          <w:rFonts w:ascii="Palatino Linotype" w:hAnsi="Palatino Linotype"/>
          <w:i/>
          <w:lang w:val="es-CR"/>
        </w:rPr>
        <w:footnoteReference w:id="482"/>
      </w:r>
    </w:p>
    <w:p w14:paraId="3C548C20"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Este requisito se encuentra previsto en el artículo 439 del CPP. </w:t>
      </w:r>
    </w:p>
    <w:p w14:paraId="49458C1F" w14:textId="77777777" w:rsidR="006229D5" w:rsidRPr="006229D5" w:rsidRDefault="006229D5" w:rsidP="006229D5">
      <w:pPr>
        <w:widowControl w:val="0"/>
        <w:spacing w:before="120" w:after="200"/>
        <w:rPr>
          <w:rFonts w:ascii="Palatino Linotype" w:hAnsi="Palatino Linotype"/>
          <w:b/>
          <w:lang w:val="es-CR"/>
        </w:rPr>
      </w:pPr>
      <w:r w:rsidRPr="006229D5">
        <w:rPr>
          <w:rFonts w:ascii="Palatino Linotype" w:hAnsi="Palatino Linotype"/>
          <w:b/>
          <w:lang w:val="es-CR"/>
        </w:rPr>
        <w:t xml:space="preserve">d. Impugnabilidad o taxatividad objetiva </w:t>
      </w:r>
    </w:p>
    <w:p w14:paraId="0C1D6A51" w14:textId="77777777" w:rsidR="006229D5" w:rsidRPr="006229D5" w:rsidRDefault="006229D5" w:rsidP="006229D5">
      <w:pPr>
        <w:widowControl w:val="0"/>
        <w:spacing w:before="120" w:after="200"/>
        <w:jc w:val="both"/>
        <w:rPr>
          <w:rFonts w:ascii="Palatino Linotype" w:hAnsi="Palatino Linotype"/>
          <w:i/>
          <w:lang w:val="es-CR"/>
        </w:rPr>
      </w:pPr>
      <w:r w:rsidRPr="006229D5">
        <w:rPr>
          <w:rFonts w:ascii="Palatino Linotype" w:hAnsi="Palatino Linotype"/>
          <w:lang w:val="es-CR"/>
        </w:rPr>
        <w:t xml:space="preserve">Por esta se entienden aquellas </w:t>
      </w:r>
      <w:r w:rsidRPr="006229D5">
        <w:rPr>
          <w:rFonts w:ascii="Palatino Linotype" w:hAnsi="Palatino Linotype"/>
          <w:i/>
          <w:lang w:val="es-CR"/>
        </w:rPr>
        <w:t>“…condiciones para la impugnación, consideradas desde un punto de vista objetivo, son el conjunto de los requisitos genéricos que la ley establece como condiciones de admisibilidad, sin vincularlas particularmente a un sujeto procesal determinado, señalando las resoluciones que pueden ser objeto de los recursos.  Los recursos sólo pueden tener como objeto las resoluciones judiciales”.</w:t>
      </w:r>
      <w:r w:rsidRPr="006229D5">
        <w:rPr>
          <w:rStyle w:val="Refdenotaalpie"/>
          <w:rFonts w:ascii="Palatino Linotype" w:hAnsi="Palatino Linotype"/>
          <w:i/>
          <w:lang w:val="es-CR"/>
        </w:rPr>
        <w:footnoteReference w:id="483"/>
      </w:r>
    </w:p>
    <w:p w14:paraId="5F844BDD"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De este modo, el artículo 437 del CPP señala que las resoluciones judiciales sólo serán recurribles por los medios y en los casos expresamente establecidos por la ley. </w:t>
      </w:r>
    </w:p>
    <w:p w14:paraId="715F3E17"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Respecto de la impugnabilidad objetiva en este recurso de apelación, tenemos el artículo 452 del CPP, que señala lo siguiente: </w:t>
      </w:r>
    </w:p>
    <w:p w14:paraId="75BDECE7" w14:textId="77777777" w:rsidR="006229D5" w:rsidRPr="006229D5" w:rsidRDefault="006229D5" w:rsidP="006229D5">
      <w:pPr>
        <w:widowControl w:val="0"/>
        <w:spacing w:before="120" w:after="200"/>
        <w:jc w:val="both"/>
        <w:rPr>
          <w:rFonts w:ascii="Palatino Linotype" w:hAnsi="Palatino Linotype"/>
          <w:i/>
          <w:lang w:val="es-CR"/>
        </w:rPr>
      </w:pPr>
      <w:r w:rsidRPr="006229D5">
        <w:rPr>
          <w:rFonts w:ascii="Palatino Linotype" w:hAnsi="Palatino Linotype"/>
          <w:lang w:val="es-CR"/>
        </w:rPr>
        <w:t>“</w:t>
      </w:r>
      <w:r w:rsidRPr="006229D5">
        <w:rPr>
          <w:rFonts w:ascii="Palatino Linotype" w:hAnsi="Palatino Linotype"/>
          <w:i/>
          <w:lang w:val="es-CR"/>
        </w:rPr>
        <w:t xml:space="preserve">Artículo 452.- Resoluciones apelables </w:t>
      </w:r>
    </w:p>
    <w:p w14:paraId="12365208" w14:textId="77777777" w:rsidR="006229D5" w:rsidRPr="006229D5" w:rsidRDefault="006229D5" w:rsidP="006229D5">
      <w:pPr>
        <w:widowControl w:val="0"/>
        <w:spacing w:before="120" w:after="200"/>
        <w:jc w:val="both"/>
        <w:rPr>
          <w:rFonts w:ascii="Palatino Linotype" w:hAnsi="Palatino Linotype"/>
          <w:i/>
          <w:lang w:val="es-CR"/>
        </w:rPr>
      </w:pPr>
      <w:r w:rsidRPr="006229D5">
        <w:rPr>
          <w:rFonts w:ascii="Palatino Linotype" w:hAnsi="Palatino Linotype"/>
          <w:i/>
          <w:lang w:val="es-CR"/>
        </w:rPr>
        <w:t>Además de lo dispuesto en el procedimiento contravencional y en la ejecución penal, el recurso de apelación procederá solamente contra las resoluciones de los tribunales del procedimiento preparatorio e intermedio, siempre que sean declaradas apelables, causen gravamen irreparable, pongan fin a la acción o imposibiliten que esta continúe.”</w:t>
      </w:r>
    </w:p>
    <w:p w14:paraId="157965E5"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En consecuencia, el recurso de apelación “interlocutorio” es posible formularlo únicamente </w:t>
      </w:r>
      <w:r w:rsidRPr="006229D5">
        <w:rPr>
          <w:rFonts w:ascii="Palatino Linotype" w:hAnsi="Palatino Linotype"/>
          <w:b/>
          <w:lang w:val="es-CR"/>
        </w:rPr>
        <w:t>contra las resoluciones de los tribunales del procedimiento preparatorio e intermedio</w:t>
      </w:r>
      <w:r w:rsidRPr="006229D5">
        <w:rPr>
          <w:rFonts w:ascii="Palatino Linotype" w:hAnsi="Palatino Linotype"/>
          <w:lang w:val="es-CR"/>
        </w:rPr>
        <w:t xml:space="preserve">. Asimismo, únicamente es admisible en los siguientes cuatro supuestos: </w:t>
      </w:r>
    </w:p>
    <w:p w14:paraId="6D46CA32" w14:textId="77777777" w:rsidR="006229D5" w:rsidRPr="0045124B" w:rsidRDefault="006229D5" w:rsidP="006229D5">
      <w:pPr>
        <w:widowControl w:val="0"/>
        <w:spacing w:before="120" w:after="200"/>
        <w:jc w:val="both"/>
        <w:rPr>
          <w:rFonts w:ascii="Palatino Linotype" w:hAnsi="Palatino Linotype"/>
          <w:i/>
          <w:lang w:val="es-CR"/>
        </w:rPr>
      </w:pPr>
      <w:r w:rsidRPr="0045124B">
        <w:rPr>
          <w:rFonts w:ascii="Palatino Linotype" w:hAnsi="Palatino Linotype"/>
          <w:i/>
          <w:lang w:val="es-CR"/>
        </w:rPr>
        <w:t xml:space="preserve">a. Que las resoluciones sean declaradas apelables, </w:t>
      </w:r>
    </w:p>
    <w:p w14:paraId="4FC7CF5B" w14:textId="77777777" w:rsidR="006229D5" w:rsidRPr="006229D5" w:rsidRDefault="006229D5" w:rsidP="006229D5">
      <w:pPr>
        <w:widowControl w:val="0"/>
        <w:spacing w:before="120" w:after="200"/>
        <w:jc w:val="both"/>
        <w:rPr>
          <w:rFonts w:ascii="Palatino Linotype" w:hAnsi="Palatino Linotype"/>
          <w:i/>
          <w:lang w:val="es-CR"/>
        </w:rPr>
      </w:pPr>
      <w:r w:rsidRPr="006229D5">
        <w:rPr>
          <w:rFonts w:ascii="Palatino Linotype" w:hAnsi="Palatino Linotype"/>
          <w:i/>
          <w:lang w:val="es-CR"/>
        </w:rPr>
        <w:t xml:space="preserve">b. Que causen gravamen irreparable, </w:t>
      </w:r>
    </w:p>
    <w:p w14:paraId="3F6AC52D" w14:textId="77777777" w:rsidR="006229D5" w:rsidRPr="006229D5" w:rsidRDefault="006229D5" w:rsidP="006229D5">
      <w:pPr>
        <w:widowControl w:val="0"/>
        <w:spacing w:before="120" w:after="200"/>
        <w:jc w:val="both"/>
        <w:rPr>
          <w:rFonts w:ascii="Palatino Linotype" w:hAnsi="Palatino Linotype"/>
          <w:i/>
          <w:lang w:val="es-CR"/>
        </w:rPr>
      </w:pPr>
      <w:r w:rsidRPr="006229D5">
        <w:rPr>
          <w:rFonts w:ascii="Palatino Linotype" w:hAnsi="Palatino Linotype"/>
          <w:i/>
          <w:lang w:val="es-CR"/>
        </w:rPr>
        <w:t xml:space="preserve">c. Que pongan fin a la acción, </w:t>
      </w:r>
    </w:p>
    <w:p w14:paraId="7E1B377F" w14:textId="77777777" w:rsidR="006229D5" w:rsidRPr="006229D5" w:rsidRDefault="006229D5" w:rsidP="006229D5">
      <w:pPr>
        <w:widowControl w:val="0"/>
        <w:spacing w:before="120" w:after="200"/>
        <w:jc w:val="both"/>
        <w:rPr>
          <w:rFonts w:ascii="Palatino Linotype" w:hAnsi="Palatino Linotype"/>
          <w:i/>
          <w:lang w:val="es-CR"/>
        </w:rPr>
      </w:pPr>
      <w:r w:rsidRPr="006229D5">
        <w:rPr>
          <w:rFonts w:ascii="Palatino Linotype" w:hAnsi="Palatino Linotype"/>
          <w:i/>
          <w:lang w:val="es-CR"/>
        </w:rPr>
        <w:t>d. Que imposibiliten que esta continúe.</w:t>
      </w:r>
    </w:p>
    <w:p w14:paraId="752CEF68"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No se requiere que se esté en presencia de más de uno de estos supuestos para que el recurso sea admisible, aún y cuando pueden darse casos, en que concurran dos de ellos, por ejemplo, al dictarse un sobreseimiento, se está ante una resolución que el CPP declara apelable expresamente (artículo 315), y esa resolución, de quedar firme, también pone fin a la acción penal. </w:t>
      </w:r>
    </w:p>
    <w:p w14:paraId="57E954C0"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En relación con el </w:t>
      </w:r>
      <w:r w:rsidRPr="006229D5">
        <w:rPr>
          <w:rFonts w:ascii="Palatino Linotype" w:hAnsi="Palatino Linotype"/>
          <w:b/>
          <w:lang w:val="es-CR"/>
        </w:rPr>
        <w:t>primer supuesto</w:t>
      </w:r>
      <w:r w:rsidRPr="006229D5">
        <w:rPr>
          <w:rFonts w:ascii="Palatino Linotype" w:hAnsi="Palatino Linotype"/>
          <w:lang w:val="es-CR"/>
        </w:rPr>
        <w:t>, existen una serie de normas en el CPP y en otras leyes, que prevén el recurso de apelación interlocutorio.</w:t>
      </w:r>
      <w:r w:rsidRPr="006229D5">
        <w:rPr>
          <w:rStyle w:val="Refdenotaalpie"/>
          <w:rFonts w:ascii="Palatino Linotype" w:hAnsi="Palatino Linotype"/>
          <w:lang w:val="es-CR"/>
        </w:rPr>
        <w:footnoteReference w:id="484"/>
      </w:r>
      <w:r w:rsidRPr="006229D5">
        <w:rPr>
          <w:rFonts w:ascii="Palatino Linotype" w:hAnsi="Palatino Linotype"/>
          <w:lang w:val="es-CR"/>
        </w:rPr>
        <w:t xml:space="preserve"> Existen varios ejemplos en ese sentido: la apelación de la sentencia dictada en los juicios contravencionales (art. 407 CPP), la apelación de los incidentes de ejecución (artículo 478 párrafo final CPP), la apelación en contra de la resolución que ordena la desestimación (art. 282 CPP), el sobreseimiento definitivo (art. 315 CPP), la resolución que impone una medida disciplinaria (art. 129 CPP); la resolución que ordena por primera vez la prisión preventiva o rechaza una medida sustitutiva o las resoluciones que imponen cualquier otra medida sustitutiva (art. 256 CPP); la que dispone la aplicación del procedimiento de tramitación compleja (art. 377 párrafo 3) CPP); la resolución que acuerde o deniegue la protección procesal (art. 204 bis inciso 3) CPP); la resolución que rechaza la petición de la víctima de evacuar prueba (art. 298 párrafo final CPP). </w:t>
      </w:r>
    </w:p>
    <w:p w14:paraId="2D654037"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En relación con el segundo supuesto, y el más polémico de los cuatro, procede la apelación contra aquellas resoluciones que causen </w:t>
      </w:r>
      <w:r w:rsidRPr="006229D5">
        <w:rPr>
          <w:rFonts w:ascii="Palatino Linotype" w:hAnsi="Palatino Linotype"/>
          <w:b/>
          <w:lang w:val="es-CR"/>
        </w:rPr>
        <w:t>gravamen irreparable</w:t>
      </w:r>
      <w:r w:rsidRPr="006229D5">
        <w:rPr>
          <w:rFonts w:ascii="Palatino Linotype" w:hAnsi="Palatino Linotype"/>
          <w:lang w:val="es-CR"/>
        </w:rPr>
        <w:t xml:space="preserve">. </w:t>
      </w:r>
    </w:p>
    <w:p w14:paraId="205D3821"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Clariá Olmedo citando a Alsina, señala sobre el concepto de gravamen irreparable, lo siguiente: </w:t>
      </w:r>
    </w:p>
    <w:p w14:paraId="333EFBAB"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w:t>
      </w:r>
      <w:r w:rsidRPr="006229D5">
        <w:rPr>
          <w:rFonts w:ascii="Palatino Linotype" w:hAnsi="Palatino Linotype"/>
          <w:i/>
          <w:lang w:val="es-CR"/>
        </w:rPr>
        <w:t>Causan gravamen irreparable aquellas resoluciones que de ser ejecutadas, producirían un daño o perjuicio al afectado, de imposible reparación por la sentencia”</w:t>
      </w:r>
      <w:r w:rsidRPr="006229D5">
        <w:rPr>
          <w:rStyle w:val="Refdenotaalpie"/>
          <w:rFonts w:ascii="Palatino Linotype" w:hAnsi="Palatino Linotype"/>
          <w:i/>
          <w:lang w:val="es-CR"/>
        </w:rPr>
        <w:footnoteReference w:id="485"/>
      </w:r>
      <w:r w:rsidRPr="006229D5">
        <w:rPr>
          <w:rFonts w:ascii="Palatino Linotype" w:hAnsi="Palatino Linotype"/>
          <w:lang w:val="es-CR"/>
        </w:rPr>
        <w:t xml:space="preserve"> </w:t>
      </w:r>
    </w:p>
    <w:p w14:paraId="12499302"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Veíamos antes que, toda resolución jurisdiccional, para que sea objeto de un recurso, debe causar al interesado un gravamen, un agravio, un perjuicio. Sin embargo, el supuesto que aquí se analiza, requiere un </w:t>
      </w:r>
      <w:r w:rsidRPr="006229D5">
        <w:rPr>
          <w:rFonts w:ascii="Palatino Linotype" w:hAnsi="Palatino Linotype"/>
          <w:i/>
          <w:lang w:val="es-CR"/>
        </w:rPr>
        <w:t>plus</w:t>
      </w:r>
      <w:r w:rsidRPr="006229D5">
        <w:rPr>
          <w:rFonts w:ascii="Palatino Linotype" w:hAnsi="Palatino Linotype"/>
          <w:lang w:val="es-CR"/>
        </w:rPr>
        <w:t>, ya que ese gravamen debe tener además la condición de ser irreparable. Irreparable según el sentido común es aquello que no se puede reparar, y por lo tanto, indica la necesidad de que el vicio sea reparado de inmediato so pena de causarle mayores perjuicios a la parte con el transcurso del tiempo. De este modo, el término “gravamen irreparable” puede ser entendido como aquel daño o perjuicio, cuya reparación no es posible realizarla en la sentencia definitiva.</w:t>
      </w:r>
    </w:p>
    <w:p w14:paraId="2B997CEF"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Este supuesto ha sido objeto de una interpretación desigual y discriminatoria por parte de los Tribunales y, por lo tanto, violatoria del principio de igualdad consagrado a nivel constitucional y convencional, ya que, por ejemplo, en el Primer Circuito Judicial de San José, se aplica una interpretación restrictiva de este supuesto, rechazándose prácticamente cualquier apelación en que se invoque este motivo. Por el contrario, a unos pocos kilómetros de distancia, en el II Circuito Judicial de San José, se interpreta esta causal de apelación en forma más amplia, permitiendo prácticamente todos los recursos que se basen en esta causal. </w:t>
      </w:r>
    </w:p>
    <w:p w14:paraId="3A5AA20F"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Como ejemplo de lo anterior se puede citar el auto de apertura a juicio, el cual no es posible apelar en el I Circuito Judicial, pero sí es factible hacerlo en el II Circuito Judicial. </w:t>
      </w:r>
    </w:p>
    <w:p w14:paraId="4207ECFF"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En sentido estricto, el Código Procesal Penal no previó expresamente un recurso de apelación en contra de la resolución que ordena la Apertura a Juicio. Asimismo, no estimamos que se esté en presencia de un supuesto en el cual se le cause al sujeto procesal un gravamen irreparable, toda vez que esa resolución lo que ordena es la continuación del caso y su conocimiento en debate por parte del Tribunal de Juicio, por lo que los sujetos interesados podrían plantear sus respectivos reclamos contra el auto citado o cualquier vicio relacionado con el mismo, durante el contradictorio. </w:t>
      </w:r>
    </w:p>
    <w:p w14:paraId="451BBA6B"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b/>
          <w:lang w:val="es-CR"/>
        </w:rPr>
        <w:t>En cuanto a las resoluciones que ponen fin a la acción penal</w:t>
      </w:r>
      <w:r w:rsidRPr="006229D5">
        <w:rPr>
          <w:rFonts w:ascii="Palatino Linotype" w:hAnsi="Palatino Linotype"/>
          <w:i/>
          <w:lang w:val="es-CR"/>
        </w:rPr>
        <w:t xml:space="preserve">. </w:t>
      </w:r>
      <w:r w:rsidRPr="006229D5">
        <w:rPr>
          <w:rFonts w:ascii="Palatino Linotype" w:hAnsi="Palatino Linotype"/>
          <w:lang w:val="es-CR"/>
        </w:rPr>
        <w:t xml:space="preserve">Este caso se relaciona con las causales de extinción de la acción penal reguladas en el artículo 30 CPP. En caso de concurrir una de estas causales, lo que corresponde es el dictado de un sobreseimiento definitivo a tenor de lo establecido en los artículos 44 y 311 inciso d) CPP. Por esa razón, no era necesario haber previsto por parte del legislador esta causal en forma autónoma, por cuanto, como ya se indicó, la sentencia de sobreseimiento definitivo tiene previsto expresamente un recurso de apelación (art. 315 CPP). </w:t>
      </w:r>
    </w:p>
    <w:p w14:paraId="53CB7529"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b/>
          <w:lang w:val="es-CR"/>
        </w:rPr>
        <w:t xml:space="preserve">En cuanto a las resoluciones que imposibiliten que la acción penal continúe. </w:t>
      </w:r>
      <w:r w:rsidRPr="006229D5">
        <w:rPr>
          <w:rFonts w:ascii="Palatino Linotype" w:hAnsi="Palatino Linotype"/>
          <w:lang w:val="es-CR"/>
        </w:rPr>
        <w:t>En este caso, se trata de impedimentos procesales, tales como el obstáculo fundado en privilegio constitucional con posterioridad al inicio del proceso; o cuando durante el proceso sobreviene una enfermedad metal al imputado (art. 85 CPP), supuestos que permiten formular un recurso de apelación.</w:t>
      </w:r>
    </w:p>
    <w:p w14:paraId="3F5A7B03" w14:textId="6AB31739" w:rsid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Otro ejemplo lo constituye la resolución que rechaza la solicitud de constitución del querellante, el supuesto en que se declara la prejudicialidad, o la aplicación de un criterio de oportunidad conforme a los incisos b) y d) del artículo 22 CPP.</w:t>
      </w:r>
      <w:r w:rsidRPr="006229D5">
        <w:rPr>
          <w:rStyle w:val="Refdenotaalpie"/>
          <w:rFonts w:ascii="Palatino Linotype" w:hAnsi="Palatino Linotype"/>
          <w:lang w:val="es-CR"/>
        </w:rPr>
        <w:footnoteReference w:id="486"/>
      </w:r>
    </w:p>
    <w:p w14:paraId="738EE3CF" w14:textId="77777777" w:rsidR="0027447C" w:rsidRPr="006229D5" w:rsidRDefault="0027447C" w:rsidP="006229D5">
      <w:pPr>
        <w:widowControl w:val="0"/>
        <w:spacing w:before="120" w:after="200"/>
        <w:jc w:val="both"/>
        <w:rPr>
          <w:rFonts w:ascii="Palatino Linotype" w:hAnsi="Palatino Linotype"/>
          <w:lang w:val="es-CR"/>
        </w:rPr>
      </w:pPr>
    </w:p>
    <w:p w14:paraId="3A20945F" w14:textId="77777777" w:rsidR="006229D5" w:rsidRPr="006229D5" w:rsidRDefault="006229D5" w:rsidP="006229D5">
      <w:pPr>
        <w:widowControl w:val="0"/>
        <w:spacing w:before="120" w:after="200"/>
        <w:rPr>
          <w:rFonts w:ascii="Palatino Linotype" w:hAnsi="Palatino Linotype"/>
          <w:b/>
          <w:lang w:val="es-CR"/>
        </w:rPr>
      </w:pPr>
      <w:r w:rsidRPr="006229D5">
        <w:rPr>
          <w:rFonts w:ascii="Palatino Linotype" w:hAnsi="Palatino Linotype"/>
          <w:b/>
          <w:lang w:val="es-CR"/>
        </w:rPr>
        <w:t xml:space="preserve">e. Condiciones de interposición. </w:t>
      </w:r>
    </w:p>
    <w:p w14:paraId="0EE8DD80"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Según el artículo 435 del CPP, este recurso debe interponerse ante el mismo tribunal que dictó la resolución y en la misma audiencia en que la resolución fue dictada. En esa oportunidad, el apelante indicará someramente el motivo del agravio. El fundamento del recurso deberá ser expuesto ante el tribunal de apelación. Si el interesado desea que se reciba prueba en alzada, debe ofrecerla al momento de interposición del recurso y debe señalar en concreto el hecho que pretende probar. </w:t>
      </w:r>
    </w:p>
    <w:p w14:paraId="16863AF0"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En aquellos supuestos en que la resolución judicial se haya dictado fuera de audiencia o por escrito, el recurso podrá ser interpuesto en el término de tres días siguientes a la notificación.</w:t>
      </w:r>
    </w:p>
    <w:p w14:paraId="368FCEF2" w14:textId="77777777" w:rsidR="006229D5" w:rsidRPr="006229D5" w:rsidRDefault="006229D5" w:rsidP="006229D5">
      <w:pPr>
        <w:widowControl w:val="0"/>
        <w:spacing w:before="120" w:after="200"/>
        <w:rPr>
          <w:rFonts w:ascii="Palatino Linotype" w:hAnsi="Palatino Linotype"/>
          <w:lang w:val="es-CR"/>
        </w:rPr>
      </w:pPr>
      <w:r w:rsidRPr="006229D5">
        <w:rPr>
          <w:rFonts w:ascii="Palatino Linotype" w:hAnsi="Palatino Linotype"/>
          <w:lang w:val="es-CR"/>
        </w:rPr>
        <w:t xml:space="preserve">La impugnación de la resolución respectiva puede ser total o parcial. </w:t>
      </w:r>
    </w:p>
    <w:p w14:paraId="7AEC1DAB" w14:textId="77777777" w:rsidR="006229D5" w:rsidRPr="006229D5" w:rsidRDefault="006229D5" w:rsidP="006229D5">
      <w:pPr>
        <w:widowControl w:val="0"/>
        <w:spacing w:before="120" w:after="200"/>
        <w:rPr>
          <w:rFonts w:ascii="Palatino Linotype" w:hAnsi="Palatino Linotype"/>
          <w:b/>
          <w:lang w:val="es-CR"/>
        </w:rPr>
      </w:pPr>
      <w:r w:rsidRPr="006229D5">
        <w:rPr>
          <w:rFonts w:ascii="Palatino Linotype" w:hAnsi="Palatino Linotype"/>
          <w:b/>
          <w:lang w:val="es-CR"/>
        </w:rPr>
        <w:t xml:space="preserve">f. Audiencia oral y decisión sobre el recurso </w:t>
      </w:r>
    </w:p>
    <w:p w14:paraId="4F3B2C65"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La parte recurrente puede solicitar el señalamiento de una audiencia oral para exponer los motivos del recurso, o la parte contraria, puede también solicitar esa audiencia al momento de contestar el recurso. </w:t>
      </w:r>
    </w:p>
    <w:p w14:paraId="2C230186"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De acuerdo con el artículo 456 CPP, el tribunal de apelación puede resolver inmediatamente de manera oral, o diferir para resolver el recurso por escrito. </w:t>
      </w:r>
    </w:p>
    <w:p w14:paraId="55FE3B8F"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De acuerdo con el artículo 447 del CPP, si la resolución sólo fue impugnada por el imputado o su defensor, no podrá modificarse en su perjuicio (</w:t>
      </w:r>
      <w:r w:rsidRPr="006229D5">
        <w:rPr>
          <w:rFonts w:ascii="Palatino Linotype" w:hAnsi="Palatino Linotype"/>
          <w:i/>
          <w:lang w:val="es-CR"/>
        </w:rPr>
        <w:t>Non reformatio in peius</w:t>
      </w:r>
      <w:r w:rsidRPr="006229D5">
        <w:rPr>
          <w:rFonts w:ascii="Palatino Linotype" w:hAnsi="Palatino Linotype"/>
          <w:lang w:val="es-CR"/>
        </w:rPr>
        <w:t xml:space="preserve">). </w:t>
      </w:r>
    </w:p>
    <w:p w14:paraId="48E3EE97" w14:textId="77777777" w:rsidR="006229D5" w:rsidRPr="006229D5" w:rsidRDefault="006229D5" w:rsidP="006229D5">
      <w:pPr>
        <w:widowControl w:val="0"/>
        <w:spacing w:before="120" w:after="200"/>
        <w:rPr>
          <w:rFonts w:ascii="Palatino Linotype" w:hAnsi="Palatino Linotype"/>
          <w:b/>
          <w:lang w:val="es-CR"/>
        </w:rPr>
      </w:pPr>
      <w:r w:rsidRPr="006229D5">
        <w:rPr>
          <w:rFonts w:ascii="Palatino Linotype" w:hAnsi="Palatino Linotype"/>
          <w:b/>
          <w:lang w:val="es-CR"/>
        </w:rPr>
        <w:t xml:space="preserve">VI. El recurso de apelación de sentencia. </w:t>
      </w:r>
    </w:p>
    <w:p w14:paraId="4C9F47AF" w14:textId="77777777" w:rsidR="006229D5" w:rsidRPr="006229D5" w:rsidRDefault="006229D5" w:rsidP="006229D5">
      <w:pPr>
        <w:widowControl w:val="0"/>
        <w:spacing w:before="120" w:after="200"/>
        <w:rPr>
          <w:rFonts w:ascii="Palatino Linotype" w:hAnsi="Palatino Linotype"/>
          <w:b/>
          <w:lang w:val="es-CR"/>
        </w:rPr>
      </w:pPr>
      <w:r w:rsidRPr="006229D5">
        <w:rPr>
          <w:rFonts w:ascii="Palatino Linotype" w:hAnsi="Palatino Linotype"/>
          <w:b/>
          <w:lang w:val="es-CR"/>
        </w:rPr>
        <w:t>a. Concepto</w:t>
      </w:r>
    </w:p>
    <w:p w14:paraId="158DE037"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Tal y como antes se indicó, nuestro legislador se decantó por una apelación limitada. </w:t>
      </w:r>
    </w:p>
    <w:p w14:paraId="7EDF5713"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Dos convenciones sobre derechos humanos, ratificadas por nuestro país, así como la jurisprudencia desarrollada por la CIDH -en especial, el caso conocido como Herrera Ulloa vs. Costa Rica-, han tenido una gran incidencia en cuanto a la regulación de este recurso en nuestro Ordenamiento Jurídico.</w:t>
      </w:r>
      <w:r w:rsidRPr="006229D5">
        <w:rPr>
          <w:rStyle w:val="Refdenotaalpie"/>
          <w:rFonts w:ascii="Palatino Linotype" w:hAnsi="Palatino Linotype"/>
          <w:lang w:val="es-CR"/>
        </w:rPr>
        <w:footnoteReference w:id="487"/>
      </w:r>
      <w:r w:rsidRPr="006229D5">
        <w:rPr>
          <w:rFonts w:ascii="Palatino Linotype" w:hAnsi="Palatino Linotype"/>
          <w:lang w:val="es-CR"/>
        </w:rPr>
        <w:t xml:space="preserve">   </w:t>
      </w:r>
    </w:p>
    <w:p w14:paraId="591C5D7A"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El primero es el Pacto Internacional de Derechos Civiles y Políticos, ratificada por Costa Rica mediante Ley No. 4229, de 11 de diciembre de 1968, señala en el artículo 14.5., lo siguiente: </w:t>
      </w:r>
    </w:p>
    <w:p w14:paraId="303AE89D" w14:textId="77777777" w:rsidR="006229D5" w:rsidRPr="006229D5" w:rsidRDefault="006229D5" w:rsidP="006229D5">
      <w:pPr>
        <w:widowControl w:val="0"/>
        <w:spacing w:before="120" w:after="200"/>
        <w:jc w:val="both"/>
        <w:rPr>
          <w:rFonts w:ascii="Palatino Linotype" w:hAnsi="Palatino Linotype"/>
          <w:i/>
          <w:lang w:val="es-CR"/>
        </w:rPr>
      </w:pPr>
      <w:r w:rsidRPr="006229D5">
        <w:rPr>
          <w:rFonts w:ascii="Palatino Linotype" w:hAnsi="Palatino Linotype"/>
          <w:i/>
          <w:lang w:val="es-CR"/>
        </w:rPr>
        <w:t>“…toda persona declarada culpable de un delito tendrá derecho a que el fallo condenatorio y la pena que se la haya impuesto sean sometidos a un tribunal superior conforme a lo prescrito por la ley”</w:t>
      </w:r>
    </w:p>
    <w:p w14:paraId="5EFA99F6"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La segunda es la Convención Americana sobre Derechos Humanos, aprobada en 1969, ratificada por Costa Rica mediante Ley No. 4534 de 23 de febrero de 1970, que en su artículo 8.2.h) señala, dentro de las Garantías Judiciales, la siguiente: </w:t>
      </w:r>
    </w:p>
    <w:p w14:paraId="4EF164C8" w14:textId="77777777" w:rsidR="006229D5" w:rsidRPr="006229D5" w:rsidRDefault="006229D5" w:rsidP="006229D5">
      <w:pPr>
        <w:widowControl w:val="0"/>
        <w:spacing w:before="120" w:after="200"/>
        <w:jc w:val="both"/>
        <w:rPr>
          <w:rFonts w:ascii="Palatino Linotype" w:hAnsi="Palatino Linotype"/>
          <w:i/>
          <w:lang w:val="es-CR"/>
        </w:rPr>
      </w:pPr>
      <w:r w:rsidRPr="006229D5">
        <w:rPr>
          <w:rFonts w:ascii="Palatino Linotype" w:hAnsi="Palatino Linotype"/>
          <w:i/>
          <w:lang w:val="es-CR"/>
        </w:rPr>
        <w:t>“…Toda persona inculpada de delito tiene derecho a que presuma su inocencia mientras no se establezca legalmente su culpabilidad. Durante el proceso, toda persona tiene derecho, en plena igualdad, a las siguientes garantías mínimas: h) Derecho de recurrir del fallo ante juez o tribunal superior…”</w:t>
      </w:r>
    </w:p>
    <w:p w14:paraId="1DB43482"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De la lectura de ambas normas es fácil deducir que otorgan un derecho “a la persona declarada culpable de un delito” o a “toda persona inculpada de delito” de recurrir el fallo ante un tribunal superior, por lo que se trata de una garantía reconocida esencialmente en favor del imputado. </w:t>
      </w:r>
    </w:p>
    <w:p w14:paraId="254F2FA0"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El tema ha sido objeto de una intensa polémica y Maier es quien ha señalado reiteradamente que no procede concederle este recurso a otro sujeto procesal que no sea el imputado. </w:t>
      </w:r>
      <w:r w:rsidRPr="006229D5">
        <w:rPr>
          <w:rStyle w:val="Refdenotaalpie"/>
          <w:rFonts w:ascii="Palatino Linotype" w:hAnsi="Palatino Linotype"/>
          <w:lang w:val="es-CR"/>
        </w:rPr>
        <w:footnoteReference w:id="488"/>
      </w:r>
    </w:p>
    <w:p w14:paraId="69E2E324"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En ese sentido la CIDH ha señalado: </w:t>
      </w:r>
    </w:p>
    <w:p w14:paraId="4030CA00"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w:t>
      </w:r>
      <w:r w:rsidRPr="006229D5">
        <w:rPr>
          <w:rFonts w:ascii="Palatino Linotype" w:hAnsi="Palatino Linotype"/>
          <w:i/>
          <w:lang w:val="es-CR"/>
        </w:rPr>
        <w:t>…el derecho de impugnar el fallo busca proteger el derecho de defensa, en la medida en que otorga la posibilidad de interponer un recurso para evitar que quede firme una decisión adoptada en un procedimiento viciado y que contienen errores que ocasionarán un perjuicio indebido a los intereses del justiciable. Así, para el Tribunal Interamericano, la doble conformidad judicial, expresada mediante la íntegra revisión del fallo condenatorio, confirma el fundamento y otorga mayor credibilidad al acto jurisdiccional del Estado, y al mismo tiempo brinda mayor seguridad y tutela a los derechos del condenado.”</w:t>
      </w:r>
      <w:r w:rsidRPr="006229D5">
        <w:rPr>
          <w:rStyle w:val="Refdenotaalpie"/>
          <w:rFonts w:ascii="Palatino Linotype" w:hAnsi="Palatino Linotype"/>
          <w:i/>
          <w:lang w:val="es-CR"/>
        </w:rPr>
        <w:footnoteReference w:id="489"/>
      </w:r>
      <w:r w:rsidRPr="006229D5">
        <w:rPr>
          <w:rFonts w:ascii="Palatino Linotype" w:hAnsi="Palatino Linotype"/>
          <w:lang w:val="es-CR"/>
        </w:rPr>
        <w:t xml:space="preserve"> </w:t>
      </w:r>
    </w:p>
    <w:p w14:paraId="2AC22763"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No obstante, la misma CIDH en la sentencia de 23 de noviembre de 2012, dictada en el caso Mohamed contra Argentina, No. 123 y 125, señaló que no se quebranta el principio </w:t>
      </w:r>
      <w:r w:rsidRPr="006229D5">
        <w:rPr>
          <w:rFonts w:ascii="Palatino Linotype" w:hAnsi="Palatino Linotype"/>
          <w:i/>
          <w:lang w:val="es-CR"/>
        </w:rPr>
        <w:t>ne bis in idem</w:t>
      </w:r>
      <w:r w:rsidRPr="006229D5">
        <w:rPr>
          <w:rFonts w:ascii="Palatino Linotype" w:hAnsi="Palatino Linotype"/>
          <w:lang w:val="es-CR"/>
        </w:rPr>
        <w:t xml:space="preserve"> a través de la posibilidad de que el Ministerio Público y la parte querellante recurran la sentencia del Tribunal de juicio en contra del imputado. </w:t>
      </w:r>
    </w:p>
    <w:p w14:paraId="756DBC15"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Con el recurso creado por el legislador en los artículos 458 y ss. del CPP, no se prevé la realización de un nuevo juicio por parte del Tribunal de apelación de sentencia, sino un examen o fiscalización integral del fallo.</w:t>
      </w:r>
      <w:r w:rsidRPr="006229D5">
        <w:rPr>
          <w:rStyle w:val="Refdenotaalpie"/>
          <w:rFonts w:ascii="Palatino Linotype" w:hAnsi="Palatino Linotype"/>
          <w:lang w:val="es-CR"/>
        </w:rPr>
        <w:footnoteReference w:id="490"/>
      </w:r>
      <w:r w:rsidRPr="006229D5">
        <w:rPr>
          <w:rFonts w:ascii="Palatino Linotype" w:hAnsi="Palatino Linotype"/>
          <w:lang w:val="es-CR"/>
        </w:rPr>
        <w:t xml:space="preserve"> Tal y como veremos más adelante, la posibilidad de ofrecer prueba nueva sobre los hechos, es muy restringida. </w:t>
      </w:r>
    </w:p>
    <w:p w14:paraId="0DD55789"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De conformidad con el artículo 459 CPP el recurso de apelación permite, sin que esa enunciación sea taxativa, lo siguiente: a) reclamar la inconformidad con la determinación de los hechos; b) la forma en que se incorporó y valoró la prueba; c) la fundamentación jurídica; y d) la fijación de la pena.  </w:t>
      </w:r>
    </w:p>
    <w:p w14:paraId="4C8BD772"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Asimismo, el tribunal de apelación de sentencia, debe declarar de oficio los defectos absolutos y las violaciones al debido proceso que encuentre en la sentencia.</w:t>
      </w:r>
    </w:p>
    <w:p w14:paraId="2533E597" w14:textId="77777777" w:rsidR="006229D5" w:rsidRPr="006229D5" w:rsidRDefault="006229D5" w:rsidP="006229D5">
      <w:pPr>
        <w:widowControl w:val="0"/>
        <w:spacing w:before="120" w:after="200"/>
        <w:rPr>
          <w:rFonts w:ascii="Palatino Linotype" w:hAnsi="Palatino Linotype"/>
          <w:b/>
          <w:lang w:val="es-CR"/>
        </w:rPr>
      </w:pPr>
      <w:r w:rsidRPr="006229D5">
        <w:rPr>
          <w:rFonts w:ascii="Palatino Linotype" w:hAnsi="Palatino Linotype"/>
          <w:b/>
          <w:lang w:val="es-CR"/>
        </w:rPr>
        <w:t>b. Impugnabilidad subjetiva</w:t>
      </w:r>
    </w:p>
    <w:p w14:paraId="52FBA613"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De una lectura de los artículos que prevén el recurso de apelación de sentencia en el CPP se desprende que pueden recurrir las sentencias dictadas en la fase de juicio, el Ministerio Público, la defensa, el imputado, la parte querellante, la parte actora civil y la parte demandada civil. La víctima o cualquier damnificado, cuando no estén constituidos como partes, únicamente tienen la posibilidad de formular una solicitud motivada al Ministerio Público para que interponga este recurso (art. 441 CPP).</w:t>
      </w:r>
    </w:p>
    <w:p w14:paraId="1B1F070A" w14:textId="77777777" w:rsidR="006229D5" w:rsidRPr="006229D5" w:rsidRDefault="006229D5" w:rsidP="006229D5">
      <w:pPr>
        <w:widowControl w:val="0"/>
        <w:spacing w:before="120" w:after="200"/>
        <w:jc w:val="both"/>
        <w:rPr>
          <w:rFonts w:ascii="Palatino Linotype" w:hAnsi="Palatino Linotype"/>
          <w:lang w:val="es-CR"/>
        </w:rPr>
      </w:pPr>
      <w:r w:rsidRPr="006229D5">
        <w:rPr>
          <w:rFonts w:ascii="Palatino Linotype" w:hAnsi="Palatino Linotype"/>
          <w:lang w:val="es-CR"/>
        </w:rPr>
        <w:t xml:space="preserve">Respecto del sobreseimiento que se dicte en la etapa de juicio, el artículo 340 CPP señala que el Ministerio Público, la víctima, el querellante y el actor civil podrán interponer recurso de apelación de la sentencia contra esa resolución. </w:t>
      </w:r>
    </w:p>
    <w:p w14:paraId="105DBFD6" w14:textId="77777777" w:rsidR="006229D5" w:rsidRPr="006229D5" w:rsidRDefault="006229D5" w:rsidP="006229D5">
      <w:pPr>
        <w:widowControl w:val="0"/>
        <w:spacing w:before="120" w:after="200"/>
        <w:jc w:val="both"/>
        <w:rPr>
          <w:rFonts w:ascii="Palatino Linotype" w:hAnsi="Palatino Linotype"/>
          <w:i/>
          <w:lang w:val="es-CR"/>
        </w:rPr>
      </w:pPr>
      <w:r w:rsidRPr="006229D5">
        <w:rPr>
          <w:rFonts w:ascii="Palatino Linotype" w:hAnsi="Palatino Linotype"/>
          <w:lang w:val="es-CR"/>
        </w:rPr>
        <w:t xml:space="preserve">En relación con el interés de recurrir, me remito a lo señalado supra respecto del recurso de apelación “interlocutorio” por cuanto aplica aquí </w:t>
      </w:r>
      <w:r w:rsidRPr="006229D5">
        <w:rPr>
          <w:rFonts w:ascii="Palatino Linotype" w:hAnsi="Palatino Linotype"/>
          <w:i/>
          <w:lang w:val="es-CR"/>
        </w:rPr>
        <w:t xml:space="preserve">mutatis mutandis. </w:t>
      </w:r>
    </w:p>
    <w:p w14:paraId="30010058" w14:textId="77777777" w:rsidR="006229D5" w:rsidRPr="006229D5" w:rsidRDefault="006229D5" w:rsidP="006229D5">
      <w:pPr>
        <w:widowControl w:val="0"/>
        <w:spacing w:before="120" w:after="200"/>
        <w:rPr>
          <w:rFonts w:ascii="Palatino Linotype" w:hAnsi="Palatino Linotype"/>
          <w:b/>
          <w:lang w:val="es-CR"/>
        </w:rPr>
      </w:pPr>
      <w:r w:rsidRPr="006229D5">
        <w:rPr>
          <w:rFonts w:ascii="Palatino Linotype" w:hAnsi="Palatino Linotype"/>
          <w:b/>
          <w:lang w:val="es-CR"/>
        </w:rPr>
        <w:t>c. Impugnabilidad objetiva</w:t>
      </w:r>
    </w:p>
    <w:p w14:paraId="317706D0" w14:textId="77777777" w:rsidR="006229D5" w:rsidRP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En cuanto a la taxatividad objetiva, el artículo 458 del CPP señala que son apelables por medio de este recurso, las sentencias y los sobreseimientos dictados en la fase de juicio y que resuelven los aspectos penales, civiles, incidentales y demás que la ley determina.</w:t>
      </w:r>
    </w:p>
    <w:p w14:paraId="3E4D210B" w14:textId="77777777" w:rsidR="006229D5" w:rsidRP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 xml:space="preserve">De esta forma queda claro que el recurso de apelación “interlocutorio” se refiere a las resoluciones dictadas durante las etapas preparatoria e intermedia; por el contrario, el recurso de apelación de sentencia tiene cabida respecto de las resoluciones indicadas que se dicten en la etapa de juicio. </w:t>
      </w:r>
    </w:p>
    <w:p w14:paraId="12DA9C89" w14:textId="77777777" w:rsidR="006229D5" w:rsidRPr="006229D5" w:rsidRDefault="006229D5" w:rsidP="006229D5">
      <w:pPr>
        <w:widowControl w:val="0"/>
        <w:spacing w:before="120" w:after="200"/>
        <w:rPr>
          <w:rFonts w:ascii="Palatino Linotype" w:hAnsi="Palatino Linotype"/>
          <w:b/>
          <w:lang w:val="es-CR"/>
        </w:rPr>
      </w:pPr>
      <w:r w:rsidRPr="006229D5">
        <w:rPr>
          <w:rFonts w:ascii="Palatino Linotype" w:hAnsi="Palatino Linotype"/>
          <w:b/>
          <w:lang w:val="es-CR"/>
        </w:rPr>
        <w:t xml:space="preserve">d. Condiciones de interposición. </w:t>
      </w:r>
    </w:p>
    <w:p w14:paraId="67B3F2EF" w14:textId="77777777" w:rsidR="006229D5" w:rsidRP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Según el artículo 460 CPP, el recurso de apelación de sentencia debe interponerse ante el mismo tribunal que dictó la resolución (</w:t>
      </w:r>
      <w:r w:rsidRPr="006229D5">
        <w:rPr>
          <w:rFonts w:ascii="Palatino Linotype" w:hAnsi="Palatino Linotype"/>
          <w:i/>
          <w:lang w:val="es-CR"/>
        </w:rPr>
        <w:t>a quo</w:t>
      </w:r>
      <w:r w:rsidRPr="006229D5">
        <w:rPr>
          <w:rFonts w:ascii="Palatino Linotype" w:hAnsi="Palatino Linotype"/>
          <w:lang w:val="es-CR"/>
        </w:rPr>
        <w:t xml:space="preserve">), dentro del plazo de quince días de notificada, mediante escrito o cualquier otra forma de registro reglamentariamente autorizado. En el documento, la parte recurrente debe señalar  los motivos de su inconformidad (vicios </w:t>
      </w:r>
      <w:r w:rsidRPr="006229D5">
        <w:rPr>
          <w:rFonts w:ascii="Palatino Linotype" w:hAnsi="Palatino Linotype"/>
          <w:i/>
          <w:lang w:val="es-CR"/>
        </w:rPr>
        <w:t xml:space="preserve">in procedendo </w:t>
      </w:r>
      <w:r w:rsidRPr="006229D5">
        <w:rPr>
          <w:rFonts w:ascii="Palatino Linotype" w:hAnsi="Palatino Linotype"/>
          <w:lang w:val="es-CR"/>
        </w:rPr>
        <w:t xml:space="preserve">o vicios </w:t>
      </w:r>
      <w:r w:rsidRPr="006229D5">
        <w:rPr>
          <w:rFonts w:ascii="Palatino Linotype" w:hAnsi="Palatino Linotype"/>
          <w:i/>
          <w:lang w:val="es-CR"/>
        </w:rPr>
        <w:t>in iudicando)</w:t>
      </w:r>
      <w:r w:rsidRPr="006229D5">
        <w:rPr>
          <w:rFonts w:ascii="Palatino Linotype" w:hAnsi="Palatino Linotype"/>
          <w:lang w:val="es-CR"/>
        </w:rPr>
        <w:t xml:space="preserve">, el agravio que le causa y su pretensión.  En el mismo documento debe ofrecerse la prueba en que fundamente sus alegatos. </w:t>
      </w:r>
    </w:p>
    <w:p w14:paraId="09B82749" w14:textId="77777777" w:rsidR="006229D5" w:rsidRPr="006229D5" w:rsidRDefault="006229D5" w:rsidP="006229D5">
      <w:pPr>
        <w:widowControl w:val="0"/>
        <w:spacing w:before="120" w:after="200"/>
        <w:rPr>
          <w:rFonts w:ascii="Palatino Linotype" w:hAnsi="Palatino Linotype"/>
          <w:b/>
          <w:lang w:val="es-CR"/>
        </w:rPr>
      </w:pPr>
      <w:r w:rsidRPr="006229D5">
        <w:rPr>
          <w:rFonts w:ascii="Palatino Linotype" w:hAnsi="Palatino Linotype"/>
          <w:b/>
          <w:lang w:val="es-CR"/>
        </w:rPr>
        <w:t xml:space="preserve">e. Prueba en apelación de sentencia. </w:t>
      </w:r>
    </w:p>
    <w:p w14:paraId="78C7D789" w14:textId="77777777" w:rsidR="006229D5" w:rsidRPr="006229D5" w:rsidRDefault="006229D5" w:rsidP="0027447C">
      <w:pPr>
        <w:widowControl w:val="0"/>
        <w:spacing w:before="120" w:after="200"/>
        <w:jc w:val="both"/>
        <w:rPr>
          <w:rFonts w:ascii="Palatino Linotype" w:hAnsi="Palatino Linotype"/>
          <w:lang w:val="es-CR"/>
        </w:rPr>
      </w:pPr>
      <w:r w:rsidRPr="006229D5">
        <w:rPr>
          <w:rFonts w:ascii="Palatino Linotype" w:hAnsi="Palatino Linotype"/>
          <w:lang w:val="es-CR"/>
        </w:rPr>
        <w:t xml:space="preserve">Una de las normas más polémicas que se introdujeron con la regulación del recurso de apelación de sentencia, fue la relacionada con la posibilidad de ofrecer prueba. </w:t>
      </w:r>
    </w:p>
    <w:p w14:paraId="25A48F91" w14:textId="77777777" w:rsidR="006229D5" w:rsidRPr="006229D5" w:rsidRDefault="006229D5" w:rsidP="0027447C">
      <w:pPr>
        <w:widowControl w:val="0"/>
        <w:spacing w:before="120" w:after="200"/>
        <w:jc w:val="both"/>
        <w:rPr>
          <w:rFonts w:ascii="Palatino Linotype" w:hAnsi="Palatino Linotype"/>
          <w:lang w:val="es-CR"/>
        </w:rPr>
      </w:pPr>
      <w:r w:rsidRPr="006229D5">
        <w:rPr>
          <w:rFonts w:ascii="Palatino Linotype" w:hAnsi="Palatino Linotype"/>
          <w:lang w:val="es-CR"/>
        </w:rPr>
        <w:t xml:space="preserve">El artículo 464 CPP regula las limitadas posibilidades que existen en ese sentido. </w:t>
      </w:r>
    </w:p>
    <w:p w14:paraId="35247DA0" w14:textId="77777777" w:rsidR="006229D5" w:rsidRPr="006229D5" w:rsidRDefault="006229D5" w:rsidP="0027447C">
      <w:pPr>
        <w:widowControl w:val="0"/>
        <w:spacing w:before="120" w:after="200"/>
        <w:jc w:val="both"/>
        <w:rPr>
          <w:rFonts w:ascii="Palatino Linotype" w:hAnsi="Palatino Linotype"/>
          <w:lang w:val="es-CR"/>
        </w:rPr>
      </w:pPr>
      <w:r w:rsidRPr="006229D5">
        <w:rPr>
          <w:rFonts w:ascii="Palatino Linotype" w:hAnsi="Palatino Linotype"/>
          <w:lang w:val="es-CR"/>
        </w:rPr>
        <w:t>A petición de la parte interesada, el tribunal de apelación tiene la facultad – no la obligación - de examinar los registros de las pruebas producidas en el juicio, siempre y cuando ello sea necesario, pertinente y útil para los fines de la apelación, el objeto de la causa o para la constatación de un agravio.  De igual forma es posible proceder respecto de las manifestaciones del imputado.</w:t>
      </w:r>
    </w:p>
    <w:p w14:paraId="53F435B2" w14:textId="77777777" w:rsidR="006229D5" w:rsidRPr="006229D5" w:rsidRDefault="006229D5" w:rsidP="0027447C">
      <w:pPr>
        <w:widowControl w:val="0"/>
        <w:spacing w:before="120" w:after="200"/>
        <w:jc w:val="both"/>
        <w:rPr>
          <w:rFonts w:ascii="Palatino Linotype" w:hAnsi="Palatino Linotype"/>
          <w:lang w:val="es-CR"/>
        </w:rPr>
      </w:pPr>
      <w:r w:rsidRPr="006229D5">
        <w:rPr>
          <w:rFonts w:ascii="Palatino Linotype" w:hAnsi="Palatino Linotype"/>
          <w:lang w:val="es-CR"/>
        </w:rPr>
        <w:t xml:space="preserve">Asimismo, en relación con la prueba testimonial, el tribunal puede examinar los registros del debate o la prueba y, si hay alguna duda sobre el alcance de las manifestaciones de algún testigo o perito, </w:t>
      </w:r>
      <w:r w:rsidRPr="006229D5">
        <w:rPr>
          <w:rFonts w:ascii="Palatino Linotype" w:hAnsi="Palatino Linotype"/>
          <w:b/>
          <w:lang w:val="es-CR"/>
        </w:rPr>
        <w:t>por excepción</w:t>
      </w:r>
      <w:r w:rsidRPr="006229D5">
        <w:rPr>
          <w:rFonts w:ascii="Palatino Linotype" w:hAnsi="Palatino Linotype"/>
          <w:lang w:val="es-CR"/>
        </w:rPr>
        <w:t>, podrá recibir directamente su deposición o informe en audiencia oral, pública y contradictoria, en la que se aplicarán, en cuanto sean compatibles, las disposiciones que regulan el debate en la fase de juicio.</w:t>
      </w:r>
    </w:p>
    <w:p w14:paraId="5ABCCDF2" w14:textId="77777777" w:rsidR="006229D5" w:rsidRPr="006229D5" w:rsidRDefault="006229D5" w:rsidP="0027447C">
      <w:pPr>
        <w:widowControl w:val="0"/>
        <w:spacing w:before="120" w:after="200"/>
        <w:jc w:val="both"/>
        <w:rPr>
          <w:rFonts w:ascii="Palatino Linotype" w:hAnsi="Palatino Linotype"/>
          <w:lang w:val="es-CR"/>
        </w:rPr>
      </w:pPr>
      <w:r w:rsidRPr="006229D5">
        <w:rPr>
          <w:rFonts w:ascii="Palatino Linotype" w:hAnsi="Palatino Linotype"/>
          <w:lang w:val="es-CR"/>
        </w:rPr>
        <w:t xml:space="preserve">A la parte recurrente le es posible ofrecer, en el escrito de interposición del recurso, </w:t>
      </w:r>
      <w:r w:rsidRPr="006229D5">
        <w:rPr>
          <w:rFonts w:ascii="Palatino Linotype" w:hAnsi="Palatino Linotype"/>
          <w:b/>
          <w:lang w:val="es-CR"/>
        </w:rPr>
        <w:t>pruebas nuevas sobre los hechos objeto del proceso o sobre la forma en que fue realizado un acto</w:t>
      </w:r>
      <w:r w:rsidRPr="006229D5">
        <w:rPr>
          <w:rFonts w:ascii="Palatino Linotype" w:hAnsi="Palatino Linotype"/>
          <w:lang w:val="es-CR"/>
        </w:rPr>
        <w:t>, cuando se contradiga lo señalado en las actuaciones, en el acta, en los registros del debate o la propia sentencia.</w:t>
      </w:r>
    </w:p>
    <w:p w14:paraId="1835A66A" w14:textId="77777777" w:rsidR="006229D5" w:rsidRPr="006229D5" w:rsidRDefault="006229D5" w:rsidP="0027447C">
      <w:pPr>
        <w:widowControl w:val="0"/>
        <w:spacing w:before="120" w:after="200"/>
        <w:jc w:val="both"/>
        <w:rPr>
          <w:rFonts w:ascii="Palatino Linotype" w:hAnsi="Palatino Linotype"/>
          <w:lang w:val="es-CR"/>
        </w:rPr>
      </w:pPr>
      <w:r w:rsidRPr="006229D5">
        <w:rPr>
          <w:rFonts w:ascii="Palatino Linotype" w:hAnsi="Palatino Linotype"/>
          <w:lang w:val="es-CR"/>
        </w:rPr>
        <w:t xml:space="preserve">No obstante, y aquí viene la limitación más importante, el tribunal de apelación únicamente aceptará como nueva: </w:t>
      </w:r>
      <w:r w:rsidRPr="006229D5">
        <w:rPr>
          <w:rFonts w:ascii="Palatino Linotype" w:hAnsi="Palatino Linotype"/>
          <w:b/>
          <w:lang w:val="es-CR"/>
        </w:rPr>
        <w:t>a)</w:t>
      </w:r>
      <w:r w:rsidRPr="006229D5">
        <w:rPr>
          <w:rFonts w:ascii="Palatino Linotype" w:hAnsi="Palatino Linotype"/>
          <w:lang w:val="es-CR"/>
        </w:rPr>
        <w:t xml:space="preserve"> </w:t>
      </w:r>
      <w:r w:rsidRPr="006229D5">
        <w:rPr>
          <w:rFonts w:ascii="Palatino Linotype" w:hAnsi="Palatino Linotype"/>
          <w:b/>
          <w:lang w:val="es-CR"/>
        </w:rPr>
        <w:t>la prueba ofrecida en su oportunidad pero que sea arbitrariamente rechazada</w:t>
      </w:r>
      <w:r w:rsidRPr="006229D5">
        <w:rPr>
          <w:rFonts w:ascii="Palatino Linotype" w:hAnsi="Palatino Linotype"/>
          <w:lang w:val="es-CR"/>
        </w:rPr>
        <w:t xml:space="preserve">; </w:t>
      </w:r>
      <w:r w:rsidRPr="006229D5">
        <w:rPr>
          <w:rFonts w:ascii="Palatino Linotype" w:hAnsi="Palatino Linotype"/>
          <w:b/>
          <w:lang w:val="es-CR"/>
        </w:rPr>
        <w:t>b)</w:t>
      </w:r>
      <w:r w:rsidRPr="006229D5">
        <w:rPr>
          <w:rFonts w:ascii="Palatino Linotype" w:hAnsi="Palatino Linotype"/>
          <w:lang w:val="es-CR"/>
        </w:rPr>
        <w:t xml:space="preserve"> </w:t>
      </w:r>
      <w:r w:rsidRPr="006229D5">
        <w:rPr>
          <w:rFonts w:ascii="Palatino Linotype" w:hAnsi="Palatino Linotype"/>
          <w:b/>
          <w:lang w:val="es-CR"/>
        </w:rPr>
        <w:t>la que aparezca como novedosa con posterioridad a la sentencia</w:t>
      </w:r>
      <w:r w:rsidRPr="006229D5">
        <w:rPr>
          <w:rFonts w:ascii="Palatino Linotype" w:hAnsi="Palatino Linotype"/>
          <w:lang w:val="es-CR"/>
        </w:rPr>
        <w:t xml:space="preserve"> y; </w:t>
      </w:r>
      <w:r w:rsidRPr="006229D5">
        <w:rPr>
          <w:rFonts w:ascii="Palatino Linotype" w:hAnsi="Palatino Linotype"/>
          <w:b/>
          <w:lang w:val="es-CR"/>
        </w:rPr>
        <w:t>c)</w:t>
      </w:r>
      <w:r w:rsidRPr="006229D5">
        <w:rPr>
          <w:rFonts w:ascii="Palatino Linotype" w:hAnsi="Palatino Linotype"/>
          <w:lang w:val="es-CR"/>
        </w:rPr>
        <w:t xml:space="preserve"> </w:t>
      </w:r>
      <w:r w:rsidRPr="006229D5">
        <w:rPr>
          <w:rFonts w:ascii="Palatino Linotype" w:hAnsi="Palatino Linotype"/>
          <w:b/>
          <w:lang w:val="es-CR"/>
        </w:rPr>
        <w:t>aquella que, aunque existiendo previamente, no estuvo en posibilidad efectiva de ser ofrecida por el interesado en su momento</w:t>
      </w:r>
      <w:r w:rsidRPr="006229D5">
        <w:rPr>
          <w:rFonts w:ascii="Palatino Linotype" w:hAnsi="Palatino Linotype"/>
          <w:lang w:val="es-CR"/>
        </w:rPr>
        <w:t>.</w:t>
      </w:r>
    </w:p>
    <w:p w14:paraId="5D3E00C1" w14:textId="77777777" w:rsidR="006229D5" w:rsidRPr="006229D5" w:rsidRDefault="006229D5" w:rsidP="0027447C">
      <w:pPr>
        <w:widowControl w:val="0"/>
        <w:spacing w:before="120" w:after="200"/>
        <w:jc w:val="both"/>
        <w:rPr>
          <w:rFonts w:ascii="Palatino Linotype" w:hAnsi="Palatino Linotype"/>
          <w:lang w:val="es-CR"/>
        </w:rPr>
      </w:pPr>
      <w:r w:rsidRPr="006229D5">
        <w:rPr>
          <w:rFonts w:ascii="Palatino Linotype" w:hAnsi="Palatino Linotype"/>
          <w:lang w:val="es-CR"/>
        </w:rPr>
        <w:t>En la doctrina, se postula, por un lado, que la admisibilidad de los medios de prueba en la apelación, debe regularse de la forma más flexible posible. Lo anterior, con el fin de posibilitar la refutación de las afirmaciones contenidas en la sentencia.</w:t>
      </w:r>
      <w:r w:rsidRPr="006229D5">
        <w:rPr>
          <w:rStyle w:val="Refdenotaalpie"/>
          <w:rFonts w:ascii="Palatino Linotype" w:eastAsia="Times New Roman" w:hAnsi="Palatino Linotype" w:cs="Arial"/>
          <w:color w:val="000000"/>
        </w:rPr>
        <w:footnoteReference w:id="491"/>
      </w:r>
    </w:p>
    <w:p w14:paraId="2EAFDA8F" w14:textId="77777777" w:rsidR="006229D5" w:rsidRPr="006229D5" w:rsidRDefault="006229D5" w:rsidP="0027447C">
      <w:pPr>
        <w:widowControl w:val="0"/>
        <w:spacing w:before="120" w:after="200"/>
        <w:jc w:val="both"/>
        <w:rPr>
          <w:rFonts w:ascii="Palatino Linotype" w:hAnsi="Palatino Linotype"/>
          <w:lang w:val="es-CR"/>
        </w:rPr>
      </w:pPr>
      <w:r w:rsidRPr="006229D5">
        <w:rPr>
          <w:rFonts w:ascii="Palatino Linotype" w:hAnsi="Palatino Linotype"/>
          <w:lang w:val="es-CR"/>
        </w:rPr>
        <w:t xml:space="preserve">Una posibilidad adicional que se discute en doctrina radica en describir determinados criterios con la finalidad de reglar en forma más detallada la admisibildiad de los medios de prueba. Con la finalidad de evitar que, se repita por completo la recepción de la prueba, debe deslindarse muy bien el </w:t>
      </w:r>
      <w:r w:rsidRPr="006229D5">
        <w:rPr>
          <w:rFonts w:ascii="Palatino Linotype" w:hAnsi="Palatino Linotype"/>
          <w:i/>
          <w:lang w:val="es-CR"/>
        </w:rPr>
        <w:t>thema probandum</w:t>
      </w:r>
      <w:r w:rsidRPr="006229D5">
        <w:rPr>
          <w:rFonts w:ascii="Palatino Linotype" w:hAnsi="Palatino Linotype"/>
          <w:lang w:val="es-CR"/>
        </w:rPr>
        <w:t xml:space="preserve"> y el objeto de prueba.</w:t>
      </w:r>
      <w:r w:rsidRPr="006229D5">
        <w:rPr>
          <w:rStyle w:val="Refdenotaalpie"/>
          <w:rFonts w:ascii="Palatino Linotype" w:eastAsia="Times New Roman" w:hAnsi="Palatino Linotype" w:cs="Arial"/>
          <w:color w:val="000000"/>
        </w:rPr>
        <w:footnoteReference w:id="492"/>
      </w:r>
      <w:r w:rsidRPr="006229D5">
        <w:rPr>
          <w:rFonts w:ascii="Palatino Linotype" w:hAnsi="Palatino Linotype"/>
          <w:lang w:val="es-CR"/>
        </w:rPr>
        <w:t xml:space="preserve"> Sin embargo, queda abierta la pregunta acerca de cuáles serían los criterios que aquí se pueden utilizar al respecto. Se ha propuesto en ese sentido, la necesidad de que esos medios de prueba, que dan pie al error o que constituyen sus cimientos, deben ser “líquidos”, es decir, fácilmente accesibles, además de “eficaces” en el sentido de que de ellos se derive la evidencia de que la determinación de los hechos del tribunal de instancia puede derrumbarse.</w:t>
      </w:r>
      <w:r w:rsidRPr="006229D5">
        <w:rPr>
          <w:rStyle w:val="Refdenotaalpie"/>
          <w:rFonts w:ascii="Palatino Linotype" w:eastAsia="Times New Roman" w:hAnsi="Palatino Linotype" w:cs="Arial"/>
          <w:color w:val="000000"/>
        </w:rPr>
        <w:footnoteReference w:id="493"/>
      </w:r>
    </w:p>
    <w:p w14:paraId="2B606FC0" w14:textId="77777777" w:rsidR="006229D5" w:rsidRPr="006229D5" w:rsidRDefault="006229D5" w:rsidP="0027447C">
      <w:pPr>
        <w:widowControl w:val="0"/>
        <w:spacing w:before="120" w:after="200"/>
        <w:jc w:val="both"/>
        <w:rPr>
          <w:rFonts w:ascii="Palatino Linotype" w:hAnsi="Palatino Linotype"/>
          <w:lang w:val="es-CR"/>
        </w:rPr>
      </w:pPr>
      <w:r w:rsidRPr="006229D5">
        <w:rPr>
          <w:rFonts w:ascii="Palatino Linotype" w:hAnsi="Palatino Linotype"/>
          <w:lang w:val="es-CR"/>
        </w:rPr>
        <w:t>El problema con criterios como el de la „liquidez“ y la „evidencia“ es que son puntos de vista heurísticos, que comúnmente plantean más problemas que los que resuelven, sobre todo por su vaguedad.</w:t>
      </w:r>
      <w:r w:rsidRPr="006229D5">
        <w:rPr>
          <w:rStyle w:val="Refdenotaalpie"/>
          <w:rFonts w:ascii="Palatino Linotype" w:eastAsia="Times New Roman" w:hAnsi="Palatino Linotype" w:cs="Arial"/>
          <w:color w:val="000000"/>
        </w:rPr>
        <w:footnoteReference w:id="494"/>
      </w:r>
      <w:r w:rsidRPr="006229D5">
        <w:rPr>
          <w:rFonts w:ascii="Palatino Linotype" w:hAnsi="Palatino Linotype"/>
          <w:lang w:val="es-CR"/>
        </w:rPr>
        <w:t xml:space="preserve"> </w:t>
      </w:r>
    </w:p>
    <w:p w14:paraId="2DABDD63" w14:textId="77777777" w:rsidR="006229D5" w:rsidRPr="006229D5" w:rsidRDefault="006229D5" w:rsidP="0027447C">
      <w:pPr>
        <w:widowControl w:val="0"/>
        <w:spacing w:before="120" w:after="200"/>
        <w:jc w:val="both"/>
        <w:rPr>
          <w:rFonts w:ascii="Palatino Linotype" w:hAnsi="Palatino Linotype"/>
          <w:lang w:val="es-CR"/>
        </w:rPr>
      </w:pPr>
      <w:r w:rsidRPr="006229D5">
        <w:rPr>
          <w:rFonts w:ascii="Palatino Linotype" w:hAnsi="Palatino Linotype"/>
          <w:lang w:val="es-CR"/>
        </w:rPr>
        <w:t xml:space="preserve">De ahí se observa que uno se enfrenta a un „callejón sin salida“, por cuanto únicamente existen dos posibilidades parcialmente excluyentes: o una posibilidad abierta, en el sentido de que toda la prueba que se ofrezca, que sea pertinente, necesaria y útil, deba ser recibida, o uno intenta, de la mano de criterios indeterminados, establecer determinadas reglas, que la prueba debe cumplir, para que sean admisibles. Definitivamente, la primera posibilidad se corresponde más con los intereses del imputado y con la garantía de un examen integral del fallo.  </w:t>
      </w:r>
    </w:p>
    <w:p w14:paraId="2DC17160" w14:textId="77777777" w:rsidR="006229D5" w:rsidRPr="006229D5" w:rsidRDefault="006229D5" w:rsidP="006229D5">
      <w:pPr>
        <w:widowControl w:val="0"/>
        <w:spacing w:before="120" w:after="200"/>
        <w:rPr>
          <w:rFonts w:ascii="Palatino Linotype" w:hAnsi="Palatino Linotype"/>
          <w:b/>
          <w:lang w:val="es-CR"/>
        </w:rPr>
      </w:pPr>
      <w:r w:rsidRPr="006229D5">
        <w:rPr>
          <w:rFonts w:ascii="Palatino Linotype" w:hAnsi="Palatino Linotype"/>
          <w:b/>
          <w:lang w:val="es-CR"/>
        </w:rPr>
        <w:t xml:space="preserve">f. Audiencia oral y decisión sobre el recurso </w:t>
      </w:r>
    </w:p>
    <w:p w14:paraId="7127472A" w14:textId="77777777" w:rsidR="006229D5" w:rsidRP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 xml:space="preserve">De conformidad con los artículos 462 párrafo tercero y 463, ambos del CPP, si el recurso es admisible, el tribunal debe convocar, cuando corresponda, a una audiencia oral y pública, y admitirá la prueba pertinente y útil para la comprobación de los agravios acusados. Durante esa audiencia, se dará oportunidad al recurrente y a las partes para exponer y argumentar acerca de los motivos de la apelación. </w:t>
      </w:r>
    </w:p>
    <w:p w14:paraId="0AE2078E" w14:textId="77777777" w:rsidR="006229D5" w:rsidRP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 xml:space="preserve">La referida audiencia puede solicitarla el recurrente, al momento de formular el recurso, la parte contraria al momento de contestarlo, o aquel sujeto procesal que haya decidido adherirse al recurso originalmente presentado por otra parte, puede hacerlo, al formular su adhesión dentro del término del emplazamiento del recurso originalmente formulado. </w:t>
      </w:r>
    </w:p>
    <w:p w14:paraId="1C487847" w14:textId="77777777" w:rsidR="006229D5" w:rsidRP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ab/>
        <w:t>De conformidad con el artículo 465 CPP, el tribunal de apelación de sentencia, puede reproducir la prueba oral del juicio – cuando lo estime necesario, pertinente y útil para la procedencia del recurso -, y hará la valoración integral que corresponda con el resto de las actuaciones y la prueba introducida por escrito.</w:t>
      </w:r>
    </w:p>
    <w:p w14:paraId="233AFD48" w14:textId="77777777" w:rsidR="006229D5" w:rsidRP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ab/>
        <w:t>El tribunal de apelación puede anular total o parcialmente la resolución impugnada y ordenar la reposición del juicio o de la resolución, cuando estime procedente el recurso. En los demás casos, enmendará el vicio y resolverá el asunto de acuerdo con la ley aplicable.</w:t>
      </w:r>
    </w:p>
    <w:p w14:paraId="6CAAB49A" w14:textId="77777777" w:rsidR="006229D5" w:rsidRPr="006229D5" w:rsidRDefault="006229D5" w:rsidP="006229D5">
      <w:pPr>
        <w:widowControl w:val="0"/>
        <w:spacing w:before="120" w:after="200"/>
        <w:rPr>
          <w:rFonts w:ascii="Palatino Linotype" w:hAnsi="Palatino Linotype"/>
          <w:b/>
          <w:lang w:val="en-US"/>
        </w:rPr>
      </w:pPr>
      <w:r w:rsidRPr="006229D5">
        <w:rPr>
          <w:rFonts w:ascii="Palatino Linotype" w:hAnsi="Palatino Linotype"/>
          <w:lang w:val="es-CR"/>
        </w:rPr>
        <w:tab/>
      </w:r>
      <w:r w:rsidRPr="006229D5">
        <w:rPr>
          <w:rFonts w:ascii="Palatino Linotype" w:hAnsi="Palatino Linotype"/>
          <w:b/>
          <w:lang w:val="en-US"/>
        </w:rPr>
        <w:t>g. Non reformatio in peius.</w:t>
      </w:r>
    </w:p>
    <w:p w14:paraId="6BDF65DD" w14:textId="77777777" w:rsidR="006229D5" w:rsidRPr="006229D5" w:rsidRDefault="006229D5" w:rsidP="0045124B">
      <w:pPr>
        <w:spacing w:before="120" w:after="200"/>
        <w:jc w:val="both"/>
        <w:rPr>
          <w:rFonts w:ascii="Palatino Linotype" w:hAnsi="Palatino Linotype"/>
          <w:i/>
          <w:lang w:val="es-CR"/>
        </w:rPr>
      </w:pPr>
      <w:r w:rsidRPr="006229D5">
        <w:rPr>
          <w:rFonts w:ascii="Palatino Linotype" w:hAnsi="Palatino Linotype"/>
          <w:lang w:val="es-CR"/>
        </w:rPr>
        <w:t xml:space="preserve">El artículo 465 párrafo cuarto CPP, contempla el referido principio, al señalar que: </w:t>
      </w:r>
      <w:r w:rsidRPr="006229D5">
        <w:rPr>
          <w:rFonts w:ascii="Palatino Linotype" w:hAnsi="Palatino Linotype"/>
          <w:i/>
          <w:lang w:val="es-CR"/>
        </w:rPr>
        <w:t>“Cuando el recurso ha sido interpuesto solo por el imputado o a su favor, en la resolución del tribunal de apelación de sentencia o en el juicio de reenvío no se podrá imponer una sanción más grave que la impuesta en la sentencia anulada, ni desconocer los beneficios que en esta se hayan acordado.”</w:t>
      </w:r>
    </w:p>
    <w:p w14:paraId="7453BB1B" w14:textId="77777777" w:rsidR="006229D5" w:rsidRPr="006229D5" w:rsidRDefault="006229D5" w:rsidP="0045124B">
      <w:pPr>
        <w:spacing w:before="120" w:after="200"/>
        <w:jc w:val="both"/>
        <w:rPr>
          <w:rFonts w:ascii="Palatino Linotype" w:hAnsi="Palatino Linotype"/>
          <w:lang w:val="es-CR"/>
        </w:rPr>
      </w:pPr>
      <w:r w:rsidRPr="006229D5">
        <w:rPr>
          <w:rFonts w:ascii="Palatino Linotype" w:hAnsi="Palatino Linotype"/>
          <w:lang w:val="es-CR"/>
        </w:rPr>
        <w:t xml:space="preserve">Esta norma especial debe relacionarse con la norma general sobre los recursos contenida en el artículo 447 del CPP. </w:t>
      </w:r>
    </w:p>
    <w:p w14:paraId="20471CB5" w14:textId="77777777" w:rsidR="006229D5" w:rsidRPr="006229D5" w:rsidRDefault="006229D5" w:rsidP="006229D5">
      <w:pPr>
        <w:widowControl w:val="0"/>
        <w:spacing w:before="120" w:after="200"/>
        <w:rPr>
          <w:rFonts w:ascii="Palatino Linotype" w:hAnsi="Palatino Linotype"/>
          <w:b/>
          <w:lang w:val="es-CR"/>
        </w:rPr>
      </w:pPr>
      <w:r w:rsidRPr="006229D5">
        <w:rPr>
          <w:rFonts w:ascii="Palatino Linotype" w:hAnsi="Palatino Linotype"/>
          <w:lang w:val="es-CR"/>
        </w:rPr>
        <w:tab/>
      </w:r>
      <w:r w:rsidRPr="006229D5">
        <w:rPr>
          <w:rFonts w:ascii="Palatino Linotype" w:hAnsi="Palatino Linotype"/>
          <w:b/>
          <w:lang w:val="es-CR"/>
        </w:rPr>
        <w:t xml:space="preserve">h. El principio de la doble conforme. </w:t>
      </w:r>
    </w:p>
    <w:p w14:paraId="632503A6" w14:textId="77777777" w:rsidR="006229D5" w:rsidRP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 xml:space="preserve">Este principio señala, en esencia, que no debe ser posible para el Ministerio Público (ni para la parte querellante) formular recurso en contra de la sentencia absolutoria dictada por el tribunal de Juicio, ya que el Pacto de San José y el PIDCyP establecen únicamente el derecho del imputado de recurrir, pero no hacen mención del Ministerio Público ni del querellante, por lo que se les debe excluir. </w:t>
      </w:r>
    </w:p>
    <w:p w14:paraId="1E09E47A" w14:textId="77777777" w:rsidR="006229D5" w:rsidRP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El máximo exponente de este principio es Maier, quien señala al respecto que: “</w:t>
      </w:r>
      <w:r w:rsidRPr="006229D5">
        <w:rPr>
          <w:rFonts w:ascii="Palatino Linotype" w:hAnsi="Palatino Linotype"/>
          <w:i/>
          <w:lang w:val="es-CR"/>
        </w:rPr>
        <w:t>…la concepción del recurso contra la sentencia condenatoria como garantía (doble conforme) impide conceder un recurso contra la sentencia al acusador. De esta manera se respeta mucho más rigurosamente la prohibición de perseguir más de una vez al acusado (ne bis in ídem), verdadera garantía procesal que rechaza cualquier tipo de interpretación en perjuicio del imputado de las seguridades jurídicas que lo amparan.”</w:t>
      </w:r>
      <w:r w:rsidRPr="006229D5">
        <w:rPr>
          <w:rStyle w:val="Refdenotaalpie"/>
          <w:rFonts w:ascii="Palatino Linotype" w:hAnsi="Palatino Linotype"/>
          <w:lang w:val="es-CR"/>
        </w:rPr>
        <w:footnoteReference w:id="495"/>
      </w:r>
    </w:p>
    <w:p w14:paraId="7C8EE8BE" w14:textId="77777777" w:rsidR="006229D5" w:rsidRP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 xml:space="preserve">Al respecto concluye Maier: </w:t>
      </w:r>
      <w:r w:rsidRPr="006229D5">
        <w:rPr>
          <w:rFonts w:ascii="Palatino Linotype" w:hAnsi="Palatino Linotype"/>
          <w:i/>
          <w:lang w:val="es-CR"/>
        </w:rPr>
        <w:t>“El recurso contra la sentencia ya no puede ser concebido como una facultad de todos los intervinientes en el procedimiento que corresponde también a los acusadores, en especial al acusador público (fiscal), para remover cualquier motivo de injusticia de la sentencia, conforme a las pretensiones de los otros intervinientes distintos del condenado penalmente; deberá perder, así, su carácter bilateral –el de ser facultad de todos los participantes- para transformarse en un derecho exclusivo del condenado a requerir la doble conformidad con la condena, condición de la ejecución de una pena estatal; ello equivale a decir que sólo la condena penal dictada por un tribunal de juicio es recurrible y sólo lo es por el condenado: la absolución –salvo el caso de aplicación de una medida de seguridad y corrección- y la condena no recurrida a favor del imputado quedan firmes por su solo pronunciamiento y cualquier persecución penal posterior debe ser considerada un bis in ídem.”</w:t>
      </w:r>
      <w:r w:rsidRPr="006229D5">
        <w:rPr>
          <w:rStyle w:val="Refdenotaalpie"/>
          <w:rFonts w:ascii="Palatino Linotype" w:hAnsi="Palatino Linotype"/>
          <w:lang w:val="es-CR"/>
        </w:rPr>
        <w:footnoteReference w:id="496"/>
      </w:r>
      <w:r w:rsidRPr="006229D5">
        <w:rPr>
          <w:rFonts w:ascii="Palatino Linotype" w:hAnsi="Palatino Linotype"/>
          <w:lang w:val="es-CR"/>
        </w:rPr>
        <w:t xml:space="preserve"> </w:t>
      </w:r>
    </w:p>
    <w:p w14:paraId="1183CBB8" w14:textId="77777777" w:rsidR="006229D5" w:rsidRP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 xml:space="preserve">En nuestro medio, no se llegó al extremo de negarle la posibilidad de recurrir al Ministerio Público ni a la parte querellante, pero sí de ponerle un límite a esa facultad recursiva; el argumento fundamental para conceder el recurso al ente acusador es que no se quebranta el </w:t>
      </w:r>
      <w:r w:rsidRPr="006229D5">
        <w:rPr>
          <w:rFonts w:ascii="Palatino Linotype" w:hAnsi="Palatino Linotype"/>
          <w:i/>
          <w:lang w:val="es-CR"/>
        </w:rPr>
        <w:t>ne bis in idem</w:t>
      </w:r>
      <w:r w:rsidRPr="006229D5">
        <w:rPr>
          <w:rFonts w:ascii="Palatino Linotype" w:hAnsi="Palatino Linotype"/>
          <w:lang w:val="es-CR"/>
        </w:rPr>
        <w:t xml:space="preserve"> -como erróneamente señala Maier- ya que la sentencia recurrida no se encuentra firme.</w:t>
      </w:r>
      <w:r w:rsidRPr="006229D5">
        <w:rPr>
          <w:rStyle w:val="Refdenotaalpie"/>
          <w:rFonts w:ascii="Palatino Linotype" w:hAnsi="Palatino Linotype"/>
          <w:lang w:val="es-CR"/>
        </w:rPr>
        <w:footnoteReference w:id="497"/>
      </w:r>
    </w:p>
    <w:p w14:paraId="082B0DB7" w14:textId="77777777" w:rsidR="006229D5" w:rsidRP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 xml:space="preserve">El tema de la doble conforme ha sido objeto de un transitar tortuoso en nuestro Ordenamiento Jurídico. </w:t>
      </w:r>
    </w:p>
    <w:p w14:paraId="76B9DDF9" w14:textId="77777777" w:rsidR="006229D5" w:rsidRP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Con la aprobación de la reforma que se introdujo en el CPP respecto del recurso de apelación de sentencia, se derogó el antiguo artículo 466 bis</w:t>
      </w:r>
      <w:r w:rsidRPr="006229D5">
        <w:rPr>
          <w:rStyle w:val="Refdenotaalpie"/>
          <w:rFonts w:ascii="Palatino Linotype" w:hAnsi="Palatino Linotype"/>
          <w:lang w:val="es-CR"/>
        </w:rPr>
        <w:footnoteReference w:id="498"/>
      </w:r>
      <w:r w:rsidRPr="006229D5">
        <w:rPr>
          <w:rFonts w:ascii="Palatino Linotype" w:hAnsi="Palatino Linotype"/>
          <w:lang w:val="es-CR"/>
        </w:rPr>
        <w:t xml:space="preserve">, que había incorporado en nuestra legislación el referido principio, pero en relación -obviamente- con el recurso de casación que, era el admisible en aquel momento en contra de las sentencias dictadas por el tribunal de juicio. </w:t>
      </w:r>
    </w:p>
    <w:p w14:paraId="53859803" w14:textId="77777777" w:rsidR="006229D5" w:rsidRP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 xml:space="preserve">Con esa regulación se pretendió limitar las posibilidades recursivas del Ministerio Público, del querellante y del actor civil, con la finalidad de respetar el principio de justicia pronta y cumplida y de seguridad jurídica. </w:t>
      </w:r>
    </w:p>
    <w:p w14:paraId="47257CFD" w14:textId="77777777" w:rsidR="006229D5" w:rsidRP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Señalábamos el camino tortuoso que ha transitado el citado tema, por cuanto, la Sala Constitucional mediante voto No. 13820-2014 del 20.8.2014, declaró inconstitucional la derogatoria de ese artículo, “reviviendo” o como dijo la Sala “restituyendo” su vigencia!</w:t>
      </w:r>
      <w:r w:rsidRPr="006229D5">
        <w:rPr>
          <w:rStyle w:val="Refdenotaalpie"/>
          <w:rFonts w:ascii="Palatino Linotype" w:hAnsi="Palatino Linotype"/>
          <w:lang w:val="es-CR"/>
        </w:rPr>
        <w:footnoteReference w:id="499"/>
      </w:r>
      <w:r w:rsidRPr="006229D5">
        <w:rPr>
          <w:rFonts w:ascii="Palatino Linotype" w:hAnsi="Palatino Linotype"/>
          <w:lang w:val="es-CR"/>
        </w:rPr>
        <w:t xml:space="preserve"> Al resolver de esa forma, se planteó un problema ya que el referido artículo original estaba ubicado en el capítulo relativo al recurso de casación, pero actualmente, luego de la resolución de la Sala, está ubicado en el capítulo sobre el recurso de apelación de sentencia. La discusión fue si ese artículo se refería al recurso de casación o si se refería al recurso de apelación de sentencia. </w:t>
      </w:r>
    </w:p>
    <w:p w14:paraId="0438BDD8" w14:textId="77777777" w:rsidR="006229D5" w:rsidRP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Posteriormente, la Sala Constitucional en el voto 17411-2014</w:t>
      </w:r>
      <w:r w:rsidRPr="006229D5">
        <w:rPr>
          <w:rStyle w:val="Refdenotaalpie"/>
          <w:rFonts w:ascii="Palatino Linotype" w:hAnsi="Palatino Linotype"/>
          <w:lang w:val="es-CR"/>
        </w:rPr>
        <w:footnoteReference w:id="500"/>
      </w:r>
      <w:r w:rsidRPr="006229D5">
        <w:rPr>
          <w:rFonts w:ascii="Palatino Linotype" w:hAnsi="Palatino Linotype"/>
          <w:lang w:val="es-CR"/>
        </w:rPr>
        <w:t xml:space="preserve"> de 22.10.2014 por medio de una aclaración, “rectificó” el voto 13820 citado, señalando que se dimensionaban los efectos para que el artículo 466 bis del CPP, volviera a tener vigencia a partir del momento en que se resolvió la acción de inconstitucionalidad, es decir, a partir del 20.8.2014. Señaló además que el referido artículo solo se refiere al recurso de casación, no pudiendo extenderse al recurso de apelación de sentencia.</w:t>
      </w:r>
      <w:r w:rsidRPr="006229D5">
        <w:rPr>
          <w:rStyle w:val="Refdenotaalpie"/>
          <w:rFonts w:ascii="Palatino Linotype" w:hAnsi="Palatino Linotype"/>
          <w:lang w:val="es-CR"/>
        </w:rPr>
        <w:footnoteReference w:id="501"/>
      </w:r>
      <w:r w:rsidRPr="006229D5">
        <w:rPr>
          <w:rFonts w:ascii="Palatino Linotype" w:hAnsi="Palatino Linotype"/>
          <w:lang w:val="es-CR"/>
        </w:rPr>
        <w:t xml:space="preserve"> </w:t>
      </w:r>
    </w:p>
    <w:p w14:paraId="0FD7C956" w14:textId="77777777" w:rsidR="006229D5" w:rsidRPr="006229D5" w:rsidRDefault="006229D5" w:rsidP="0045124B">
      <w:pPr>
        <w:spacing w:before="120" w:after="200"/>
        <w:jc w:val="both"/>
        <w:rPr>
          <w:rFonts w:ascii="Palatino Linotype" w:hAnsi="Palatino Linotype"/>
          <w:lang w:val="es-CR"/>
        </w:rPr>
      </w:pPr>
      <w:r w:rsidRPr="006229D5">
        <w:rPr>
          <w:rFonts w:ascii="Palatino Linotype" w:hAnsi="Palatino Linotype"/>
          <w:lang w:val="es-CR"/>
        </w:rPr>
        <w:t xml:space="preserve">Posteriormente, en el año 2016, la Sala Constitucional en el voto 2380-2016 de 17.2.2016, se cuestionó ante una consulta judicial de constitucionalidad, la pauta jurisprudencial de la Sala Tercera de la Corte Suprema de Justicia, plasmada en los Votos No. 2015-436, No. 2015-1305 y No. 2015-520, en el sentido que el principio de doble conformidad, solo aplica frente al recurso extraordinario de casación, con lo cual, se violan los principios de razonabilidad, proporcionalidad, seguridad, justicia pronta y progresividad de los derechos humanos. Según los Jueces consultantes, a causa de la Jurisprudencia de la Sala Tercera, que aplica el Voto No. 2014-17411 de la Sala Constitucional, el imputado puede ser sometido indefinidamente al juicio, ante la posibilidad que el Tribunal de Apelación de Sentencia disponga en una misma causa, y en más de una ocasión, el reenvío, al conocer de sendos recursos de apelación promovidos frente a las sentencias absolutorias, a contrapelo del principio de seguridad jurídica. En este caso, la Sala resolvió, tras valorar lo resuelto por la Sala Tercera en los votos indicados que, la consulta judicial no podía ser revisada en esa Jurisdicción Constitucional, al constatarse, que dicha pauta no se expresa, como criterio de mayoría, en los tres pronunciamientos, sino sólo en los dos primeros. De ahí que la Sala estimó que no se cumplían los requisitos desarrollados por la Jurisprudencia de la Sala Constitucional, para que pudiera ser cuestionada, por las distintas modalidades del control de constitucionalidad “a posteriori”, una determinada línea jurisprudencial, toda vez que el criterio impugnado no es contenido, realmente, en tres o más sentencias de los Órganos Jurisdiccionales. </w:t>
      </w:r>
    </w:p>
    <w:p w14:paraId="64538EC1" w14:textId="77777777" w:rsidR="006229D5" w:rsidRP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 xml:space="preserve">Asimismo, la Sala Constitucional en el voto 2016-016967, de las 10:42 horas del 16 de noviembre de 2016, reiteró que la restitución del artículo 466 bis del Código Procesal Penal, sólo se refiere al recurso de casación y lo allí previsto no puede extenderse al recurso de apelación. </w:t>
      </w:r>
    </w:p>
    <w:p w14:paraId="749869E3" w14:textId="77777777" w:rsidR="006229D5" w:rsidRP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Posteriormente, la Sala Constitucional, mediante el voto Nº 2018-7208 de las 9:40 horas del 9 de mayo de 2018, mantuvo el criterio de que la doble conformidad solamente se aplica cuando el recurso es de casación, conforme lo sostuvo también en la sentencia Nº 2016-16967 de las 10:42 horas del 16 de noviembre de 2016.</w:t>
      </w:r>
    </w:p>
    <w:p w14:paraId="16231943" w14:textId="77777777" w:rsidR="006229D5" w:rsidRP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 xml:space="preserve">Por las razones indicadas, la Sala Constitucional “revivió” la limitación solamente para el recurso extraordinario de casación, lo cual hace que la aplicación práctica de esa norma se vuelva nugatoria y con muy poco sentido. </w:t>
      </w:r>
    </w:p>
    <w:p w14:paraId="5B8CD31D" w14:textId="01083682" w:rsidR="006229D5" w:rsidRDefault="006229D5" w:rsidP="0045124B">
      <w:pPr>
        <w:widowControl w:val="0"/>
        <w:spacing w:before="120" w:after="200"/>
        <w:jc w:val="both"/>
        <w:rPr>
          <w:rFonts w:ascii="Palatino Linotype" w:hAnsi="Palatino Linotype"/>
          <w:lang w:val="es-CR"/>
        </w:rPr>
      </w:pPr>
      <w:r w:rsidRPr="006229D5">
        <w:rPr>
          <w:rFonts w:ascii="Palatino Linotype" w:hAnsi="Palatino Linotype"/>
          <w:lang w:val="es-CR"/>
        </w:rPr>
        <w:t xml:space="preserve">Por último, la Sala Tercera, en un reciente voto, el número: 2019-00062 de las 15:30 horas del 18 de enero de 2019, al conocer un recurso de casación del Ministerio Público contra la resolución del Tribunal de apelación de sentencia, mediante la cual se rechazó el recurso de apelación planteado por el ente acusador, al considerar el </w:t>
      </w:r>
      <w:r w:rsidRPr="006229D5">
        <w:rPr>
          <w:rFonts w:ascii="Palatino Linotype" w:hAnsi="Palatino Linotype"/>
          <w:i/>
          <w:lang w:val="es-CR"/>
        </w:rPr>
        <w:t>ad quem</w:t>
      </w:r>
      <w:r w:rsidRPr="006229D5">
        <w:rPr>
          <w:rFonts w:ascii="Palatino Linotype" w:hAnsi="Palatino Linotype"/>
          <w:lang w:val="es-CR"/>
        </w:rPr>
        <w:t xml:space="preserve"> que el imputado fue absuelto en un primer juicio y después también en un segundo juicio de reenvío, la Sala declaró sin lugar el recurso, con base en los siguientes argumentos: a) que se dan los presupuestos de la doble conformidad previstos en el artículo 466 bis del CPP; b) se deben analizar los antecedentes históricos de la doble conformidad y la finalidad de la norma; c) los alcances de la doble conformidad dimensionados por las resoluciones de la Sala Constitucional; d) los alcances de la doble conformidad en el caso concreto. </w:t>
      </w:r>
    </w:p>
    <w:p w14:paraId="47130789" w14:textId="77777777" w:rsidR="006229D5" w:rsidRPr="006229D5" w:rsidRDefault="006229D5" w:rsidP="006229D5">
      <w:pPr>
        <w:widowControl w:val="0"/>
        <w:spacing w:before="120" w:after="200"/>
        <w:ind w:left="709"/>
        <w:rPr>
          <w:rFonts w:ascii="Palatino Linotype" w:hAnsi="Palatino Linotype"/>
          <w:b/>
          <w:lang w:val="es-ES_tradnl"/>
        </w:rPr>
      </w:pPr>
      <w:r w:rsidRPr="006229D5">
        <w:rPr>
          <w:rFonts w:ascii="Palatino Linotype" w:hAnsi="Palatino Linotype"/>
          <w:b/>
          <w:lang w:val="es-ES_tradnl"/>
        </w:rPr>
        <w:t>VII. Bibliografía.</w:t>
      </w:r>
    </w:p>
    <w:p w14:paraId="7C41DFCD" w14:textId="77777777" w:rsidR="006229D5" w:rsidRPr="006229D5" w:rsidRDefault="006229D5" w:rsidP="0027447C">
      <w:pPr>
        <w:pStyle w:val="ColorfulList-Accent11"/>
        <w:widowControl w:val="0"/>
        <w:ind w:left="0"/>
        <w:jc w:val="both"/>
        <w:rPr>
          <w:rFonts w:ascii="Palatino Linotype" w:hAnsi="Palatino Linotype" w:cs="Arial"/>
          <w:sz w:val="22"/>
          <w:szCs w:val="22"/>
        </w:rPr>
      </w:pPr>
      <w:r w:rsidRPr="006229D5">
        <w:rPr>
          <w:rFonts w:ascii="Palatino Linotype" w:hAnsi="Palatino Linotype" w:cs="Arial"/>
          <w:sz w:val="22"/>
          <w:szCs w:val="22"/>
        </w:rPr>
        <w:t>Armenta Deu, Teresa. Estudios sobre el proceso penal, Editorial Rubinzal-Culzoni, Argentina, 2008.</w:t>
      </w:r>
    </w:p>
    <w:p w14:paraId="0633A81F" w14:textId="77777777" w:rsidR="006229D5" w:rsidRPr="006229D5" w:rsidRDefault="006229D5" w:rsidP="0027447C">
      <w:pPr>
        <w:pStyle w:val="ColorfulList-Accent11"/>
        <w:widowControl w:val="0"/>
        <w:ind w:left="0"/>
        <w:jc w:val="both"/>
        <w:rPr>
          <w:rFonts w:ascii="Palatino Linotype" w:hAnsi="Palatino Linotype" w:cs="Arial"/>
          <w:sz w:val="22"/>
          <w:szCs w:val="22"/>
        </w:rPr>
      </w:pPr>
    </w:p>
    <w:p w14:paraId="06C56F6D" w14:textId="77777777" w:rsidR="006229D5" w:rsidRPr="006229D5" w:rsidRDefault="006229D5" w:rsidP="0027447C">
      <w:pPr>
        <w:pStyle w:val="ColorfulList-Accent11"/>
        <w:widowControl w:val="0"/>
        <w:ind w:left="0"/>
        <w:jc w:val="both"/>
        <w:rPr>
          <w:rFonts w:ascii="Palatino Linotype" w:hAnsi="Palatino Linotype" w:cs="Arial"/>
          <w:sz w:val="22"/>
          <w:szCs w:val="22"/>
        </w:rPr>
      </w:pPr>
      <w:r w:rsidRPr="006229D5">
        <w:rPr>
          <w:rFonts w:ascii="Palatino Linotype" w:hAnsi="Palatino Linotype" w:cs="Arial"/>
          <w:sz w:val="22"/>
          <w:szCs w:val="22"/>
        </w:rPr>
        <w:t>Arroyo Gutiérrez, José Manuel. La reforma al régimen de impugnación de la sentencia penal en Costa Rica, en: El recurso contra la sentencia penal en Costa Rica (Daniel González Alvarez: compilador), Editorial Jurídica Continental, San José, 2013, p.p. 27-44.</w:t>
      </w:r>
    </w:p>
    <w:p w14:paraId="5F506AFC" w14:textId="77777777" w:rsidR="006229D5" w:rsidRPr="006229D5" w:rsidRDefault="006229D5" w:rsidP="0027447C">
      <w:pPr>
        <w:pStyle w:val="ColorfulList-Accent11"/>
        <w:widowControl w:val="0"/>
        <w:ind w:left="0"/>
        <w:jc w:val="both"/>
        <w:rPr>
          <w:rFonts w:ascii="Palatino Linotype" w:hAnsi="Palatino Linotype" w:cs="Arial"/>
          <w:sz w:val="22"/>
          <w:szCs w:val="22"/>
        </w:rPr>
      </w:pPr>
    </w:p>
    <w:p w14:paraId="2B251CD7" w14:textId="77777777" w:rsidR="006229D5" w:rsidRPr="006229D5" w:rsidRDefault="006229D5" w:rsidP="0027447C">
      <w:pPr>
        <w:pStyle w:val="ColorfulList-Accent11"/>
        <w:widowControl w:val="0"/>
        <w:ind w:left="0"/>
        <w:jc w:val="both"/>
        <w:rPr>
          <w:rFonts w:ascii="Palatino Linotype" w:hAnsi="Palatino Linotype" w:cs="Arial"/>
          <w:sz w:val="22"/>
          <w:szCs w:val="22"/>
        </w:rPr>
      </w:pPr>
      <w:r w:rsidRPr="006229D5">
        <w:rPr>
          <w:rFonts w:ascii="Palatino Linotype" w:hAnsi="Palatino Linotype" w:cs="Arial"/>
          <w:sz w:val="22"/>
          <w:szCs w:val="22"/>
        </w:rPr>
        <w:t>Ayan, Manuel. Recursos en materia penal. Principios generales. Marcos Lerner, Córdoba, s.f.e.</w:t>
      </w:r>
    </w:p>
    <w:p w14:paraId="49D02F09" w14:textId="77777777" w:rsidR="006229D5" w:rsidRPr="006229D5" w:rsidRDefault="006229D5" w:rsidP="0027447C">
      <w:pPr>
        <w:pStyle w:val="ColorfulList-Accent11"/>
        <w:widowControl w:val="0"/>
        <w:ind w:left="0"/>
        <w:jc w:val="both"/>
        <w:rPr>
          <w:rFonts w:ascii="Palatino Linotype" w:hAnsi="Palatino Linotype" w:cs="Arial"/>
          <w:sz w:val="22"/>
          <w:szCs w:val="22"/>
        </w:rPr>
      </w:pPr>
    </w:p>
    <w:p w14:paraId="52A93852"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r w:rsidRPr="006229D5">
        <w:rPr>
          <w:rFonts w:ascii="Palatino Linotype" w:hAnsi="Palatino Linotype" w:cs="Arial"/>
          <w:sz w:val="22"/>
          <w:szCs w:val="22"/>
          <w:lang w:val="de-DE"/>
        </w:rPr>
        <w:t xml:space="preserve">Binding, Karl. Grundriss des Deutschen Strafprocessrechts. </w:t>
      </w:r>
      <w:r w:rsidRPr="006229D5">
        <w:rPr>
          <w:rFonts w:ascii="Palatino Linotype" w:hAnsi="Palatino Linotype" w:cs="Arial"/>
          <w:sz w:val="22"/>
          <w:szCs w:val="22"/>
          <w:lang w:val="es-CR"/>
        </w:rPr>
        <w:t>4ta. Edición, Editorial Duncker &amp; Humblot, 1900.</w:t>
      </w:r>
    </w:p>
    <w:p w14:paraId="40E289A4"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p>
    <w:p w14:paraId="4DC728FA"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r w:rsidRPr="006229D5">
        <w:rPr>
          <w:rFonts w:ascii="Palatino Linotype" w:hAnsi="Palatino Linotype" w:cs="Arial"/>
          <w:sz w:val="22"/>
          <w:szCs w:val="22"/>
          <w:lang w:val="de-DE"/>
        </w:rPr>
        <w:t>Boller, Hans-Ulrich, Richterwillkür als Nichtigkeitsgrund im schweiz. Strafprozessrecht, Zürich, 1949.</w:t>
      </w:r>
    </w:p>
    <w:p w14:paraId="6C7BD4D6"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p>
    <w:p w14:paraId="65A103A9"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r w:rsidRPr="006229D5">
        <w:rPr>
          <w:rFonts w:ascii="Palatino Linotype" w:hAnsi="Palatino Linotype" w:cs="Arial"/>
          <w:sz w:val="22"/>
          <w:szCs w:val="22"/>
          <w:lang w:val="de-DE"/>
        </w:rPr>
        <w:t>Bottke, Wilfried, Materielle und formelle Verfahrensgerechtigkeit im demokratischen Rechtsstaat, Berlin, 1991.</w:t>
      </w:r>
    </w:p>
    <w:p w14:paraId="6D165637"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p>
    <w:p w14:paraId="0CF6646F" w14:textId="77777777" w:rsidR="006229D5" w:rsidRPr="006229D5" w:rsidRDefault="006229D5" w:rsidP="0027447C">
      <w:pPr>
        <w:pStyle w:val="ColorfulList-Accent11"/>
        <w:widowControl w:val="0"/>
        <w:ind w:left="0"/>
        <w:jc w:val="both"/>
        <w:rPr>
          <w:rFonts w:ascii="Palatino Linotype" w:hAnsi="Palatino Linotype" w:cs="Arial"/>
          <w:sz w:val="22"/>
          <w:szCs w:val="22"/>
        </w:rPr>
      </w:pPr>
      <w:r w:rsidRPr="006229D5">
        <w:rPr>
          <w:rFonts w:ascii="Palatino Linotype" w:hAnsi="Palatino Linotype" w:cs="Arial"/>
          <w:sz w:val="22"/>
          <w:szCs w:val="22"/>
        </w:rPr>
        <w:t>Chirino Sánchez, Alfredo. La reforma procesal para introducir el recurso de apelación en Costa Rica. Perspectivas y circunstancia de una propuesta fallida, en: El recurso contra la sentencia penal en Costa Rica (Daniel González Alvarez: compilador), Editorial Jurídica Continental, San José, 2013, p.p. 123-165.</w:t>
      </w:r>
    </w:p>
    <w:p w14:paraId="6377B1E4" w14:textId="77777777" w:rsidR="006229D5" w:rsidRPr="006229D5" w:rsidRDefault="006229D5" w:rsidP="0027447C">
      <w:pPr>
        <w:pStyle w:val="ColorfulList-Accent11"/>
        <w:widowControl w:val="0"/>
        <w:ind w:left="0"/>
        <w:rPr>
          <w:rFonts w:ascii="Palatino Linotype" w:hAnsi="Palatino Linotype" w:cs="Arial"/>
          <w:sz w:val="22"/>
          <w:szCs w:val="22"/>
        </w:rPr>
      </w:pPr>
    </w:p>
    <w:p w14:paraId="01F0612E" w14:textId="77777777" w:rsidR="006229D5" w:rsidRPr="006229D5" w:rsidRDefault="006229D5" w:rsidP="0027447C">
      <w:pPr>
        <w:pStyle w:val="ColorfulList-Accent11"/>
        <w:widowControl w:val="0"/>
        <w:ind w:left="0"/>
        <w:rPr>
          <w:rFonts w:ascii="Palatino Linotype" w:hAnsi="Palatino Linotype" w:cs="Arial"/>
          <w:sz w:val="22"/>
          <w:szCs w:val="22"/>
          <w:lang w:val="es-CR"/>
        </w:rPr>
      </w:pPr>
      <w:r w:rsidRPr="006229D5">
        <w:rPr>
          <w:rFonts w:ascii="Palatino Linotype" w:hAnsi="Palatino Linotype" w:cs="Arial"/>
          <w:sz w:val="22"/>
          <w:szCs w:val="22"/>
        </w:rPr>
        <w:t xml:space="preserve">Clariá Olmedo, Jorge. Tratado de Derecho Procesal Penal. Tomo V: La Actividad Procesal. </w:t>
      </w:r>
      <w:r w:rsidRPr="006229D5">
        <w:rPr>
          <w:rFonts w:ascii="Palatino Linotype" w:hAnsi="Palatino Linotype" w:cs="Arial"/>
          <w:sz w:val="22"/>
          <w:szCs w:val="22"/>
          <w:lang w:val="es-CR"/>
        </w:rPr>
        <w:t>Ediar, Buenos Aires, Argentina, 1960.</w:t>
      </w:r>
    </w:p>
    <w:p w14:paraId="7DCCE405" w14:textId="77777777" w:rsidR="006229D5" w:rsidRPr="006229D5" w:rsidRDefault="006229D5" w:rsidP="0027447C">
      <w:pPr>
        <w:pStyle w:val="ColorfulList-Accent11"/>
        <w:widowControl w:val="0"/>
        <w:ind w:left="0"/>
        <w:rPr>
          <w:rFonts w:ascii="Palatino Linotype" w:hAnsi="Palatino Linotype" w:cs="Arial"/>
          <w:sz w:val="22"/>
          <w:szCs w:val="22"/>
          <w:lang w:val="es-CR"/>
        </w:rPr>
      </w:pPr>
    </w:p>
    <w:p w14:paraId="38548A82"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r w:rsidRPr="006229D5">
        <w:rPr>
          <w:rFonts w:ascii="Palatino Linotype" w:hAnsi="Palatino Linotype" w:cs="Arial"/>
          <w:sz w:val="22"/>
          <w:szCs w:val="22"/>
        </w:rPr>
        <w:t xml:space="preserve">Dürig, en: Maunz, Theodor / Dürig, Günther / Herzog, Roman / Klein, Hans H. / Lerche, Peter /Papier, Hans-Jürgen / Randelzhofer, Albrecht / Schmidt-Aßmann, Erberhard / Scholz, Rupert / Badura, Peter / Herdegen, Matthias / Di Fabio, Udo, Grundgesetz Kommentar, Loseblatt, Stand 33. </w:t>
      </w:r>
      <w:r w:rsidRPr="006229D5">
        <w:rPr>
          <w:rFonts w:ascii="Palatino Linotype" w:hAnsi="Palatino Linotype" w:cs="Arial"/>
          <w:sz w:val="22"/>
          <w:szCs w:val="22"/>
          <w:lang w:val="es-CR"/>
        </w:rPr>
        <w:t>Ergänzungslieferung, Munich, 1997.</w:t>
      </w:r>
    </w:p>
    <w:p w14:paraId="1E525CFE" w14:textId="77777777" w:rsidR="006229D5" w:rsidRPr="006229D5" w:rsidRDefault="006229D5" w:rsidP="0027447C">
      <w:pPr>
        <w:pStyle w:val="ColorfulList-Accent11"/>
        <w:widowControl w:val="0"/>
        <w:ind w:left="0"/>
        <w:rPr>
          <w:rFonts w:ascii="Palatino Linotype" w:hAnsi="Palatino Linotype" w:cs="Arial"/>
          <w:sz w:val="22"/>
          <w:szCs w:val="22"/>
          <w:lang w:val="es-CR"/>
        </w:rPr>
      </w:pPr>
    </w:p>
    <w:p w14:paraId="58C645DA"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r w:rsidRPr="006229D5">
        <w:rPr>
          <w:rFonts w:ascii="Palatino Linotype" w:hAnsi="Palatino Linotype" w:cs="Arial"/>
          <w:sz w:val="22"/>
          <w:szCs w:val="22"/>
          <w:lang w:val="es-CR"/>
        </w:rPr>
        <w:t xml:space="preserve">Gatgens Gómez, Erick. La irracionalidad en el Derecho Procesal Penal: sobre la libre convicción y la sana crítica “racional”, en: Revista Digital de la Maestría en Ciencias Penales, Universidad de Costa Rica, Número 6, 2014, Disponible en internet: </w:t>
      </w:r>
      <w:hyperlink r:id="rId66" w:history="1">
        <w:r w:rsidRPr="006229D5">
          <w:rPr>
            <w:rStyle w:val="Hipervnculo"/>
            <w:rFonts w:ascii="Palatino Linotype" w:hAnsi="Palatino Linotype" w:cs="Arial"/>
            <w:sz w:val="22"/>
            <w:szCs w:val="22"/>
            <w:lang w:val="es-CR"/>
          </w:rPr>
          <w:t>http://revistas.ucr.ac.cr/index.php/RDMCP/article/view/15820</w:t>
        </w:r>
      </w:hyperlink>
      <w:r w:rsidRPr="006229D5">
        <w:rPr>
          <w:rFonts w:ascii="Palatino Linotype" w:hAnsi="Palatino Linotype" w:cs="Arial"/>
          <w:sz w:val="22"/>
          <w:szCs w:val="22"/>
          <w:lang w:val="es-CR"/>
        </w:rPr>
        <w:t>.</w:t>
      </w:r>
    </w:p>
    <w:p w14:paraId="4972A445"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p>
    <w:p w14:paraId="4E14D05E"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r w:rsidRPr="006229D5">
        <w:rPr>
          <w:rFonts w:ascii="Palatino Linotype" w:hAnsi="Palatino Linotype" w:cs="Arial"/>
          <w:sz w:val="22"/>
          <w:szCs w:val="22"/>
          <w:lang w:val="de-DE"/>
        </w:rPr>
        <w:t>Hanack, Ernst-Walter, Der Ausgleich divergierender Entscheidungen in der oberen Gerichtsbarkeit.  Eine prozeßrechtliche Studie insbesondere zur Vorlegungspflicht und der Rechtsmittelzulässigkeit wegen Abweichung, Hamburgo, 1962.</w:t>
      </w:r>
    </w:p>
    <w:p w14:paraId="0F8A962B"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p>
    <w:p w14:paraId="52AFB84D"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r w:rsidRPr="006229D5">
        <w:rPr>
          <w:rFonts w:ascii="Palatino Linotype" w:hAnsi="Palatino Linotype" w:cs="Arial"/>
          <w:sz w:val="22"/>
          <w:szCs w:val="22"/>
          <w:lang w:val="de-DE"/>
        </w:rPr>
        <w:t>Hanack, en: Löwe, Ewald / Rosenberg, Werner, Die Strafprozeßordnung und das Gerichtsverfassungsgesetz, Großkommentar, hrsg. von Peter Rieß, 25. Edición, 21. Lieferung, Berlin-New York, 2002 (citado: Hanach, en: LR).</w:t>
      </w:r>
    </w:p>
    <w:p w14:paraId="3A3E4328"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p>
    <w:p w14:paraId="01A31F91"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r w:rsidRPr="006229D5">
        <w:rPr>
          <w:rFonts w:ascii="Palatino Linotype" w:hAnsi="Palatino Linotype" w:cs="Arial"/>
          <w:sz w:val="22"/>
          <w:szCs w:val="22"/>
          <w:lang w:val="de-DE"/>
        </w:rPr>
        <w:t>Imboden, Max, Der Schutz vor staatlicher Willkür, Zürich, 1945.</w:t>
      </w:r>
    </w:p>
    <w:p w14:paraId="69FE9C78"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p>
    <w:p w14:paraId="67C59A88"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r w:rsidRPr="006229D5">
        <w:rPr>
          <w:rFonts w:ascii="Palatino Linotype" w:hAnsi="Palatino Linotype" w:cs="Arial"/>
          <w:sz w:val="22"/>
          <w:szCs w:val="22"/>
          <w:lang w:val="de-DE"/>
        </w:rPr>
        <w:t>Julius, en: Lemke, Michael / Julius, Karl-Peter / Krehl, Christoph / Kurth, Hans-Joachim / Cristoforo, Erardo / Temming, Dieter, Heidelberg Kommentar zur Strafprozessordnung, 3a. Edición, Heidelberg, 2001.</w:t>
      </w:r>
    </w:p>
    <w:p w14:paraId="22C65123"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p>
    <w:p w14:paraId="2D237D9D"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r w:rsidRPr="006229D5">
        <w:rPr>
          <w:rFonts w:ascii="Palatino Linotype" w:hAnsi="Palatino Linotype" w:cs="Arial"/>
          <w:sz w:val="22"/>
          <w:szCs w:val="22"/>
          <w:lang w:val="de-DE"/>
        </w:rPr>
        <w:t xml:space="preserve">Kuckein, en: Karlsruher Kommentar zur Strafprozessordnung und zum Gerichtsverfassungsgesetz mit Einführungsgesetz, Gerd Pfeifer (Hrsg.), Múnich, 2003.  </w:t>
      </w:r>
    </w:p>
    <w:p w14:paraId="4596B7F7" w14:textId="77777777" w:rsidR="006229D5" w:rsidRPr="006229D5" w:rsidRDefault="006229D5" w:rsidP="0027447C">
      <w:pPr>
        <w:pStyle w:val="ColorfulList-Accent11"/>
        <w:widowControl w:val="0"/>
        <w:ind w:left="0"/>
        <w:rPr>
          <w:rFonts w:ascii="Palatino Linotype" w:hAnsi="Palatino Linotype" w:cs="Arial"/>
          <w:sz w:val="22"/>
          <w:szCs w:val="22"/>
          <w:lang w:val="de-DE"/>
        </w:rPr>
      </w:pPr>
    </w:p>
    <w:p w14:paraId="421C66F5"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r w:rsidRPr="006229D5">
        <w:rPr>
          <w:rFonts w:ascii="Palatino Linotype" w:hAnsi="Palatino Linotype" w:cs="Arial"/>
          <w:sz w:val="22"/>
          <w:szCs w:val="22"/>
          <w:lang w:val="es-CR"/>
        </w:rPr>
        <w:t>Llobet Rodríguez Javier. Proceso penal comentado (Código Procesal Penal comentado), 6ta. Edición, Editorial Jurídica Continental, San José, Costa Rica, 2017.</w:t>
      </w:r>
    </w:p>
    <w:p w14:paraId="56A691E1"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p>
    <w:p w14:paraId="4F374C83"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r w:rsidRPr="006229D5">
        <w:rPr>
          <w:rFonts w:ascii="Palatino Linotype" w:hAnsi="Palatino Linotype" w:cs="Arial"/>
          <w:sz w:val="22"/>
          <w:szCs w:val="22"/>
          <w:lang w:val="es-CR"/>
        </w:rPr>
        <w:t xml:space="preserve">Maier, Julio. </w:t>
      </w:r>
      <w:r w:rsidRPr="006229D5">
        <w:rPr>
          <w:rFonts w:ascii="Palatino Linotype" w:hAnsi="Palatino Linotype" w:cs="Arial"/>
          <w:sz w:val="22"/>
          <w:szCs w:val="22"/>
          <w:lang w:val="es-CR"/>
        </w:rPr>
        <w:tab/>
        <w:t xml:space="preserve">Derecho Procesal Penal, Tomo I: Fundamentos, 3ª. Reimpresión, Editores del Puerto, s.r.l., Buenos Aires, 2004. </w:t>
      </w:r>
    </w:p>
    <w:p w14:paraId="177F2D63"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p>
    <w:p w14:paraId="04FCE2BF"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r w:rsidRPr="006229D5">
        <w:rPr>
          <w:rFonts w:ascii="Palatino Linotype" w:hAnsi="Palatino Linotype" w:cs="Arial"/>
          <w:sz w:val="22"/>
          <w:szCs w:val="22"/>
          <w:lang w:val="de-DE"/>
        </w:rPr>
        <w:t>Mannheim, Hermann, Beiträge zur Lehre von der Revision wegen materiellrechtlicher Verstöße im Strafverfahren, Berlin, 1925.</w:t>
      </w:r>
    </w:p>
    <w:p w14:paraId="74935A34"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p>
    <w:p w14:paraId="53F86C29" w14:textId="77777777" w:rsidR="006229D5" w:rsidRPr="006229D5" w:rsidRDefault="006229D5" w:rsidP="0027447C">
      <w:pPr>
        <w:spacing w:after="0" w:line="240" w:lineRule="auto"/>
        <w:rPr>
          <w:rFonts w:ascii="Palatino Linotype" w:eastAsia="Calibri" w:hAnsi="Palatino Linotype" w:cs="Arial"/>
          <w:lang w:val="de-DE"/>
        </w:rPr>
      </w:pPr>
      <w:r w:rsidRPr="006229D5">
        <w:rPr>
          <w:rFonts w:ascii="Palatino Linotype" w:eastAsia="Calibri" w:hAnsi="Palatino Linotype" w:cs="Arial"/>
          <w:lang w:val="de-DE"/>
        </w:rPr>
        <w:t>Marburger, Peter, Wissenschaftlich-technischer Sachverstand und richterliche Entscheidung im Zivilprozeß, Heidelberg, 1986.</w:t>
      </w:r>
    </w:p>
    <w:p w14:paraId="7C5A30B1"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p>
    <w:p w14:paraId="2B0AE14D"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r w:rsidRPr="006229D5">
        <w:rPr>
          <w:rFonts w:ascii="Palatino Linotype" w:hAnsi="Palatino Linotype" w:cs="Arial"/>
          <w:sz w:val="22"/>
          <w:szCs w:val="22"/>
          <w:lang w:val="de-DE"/>
        </w:rPr>
        <w:t>Müller, Georg, Reservate staatlicher Willkür – Grauzonen zwischen Rechtsfreiheit, Rechtsbindung und Rechtskontrolle, en: Recht als Prozeß und Gefüge. Festschrift für Hans Huber zum 80. Geburtstag, Bern 1981.</w:t>
      </w:r>
    </w:p>
    <w:p w14:paraId="5B720922" w14:textId="77777777" w:rsidR="006229D5" w:rsidRPr="006229D5" w:rsidRDefault="006229D5" w:rsidP="0027447C">
      <w:pPr>
        <w:pStyle w:val="ColorfulList-Accent11"/>
        <w:widowControl w:val="0"/>
        <w:ind w:left="0"/>
        <w:rPr>
          <w:rFonts w:ascii="Palatino Linotype" w:hAnsi="Palatino Linotype" w:cs="Arial"/>
          <w:sz w:val="22"/>
          <w:szCs w:val="22"/>
          <w:lang w:val="de-DE"/>
        </w:rPr>
      </w:pPr>
    </w:p>
    <w:p w14:paraId="40D5461A"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r w:rsidRPr="006229D5">
        <w:rPr>
          <w:rFonts w:ascii="Palatino Linotype" w:hAnsi="Palatino Linotype" w:cs="Arial"/>
          <w:sz w:val="22"/>
          <w:szCs w:val="22"/>
          <w:lang w:val="de-DE"/>
        </w:rPr>
        <w:t xml:space="preserve">Nieto, Alejandro, El arbitrio judicial, 1ª. </w:t>
      </w:r>
      <w:r w:rsidRPr="006229D5">
        <w:rPr>
          <w:rFonts w:ascii="Palatino Linotype" w:hAnsi="Palatino Linotype" w:cs="Arial"/>
          <w:sz w:val="22"/>
          <w:szCs w:val="22"/>
          <w:lang w:val="es-CR"/>
        </w:rPr>
        <w:t>Ed., Barcelona, 2000.</w:t>
      </w:r>
    </w:p>
    <w:p w14:paraId="50EF2ABC"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p>
    <w:p w14:paraId="02475F98"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r w:rsidRPr="006229D5">
        <w:rPr>
          <w:rFonts w:ascii="Palatino Linotype" w:hAnsi="Palatino Linotype" w:cs="Arial"/>
          <w:sz w:val="22"/>
          <w:szCs w:val="22"/>
          <w:lang w:val="es-CR"/>
        </w:rPr>
        <w:t>Nieva Fenoll, Jorge. El hecho y el derecho en la casación penal, José María Bosch Editor, Barcelona, 2000.</w:t>
      </w:r>
    </w:p>
    <w:p w14:paraId="072AEFE9"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p>
    <w:p w14:paraId="15427F23"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r w:rsidRPr="006229D5">
        <w:rPr>
          <w:rFonts w:ascii="Palatino Linotype" w:hAnsi="Palatino Linotype" w:cs="Arial"/>
          <w:sz w:val="22"/>
          <w:szCs w:val="22"/>
          <w:lang w:val="de-DE"/>
        </w:rPr>
        <w:t xml:space="preserve">Paeffgen, Hans-Ullrich, „Ermessen“ und Kontrolle.  Probleme einer Begriffsanleihe in bezug auf die Revisibilität von Tatsachen, in: Wasserburg, Klaus / Haddenhorst, Wilhelm  (Hrsg.): Wahrheit und Gerechtigkeit im Strafverfahren, Festgabe für Karl Peters aus Anlaß seines 80. </w:t>
      </w:r>
      <w:r w:rsidRPr="006229D5">
        <w:rPr>
          <w:rFonts w:ascii="Palatino Linotype" w:hAnsi="Palatino Linotype" w:cs="Arial"/>
          <w:sz w:val="22"/>
          <w:szCs w:val="22"/>
          <w:lang w:val="es-CR"/>
        </w:rPr>
        <w:t>Geburtstages, Heidelberg, 1984.</w:t>
      </w:r>
    </w:p>
    <w:p w14:paraId="331422BF"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p>
    <w:p w14:paraId="2685B718"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r w:rsidRPr="006229D5">
        <w:rPr>
          <w:rFonts w:ascii="Palatino Linotype" w:hAnsi="Palatino Linotype" w:cs="Arial"/>
          <w:sz w:val="22"/>
          <w:szCs w:val="22"/>
          <w:lang w:val="es-CR"/>
        </w:rPr>
        <w:t>Pastor, Daniel. La nueva Imagen de la Casación Penal.  Evolución histórica y futuro de la dogmática de la impugnación en el derecho procesal penal, Buenos Aires, 2001.</w:t>
      </w:r>
    </w:p>
    <w:p w14:paraId="72CDCA4D"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p>
    <w:p w14:paraId="5E2E07A1" w14:textId="5C89AB94" w:rsidR="006229D5" w:rsidRPr="006229D5" w:rsidRDefault="006229D5" w:rsidP="00944402">
      <w:pPr>
        <w:spacing w:after="0" w:line="240" w:lineRule="auto"/>
        <w:rPr>
          <w:rFonts w:ascii="Palatino Linotype" w:hAnsi="Palatino Linotype" w:cs="Arial"/>
          <w:lang w:val="de-DE"/>
        </w:rPr>
      </w:pPr>
      <w:r w:rsidRPr="006229D5">
        <w:rPr>
          <w:rFonts w:ascii="Palatino Linotype" w:eastAsia="Calibri" w:hAnsi="Palatino Linotype" w:cs="Arial"/>
          <w:lang w:val="de-DE"/>
        </w:rPr>
        <w:t>Peters, Karl,  Strafprozeß, 4a. Edición, Heidelberg, 1985.</w:t>
      </w:r>
    </w:p>
    <w:p w14:paraId="26E79FEE"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r w:rsidRPr="006229D5">
        <w:rPr>
          <w:rFonts w:ascii="Palatino Linotype" w:hAnsi="Palatino Linotype" w:cs="Arial"/>
          <w:sz w:val="22"/>
          <w:szCs w:val="22"/>
          <w:lang w:val="de-DE"/>
        </w:rPr>
        <w:t>Ranft, Otfried, Strafprozeßrecht.  Systematische Lehrdarstellung für Studium und Praxis, 3a. Edición, Stuttgart, Múnich, Hannover, Berlin, Weimar, Dresden, 2005.</w:t>
      </w:r>
    </w:p>
    <w:p w14:paraId="1EEF2B47"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p>
    <w:p w14:paraId="585C1703" w14:textId="77777777" w:rsidR="006229D5" w:rsidRPr="006229D5" w:rsidRDefault="006229D5" w:rsidP="0027447C">
      <w:pPr>
        <w:spacing w:after="0" w:line="240" w:lineRule="auto"/>
        <w:rPr>
          <w:rFonts w:ascii="Palatino Linotype" w:eastAsia="Calibri" w:hAnsi="Palatino Linotype" w:cs="Arial"/>
          <w:lang w:val="de-DE"/>
        </w:rPr>
      </w:pPr>
      <w:r w:rsidRPr="006229D5">
        <w:rPr>
          <w:rFonts w:ascii="Palatino Linotype" w:eastAsia="Calibri" w:hAnsi="Palatino Linotype" w:cs="Arial"/>
          <w:lang w:val="de-DE"/>
        </w:rPr>
        <w:t>Roxin, Claus, Strafverfahrensrecht, 25 Edición, Múnich, 1998.</w:t>
      </w:r>
    </w:p>
    <w:p w14:paraId="5FEBAE39"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p>
    <w:p w14:paraId="6F879C44" w14:textId="77777777" w:rsidR="006229D5" w:rsidRPr="006229D5" w:rsidRDefault="006229D5" w:rsidP="0027447C">
      <w:pPr>
        <w:pStyle w:val="ColorfulList-Accent11"/>
        <w:widowControl w:val="0"/>
        <w:ind w:left="0"/>
        <w:jc w:val="both"/>
        <w:rPr>
          <w:rFonts w:ascii="Palatino Linotype" w:hAnsi="Palatino Linotype" w:cs="Arial"/>
          <w:sz w:val="22"/>
          <w:szCs w:val="22"/>
          <w:lang w:val="en-US"/>
        </w:rPr>
      </w:pPr>
      <w:r w:rsidRPr="006229D5">
        <w:rPr>
          <w:rFonts w:ascii="Palatino Linotype" w:hAnsi="Palatino Linotype" w:cs="Arial"/>
          <w:sz w:val="22"/>
          <w:szCs w:val="22"/>
          <w:lang w:val="de-DE"/>
        </w:rPr>
        <w:t xml:space="preserve">Roxin, Claus / Schunemann, Bernd. Strafverfahrensrecht. </w:t>
      </w:r>
      <w:r w:rsidRPr="006229D5">
        <w:rPr>
          <w:rFonts w:ascii="Palatino Linotype" w:hAnsi="Palatino Linotype" w:cs="Arial"/>
          <w:sz w:val="22"/>
          <w:szCs w:val="22"/>
          <w:lang w:val="en-US"/>
        </w:rPr>
        <w:t xml:space="preserve">Ein Studienbuch. 29 Edición, Editorial C.H.Beck, Múnich, 2017. </w:t>
      </w:r>
    </w:p>
    <w:p w14:paraId="4082DB8F" w14:textId="77777777" w:rsidR="006229D5" w:rsidRPr="006229D5" w:rsidRDefault="006229D5" w:rsidP="0027447C">
      <w:pPr>
        <w:pStyle w:val="ColorfulList-Accent11"/>
        <w:widowControl w:val="0"/>
        <w:ind w:left="0"/>
        <w:jc w:val="both"/>
        <w:rPr>
          <w:rFonts w:ascii="Palatino Linotype" w:hAnsi="Palatino Linotype" w:cs="Arial"/>
          <w:sz w:val="22"/>
          <w:szCs w:val="22"/>
          <w:lang w:val="en-US"/>
        </w:rPr>
      </w:pPr>
    </w:p>
    <w:p w14:paraId="772DC45A"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r w:rsidRPr="006229D5">
        <w:rPr>
          <w:rFonts w:ascii="Palatino Linotype" w:hAnsi="Palatino Linotype" w:cs="Arial"/>
          <w:sz w:val="22"/>
          <w:szCs w:val="22"/>
          <w:lang w:val="en-US"/>
        </w:rPr>
        <w:t xml:space="preserve">Rüthers, Bernd. </w:t>
      </w:r>
      <w:r w:rsidRPr="006229D5">
        <w:rPr>
          <w:rFonts w:ascii="Palatino Linotype" w:hAnsi="Palatino Linotype" w:cs="Arial"/>
          <w:sz w:val="22"/>
          <w:szCs w:val="22"/>
          <w:lang w:val="es-CR"/>
        </w:rPr>
        <w:t>Teoría del Derecho. Concepto, validez y aplicación del derecho. Traducción, presentación y notas de Minor Salas, Editorial Ubijus, México, 2009.</w:t>
      </w:r>
    </w:p>
    <w:p w14:paraId="31D2B4DF"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p>
    <w:p w14:paraId="7B71925E"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r w:rsidRPr="006229D5">
        <w:rPr>
          <w:rFonts w:ascii="Palatino Linotype" w:hAnsi="Palatino Linotype" w:cs="Arial"/>
          <w:sz w:val="22"/>
          <w:szCs w:val="22"/>
          <w:lang w:val="de-DE"/>
        </w:rPr>
        <w:t>Schünemann, Bernd, Grundfragen der Revision im Strafprozeß (Parte 2), JA 1982.</w:t>
      </w:r>
    </w:p>
    <w:p w14:paraId="4F092BAA" w14:textId="77777777" w:rsidR="006229D5" w:rsidRPr="006229D5" w:rsidRDefault="006229D5" w:rsidP="0027447C">
      <w:pPr>
        <w:pStyle w:val="ColorfulList-Accent11"/>
        <w:widowControl w:val="0"/>
        <w:ind w:left="0"/>
        <w:rPr>
          <w:rFonts w:ascii="Palatino Linotype" w:hAnsi="Palatino Linotype" w:cs="Arial"/>
          <w:sz w:val="22"/>
          <w:szCs w:val="22"/>
          <w:lang w:val="de-DE"/>
        </w:rPr>
      </w:pPr>
    </w:p>
    <w:p w14:paraId="2DDCFAFE"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r w:rsidRPr="006229D5">
        <w:rPr>
          <w:rFonts w:ascii="Palatino Linotype" w:hAnsi="Palatino Linotype" w:cs="Arial"/>
          <w:sz w:val="22"/>
          <w:szCs w:val="22"/>
          <w:lang w:val="es-CR"/>
        </w:rPr>
        <w:t xml:space="preserve">Ureña Salazar, José Joaquín.  Apelación y oralidad. 1ª. Edición, Editorial Jurídica Continental, San José, 2011. </w:t>
      </w:r>
    </w:p>
    <w:p w14:paraId="11959AC6" w14:textId="77777777" w:rsidR="006229D5" w:rsidRPr="006229D5" w:rsidRDefault="006229D5" w:rsidP="0027447C">
      <w:pPr>
        <w:pStyle w:val="ColorfulList-Accent11"/>
        <w:widowControl w:val="0"/>
        <w:ind w:left="0"/>
        <w:jc w:val="both"/>
        <w:rPr>
          <w:rFonts w:ascii="Palatino Linotype" w:hAnsi="Palatino Linotype" w:cs="Arial"/>
          <w:sz w:val="22"/>
          <w:szCs w:val="22"/>
          <w:lang w:val="es-CR"/>
        </w:rPr>
      </w:pPr>
    </w:p>
    <w:p w14:paraId="335F4FC2"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r w:rsidRPr="006229D5">
        <w:rPr>
          <w:rFonts w:ascii="Palatino Linotype" w:hAnsi="Palatino Linotype" w:cs="Arial"/>
          <w:sz w:val="22"/>
          <w:szCs w:val="22"/>
          <w:lang w:val="de-DE"/>
        </w:rPr>
        <w:t>Volk, Klaus, Grundkurs StPO, 4ta. Edición, Múnich, 2005.</w:t>
      </w:r>
    </w:p>
    <w:p w14:paraId="6A83974C"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p>
    <w:p w14:paraId="555025EF"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r w:rsidRPr="006229D5">
        <w:rPr>
          <w:rFonts w:ascii="Palatino Linotype" w:hAnsi="Palatino Linotype" w:cs="Arial"/>
          <w:sz w:val="22"/>
          <w:szCs w:val="22"/>
          <w:lang w:val="de-DE"/>
        </w:rPr>
        <w:t>von Hippel, Robert, Der deutsche Strafprozess, Lehrbuch, Marburg, 1941.</w:t>
      </w:r>
    </w:p>
    <w:p w14:paraId="7ECC2E2B" w14:textId="77777777" w:rsidR="006229D5" w:rsidRPr="006229D5" w:rsidRDefault="006229D5" w:rsidP="0027447C">
      <w:pPr>
        <w:pStyle w:val="ColorfulList-Accent11"/>
        <w:widowControl w:val="0"/>
        <w:ind w:left="0"/>
        <w:jc w:val="both"/>
        <w:rPr>
          <w:rFonts w:ascii="Palatino Linotype" w:hAnsi="Palatino Linotype" w:cs="Arial"/>
          <w:sz w:val="22"/>
          <w:szCs w:val="22"/>
          <w:lang w:val="de-DE"/>
        </w:rPr>
      </w:pPr>
    </w:p>
    <w:p w14:paraId="242292C7" w14:textId="77777777" w:rsidR="00912169" w:rsidRDefault="006229D5" w:rsidP="0027447C">
      <w:pPr>
        <w:pStyle w:val="ColorfulList-Accent11"/>
        <w:widowControl w:val="0"/>
        <w:ind w:left="0"/>
        <w:jc w:val="both"/>
        <w:rPr>
          <w:rFonts w:ascii="Palatino Linotype" w:hAnsi="Palatino Linotype" w:cs="Arial"/>
          <w:sz w:val="22"/>
          <w:szCs w:val="22"/>
          <w:lang w:val="de-DE"/>
        </w:rPr>
        <w:sectPr w:rsidR="00912169" w:rsidSect="0027447C">
          <w:headerReference w:type="even" r:id="rId67"/>
          <w:headerReference w:type="default" r:id="rId68"/>
          <w:footerReference w:type="default" r:id="rId69"/>
          <w:type w:val="oddPage"/>
          <w:pgSz w:w="12240" w:h="15840" w:code="1"/>
          <w:pgMar w:top="1474" w:right="2098" w:bottom="1021" w:left="2977" w:header="851" w:footer="2835" w:gutter="0"/>
          <w:cols w:space="708"/>
          <w:titlePg/>
          <w:docGrid w:linePitch="360"/>
        </w:sectPr>
      </w:pPr>
      <w:r w:rsidRPr="006229D5">
        <w:rPr>
          <w:rFonts w:ascii="Palatino Linotype" w:hAnsi="Palatino Linotype" w:cs="Arial"/>
          <w:sz w:val="22"/>
          <w:szCs w:val="22"/>
          <w:lang w:val="de-DE"/>
        </w:rPr>
        <w:t>Zipf, Heinz, Die Strafmassrevision. Eine strafrechtsdogmatische Untersuchung über den systematischen Aufbau der Strafzumessung und ihrer Revisibilität im Erwachsenen- und Jugendstrafrecht, Múnich, 1969.</w:t>
      </w:r>
      <w:bookmarkEnd w:id="70"/>
    </w:p>
    <w:p w14:paraId="05F25BA8" w14:textId="77777777" w:rsidR="00FB0F44" w:rsidRPr="00944402" w:rsidRDefault="00FB0F44" w:rsidP="00912169">
      <w:pPr>
        <w:spacing w:before="120" w:after="200" w:line="240" w:lineRule="auto"/>
        <w:jc w:val="center"/>
        <w:rPr>
          <w:rFonts w:ascii="Palatino Linotype" w:hAnsi="Palatino Linotype" w:cs="Arial"/>
          <w:b/>
          <w:lang w:val="de-DE"/>
        </w:rPr>
      </w:pPr>
    </w:p>
    <w:p w14:paraId="16CE868E" w14:textId="77777777" w:rsidR="00FB0F44" w:rsidRPr="00944402" w:rsidRDefault="00FB0F44" w:rsidP="00912169">
      <w:pPr>
        <w:spacing w:before="120" w:after="200" w:line="240" w:lineRule="auto"/>
        <w:jc w:val="center"/>
        <w:rPr>
          <w:rFonts w:ascii="Palatino Linotype" w:hAnsi="Palatino Linotype" w:cs="Arial"/>
          <w:b/>
          <w:lang w:val="de-DE"/>
        </w:rPr>
      </w:pPr>
    </w:p>
    <w:p w14:paraId="5D6595B0" w14:textId="3DB2FE32" w:rsidR="00912169" w:rsidRPr="004B4815" w:rsidRDefault="00912169" w:rsidP="00912169">
      <w:pPr>
        <w:spacing w:before="120" w:after="200" w:line="240" w:lineRule="auto"/>
        <w:jc w:val="center"/>
        <w:rPr>
          <w:rFonts w:ascii="Palatino Linotype" w:hAnsi="Palatino Linotype" w:cs="Arial"/>
          <w:b/>
        </w:rPr>
      </w:pPr>
      <w:r w:rsidRPr="004B4815">
        <w:rPr>
          <w:rFonts w:ascii="Palatino Linotype" w:hAnsi="Palatino Linotype" w:cs="Arial"/>
          <w:b/>
        </w:rPr>
        <w:t>LA ACCIÓN CIVIL Y EL NUEVO CÓDIGO PROCESAL CIVIL</w:t>
      </w:r>
    </w:p>
    <w:p w14:paraId="1D2C6006" w14:textId="77777777" w:rsidR="00912169" w:rsidRPr="004B4815" w:rsidRDefault="00912169" w:rsidP="00912169">
      <w:pPr>
        <w:spacing w:before="120" w:after="200" w:line="240" w:lineRule="auto"/>
        <w:ind w:left="2832" w:firstLine="708"/>
        <w:jc w:val="center"/>
        <w:rPr>
          <w:rFonts w:ascii="Palatino Linotype" w:hAnsi="Palatino Linotype" w:cs="Arial"/>
          <w:b/>
        </w:rPr>
      </w:pPr>
      <w:r w:rsidRPr="004B4815">
        <w:rPr>
          <w:rFonts w:ascii="Palatino Linotype" w:hAnsi="Palatino Linotype" w:cs="Arial"/>
          <w:b/>
        </w:rPr>
        <w:t>Dr. Rafael Ángel Sanabria Rojas</w:t>
      </w:r>
    </w:p>
    <w:p w14:paraId="4A6C8CE9" w14:textId="77777777" w:rsidR="00912169" w:rsidRPr="004B4815" w:rsidRDefault="00912169" w:rsidP="00912169">
      <w:pPr>
        <w:spacing w:before="120" w:after="200" w:line="240" w:lineRule="auto"/>
        <w:jc w:val="center"/>
        <w:rPr>
          <w:rFonts w:ascii="Palatino Linotype" w:hAnsi="Palatino Linotype" w:cs="Arial"/>
          <w:b/>
        </w:rPr>
      </w:pPr>
    </w:p>
    <w:p w14:paraId="4166B277" w14:textId="77777777" w:rsidR="00912169" w:rsidRPr="004B4815" w:rsidRDefault="00912169" w:rsidP="00912169">
      <w:pPr>
        <w:spacing w:before="120" w:after="200" w:line="240" w:lineRule="auto"/>
        <w:rPr>
          <w:rFonts w:ascii="Palatino Linotype" w:hAnsi="Palatino Linotype" w:cs="Arial"/>
          <w:b/>
        </w:rPr>
      </w:pPr>
      <w:r w:rsidRPr="004B4815">
        <w:rPr>
          <w:rFonts w:ascii="Palatino Linotype" w:hAnsi="Palatino Linotype" w:cs="Arial"/>
          <w:b/>
        </w:rPr>
        <w:tab/>
        <w:t xml:space="preserve">I. Introducción </w:t>
      </w:r>
    </w:p>
    <w:p w14:paraId="1BD967AF"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En Costa Rica, el legislador ha optado por el sistema de acumulación, en cuanto a la posibilidad de que la víctima escoja la vía penal, civil o contenciosa administrativa, para reclamar la reparación de daños patrimoniales o la compensación de daños morales (art. 41 del Código Procesal Penal).</w:t>
      </w:r>
    </w:p>
    <w:p w14:paraId="7E6B5FFD"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Ahora bien, para el ejercicio de la acción civil resarcitoria en el proceso penal, se utiliza, en primer término las reglas establecidas en el Código Procesal Penal y ante la ausencia de alguna norma o bien de duda sobre este proceso, el artículo 109 del Código Penal de 1971, remite al Código Procesal Civil.</w:t>
      </w:r>
    </w:p>
    <w:p w14:paraId="784E6EAF"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Consecuentemente, la entrada en vigencia del Código Procesal Civil introduce  cambios en el trámite de la acción civil resarcitoria, algunos de los cuales en este trabajo se analizan. </w:t>
      </w:r>
    </w:p>
    <w:p w14:paraId="73F9207D"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Será objeto de análisis la remisión que realiza el Código Penal al Código Procesal Civil, en materia de reparación de daños y perjuicios; así como los cambios en el escrito de acción civil resarcitoria; el traslado; la contestación a la acción civil resarcitoria; su admisión o rechazo en la fase intermedia y los requisitos de la sentencia en juicio. </w:t>
      </w:r>
    </w:p>
    <w:p w14:paraId="3760516C" w14:textId="77777777" w:rsidR="00912169" w:rsidRPr="004B4815" w:rsidRDefault="00912169" w:rsidP="00912169">
      <w:pPr>
        <w:spacing w:before="120" w:after="200" w:line="240" w:lineRule="auto"/>
        <w:ind w:firstLine="708"/>
        <w:jc w:val="both"/>
        <w:rPr>
          <w:rFonts w:ascii="Palatino Linotype" w:hAnsi="Palatino Linotype" w:cs="Arial"/>
          <w:b/>
        </w:rPr>
      </w:pPr>
      <w:r w:rsidRPr="004B4815">
        <w:rPr>
          <w:rFonts w:ascii="Palatino Linotype" w:hAnsi="Palatino Linotype" w:cs="Arial"/>
          <w:b/>
        </w:rPr>
        <w:t>II. Remisión del Código Penal y principios que rigen esta materia</w:t>
      </w:r>
    </w:p>
    <w:p w14:paraId="05207960" w14:textId="5FE11B2E" w:rsidR="00912169"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Interesa analizar en este apartado, tanto la remisión que realiza el Código Penal al Código Procesal Civil, en el ejercicio de la acción civil resarcitoria, así como los principios que rigen la responsabilidad civil. </w:t>
      </w:r>
    </w:p>
    <w:p w14:paraId="49DD02E2" w14:textId="77777777" w:rsidR="00912169" w:rsidRPr="004B4815" w:rsidRDefault="00912169" w:rsidP="00912169">
      <w:pPr>
        <w:spacing w:before="120" w:after="200" w:line="240" w:lineRule="auto"/>
        <w:jc w:val="both"/>
        <w:rPr>
          <w:rFonts w:ascii="Palatino Linotype" w:hAnsi="Palatino Linotype" w:cs="Arial"/>
          <w:b/>
        </w:rPr>
      </w:pPr>
      <w:r w:rsidRPr="004B4815">
        <w:rPr>
          <w:rFonts w:ascii="Palatino Linotype" w:hAnsi="Palatino Linotype" w:cs="Arial"/>
        </w:rPr>
        <w:tab/>
      </w:r>
      <w:r w:rsidRPr="004B4815">
        <w:rPr>
          <w:rFonts w:ascii="Palatino Linotype" w:hAnsi="Palatino Linotype" w:cs="Arial"/>
          <w:b/>
        </w:rPr>
        <w:t xml:space="preserve">1. Remisión del Código Penal al Código Procesal Civil para el ejercicio de la acción civil resarcitoria </w:t>
      </w:r>
    </w:p>
    <w:p w14:paraId="3EC47BFB"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En primer término, como ya se indicó, el Código Procesal Penal contiene alguna normativa sobre el ejercicio de la acción civil en sede penal. Sin embargo, las reglas no son lo suficientemente claras, existen lagunas o bien ausencia de regulación.  De tal manera que es necesario acudir al Código Procesal Civil para suplir lo anterior, pero teniendo claro que, en principio rigen las reglas del Código Procesal Penal, como en lo relativo a los plazos o regulaciones particulares sobre la prueba. </w:t>
      </w:r>
    </w:p>
    <w:p w14:paraId="12D52AE5"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La aplicación del Código Civil y otras reglas sustantivas, como la Ley General de la Administración Pública, o bien la Ley 7472, para el tema sustantivo de la reparación civil; o bien del Código Procesal Civil para suplir deficiencias del Código Procesal Penal, en cuanto al trámite y requisitos en el ejercicio de la acción civil, se encuentra expresamente regulado en el artículo 109 del Código Penal.  </w:t>
      </w:r>
    </w:p>
    <w:p w14:paraId="16DB5D73" w14:textId="77777777" w:rsidR="00912169" w:rsidRPr="004B4815" w:rsidRDefault="00912169" w:rsidP="00912169">
      <w:pPr>
        <w:spacing w:before="120" w:after="200" w:line="240" w:lineRule="auto"/>
        <w:ind w:firstLine="708"/>
        <w:jc w:val="both"/>
        <w:rPr>
          <w:rFonts w:ascii="Palatino Linotype" w:hAnsi="Palatino Linotype" w:cs="Arial"/>
          <w:i/>
        </w:rPr>
      </w:pPr>
      <w:r w:rsidRPr="004B4815">
        <w:rPr>
          <w:rFonts w:ascii="Palatino Linotype" w:hAnsi="Palatino Linotype" w:cs="Arial"/>
        </w:rPr>
        <w:t>En lo que interesa, dispone esta norma: “…</w:t>
      </w:r>
      <w:r w:rsidRPr="004B4815">
        <w:rPr>
          <w:rFonts w:ascii="Palatino Linotype" w:hAnsi="Palatino Linotype" w:cs="Arial"/>
          <w:i/>
        </w:rPr>
        <w:t xml:space="preserve">Las obligaciones correspondientes a la reparación civil se extinguen por los medios y en la forma determinada en el Código Civil y las reglas para fijar los daños y perjuicios, lo mismo que la determinación de la reparación civil subsidiaria o solidaria, serán establecidas en el Código Procesal Civil…”. </w:t>
      </w:r>
    </w:p>
    <w:p w14:paraId="789CB87A"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De acuerdo con esta disposición, no existe la menor duda de que el Código Procesal Civil es una legislación a utilizar, en el ejercicio de la acción civil resarcitoria en el proceso penal, para suplir las pocas normas que contiene el Código Procesal Penal para regular dicho instituto. </w:t>
      </w:r>
    </w:p>
    <w:p w14:paraId="2F5E06E6" w14:textId="77777777" w:rsidR="00912169" w:rsidRPr="004B4815" w:rsidRDefault="00912169" w:rsidP="00912169">
      <w:pPr>
        <w:spacing w:before="120" w:after="200" w:line="240" w:lineRule="auto"/>
        <w:ind w:firstLine="708"/>
        <w:jc w:val="both"/>
        <w:rPr>
          <w:rFonts w:ascii="Palatino Linotype" w:hAnsi="Palatino Linotype" w:cs="Arial"/>
          <w:b/>
        </w:rPr>
      </w:pPr>
      <w:r w:rsidRPr="004B4815">
        <w:rPr>
          <w:rFonts w:ascii="Palatino Linotype" w:hAnsi="Palatino Linotype" w:cs="Arial"/>
          <w:b/>
        </w:rPr>
        <w:t xml:space="preserve">2.  Principios que rigen la reparación civil </w:t>
      </w:r>
    </w:p>
    <w:p w14:paraId="453B72A8"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Independientemente de que la acción civil se ejerza en el proceso civil, contencioso o el penal, rigen en esta materia algunos principios que no pueden ser obviados. </w:t>
      </w:r>
    </w:p>
    <w:p w14:paraId="14AA6D5A"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En primer término, debe aclararse que se reparan daños patrimoniales o se compensan daños morales.  No se repara el delito.  El ilícito penal generará responsabilidad de ese orden, pero nunca puede afirmarse que el delito produzca alguna obligación de reparar.  Solamente cuando se acredite que existe algún tipo de daño, existirá la posibilidad de una sentencia que ordene su reparación.  Ahora bien, por el principio de accesoriedad, que se contempla en el artículo 40 del Código Procesal Penal, es necesario la existencia de un proceso penal, para poder ejercer la acción civil resarcitoria.  Esto implica que la accesoriedad es de carácter formal, pero no sustantiva, pues las reglas para establecer la responsabilidad civil son diversas a las penales.  En la primera debe demostrarse la presencia de los presupuestos formales y materiales para la reparación civil, mientras que en la segunda será la herramiento de la teoría del delito la que determinará la responsabilidad penal: conducta típica, antijurídica, culpable y punible. </w:t>
      </w:r>
    </w:p>
    <w:p w14:paraId="6931D2C2"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El otro aspecto esencial en esta materia, es que en Costa Rica, conforme al artículo 41 de la Constitución Política y otras reglas legales, únicamente se repara el daño realmente producido. Es decir, ante un evento que produzca daños, existe la obligación de reparar su importe, pero no más allá de una reparación plena. Lo anterior, porque se produciría un enriquecimiento sin causa y cuando se establezcan sumas menores a las que corresponderían y han sido reclamadas, se generaría una injusticia. </w:t>
      </w:r>
    </w:p>
    <w:p w14:paraId="376F5E1A"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Esto deja claro que, en principio, no rige en nuestro medio el cuestionado concepto de daño punitivo, propio de sistema del commom law, o el sistema anglosajón, en el que al monto del daño se le agrega una suma adicional, que constituye una especie de multa, que busca la prevención especial, es decir, que la persona generadora del daño aprecie que no es buen negocio ocasionar daños, o bien de prevención general, para que el resto de ciudadanos aprecien ese castigo y procuren no producir  daños.  </w:t>
      </w:r>
    </w:p>
    <w:p w14:paraId="4679EE6D"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En similar sentido, operan en nuestro medio los principios dispositivo y de rogación.  Por el primero, conforme al artículo 28 de la Constitución Política, en materia patrimonial, rige el principio de autonomía de la voluntad, lo que implica que las personas pueden disponer, discrecionalmente, de su patrimonio. Cuando no incluyan una determinada pretensión de reparación sobre algún daño que hayan sufrido, implica que lo estan renunciando.  Además, en cuanto al tema procesal, este principio se contempla en el artículo 2.4 del Código Procesal Civil. </w:t>
      </w:r>
    </w:p>
    <w:p w14:paraId="4EBCA36A"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En relación con el principio de rogación, conforme al artículo 37 del Código Procesal Penal, para obtener la restitución de un bien, o la reparación de daños y perjuicios, es necesario formular la acción civil resarcitoria. Es decir, en principio, no puede el juzgador disponer sobre cuestiones patrimoniales, si no media una acción civil resarcitoria.</w:t>
      </w:r>
    </w:p>
    <w:p w14:paraId="35D5EEDA"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Existen algunas excepciones a este principio, como la regulación en materia contravencional de tránsito, o de contravenciones comunes, donde, con la condena penal, es obligatoria la condena civil en abstracto, debiendo la parte ir al proceso civil para su ejecución. Así se establece, expresamente, en los artículos 103 del Código Penal, 185.d de la Ley de Tránsito.</w:t>
      </w:r>
    </w:p>
    <w:p w14:paraId="6B38F6C3"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Otra excepción a esta regla se contempla en el artículo 492 del Código Procesal Penal, que establece la obligación del Tribunal al dictar sentencia, de oficio, al declarar falso un instrumento público, ordenar que el acto sea reconstruido, suprimido o reformado. Por su parte, la jurisprudencia de la Sala de Casación Penal, ha dispuesto que el bien debe regresar al dueño original, sin que se protejan los derechos de los terceros de buena fe, los que deben reclamar a la persona que los ha engañado. </w:t>
      </w:r>
    </w:p>
    <w:p w14:paraId="035F8151"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Finalmente, es importante tomar en cuenta el principio de congruencia, que implica que el Tribunal no puede otorgar algo diferente a lo pedido, o en mayor medida a las pretensiones de las partes.  Este principio también se extiende a los hechos que sustenten la acción civil resarcitoria o  bien los que ha utilizado el demadado civil para oponerse a la acción civil, o para apoyar las excepciones que presente. El principio de congruencia ya se encontraba regulado, entre otros, en los artículos 99, 153, 155, 194, 197 del derogado Código Procesal Civil y se ha mantenido en el artículo 61.2 del nuevo Código Procesal Civil. Asimismo, ha sido contemplado por la Sala de Casación Penal, entre otros, en el  fallo 1229-2013.</w:t>
      </w:r>
    </w:p>
    <w:p w14:paraId="01F0B840"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Ahora bien, lo que sí se ha permitido es la aplicación del principio iura novit curia, es decir, el juzgador debe aplicar las normas sustantivas que correspondan a los hechos, aunque no hayan sido invocadas por las partes.  Lo anterior ha sido tomado en cuenta por la Sala de Casación Penal, en los fallos  1711-2012 y 205-2017. </w:t>
      </w:r>
    </w:p>
    <w:p w14:paraId="0AD92F18" w14:textId="77777777" w:rsidR="00912169" w:rsidRPr="004B4815" w:rsidRDefault="00912169" w:rsidP="00912169">
      <w:pPr>
        <w:spacing w:before="120" w:after="200" w:line="240" w:lineRule="auto"/>
        <w:ind w:firstLine="708"/>
        <w:jc w:val="both"/>
        <w:rPr>
          <w:rFonts w:ascii="Palatino Linotype" w:hAnsi="Palatino Linotype" w:cs="Arial"/>
          <w:b/>
        </w:rPr>
      </w:pPr>
      <w:r w:rsidRPr="004B4815">
        <w:rPr>
          <w:rFonts w:ascii="Palatino Linotype" w:hAnsi="Palatino Linotype" w:cs="Arial"/>
          <w:b/>
        </w:rPr>
        <w:t>III. El escrito de acción civil resarcitoria</w:t>
      </w:r>
    </w:p>
    <w:p w14:paraId="48F055E8"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Los requisitos del escrito de acción civil resarcitoria están contemplados en el artículo 112 del Código Procesal Penal, sin que la norma sea clara al respecto, ni contenga alguna sanción a su incumplimiento. Únicamente, el artículo 115 del Código Procesal Penal hace alusión a la inadmisibilidad, sin que indique en cuáles supuestos opera. En esta materia es necesario acudir al Código Procesal Civil para completar lo regulado en el Procesal Penal.</w:t>
      </w:r>
    </w:p>
    <w:p w14:paraId="471C79DE" w14:textId="77777777" w:rsidR="00912169" w:rsidRPr="004B4815" w:rsidRDefault="00912169" w:rsidP="00912169">
      <w:pPr>
        <w:spacing w:before="120" w:after="200" w:line="240" w:lineRule="auto"/>
        <w:jc w:val="both"/>
        <w:rPr>
          <w:rFonts w:ascii="Palatino Linotype" w:hAnsi="Palatino Linotype" w:cs="Arial"/>
          <w:b/>
        </w:rPr>
      </w:pPr>
      <w:r w:rsidRPr="004B4815">
        <w:rPr>
          <w:rFonts w:ascii="Palatino Linotype" w:hAnsi="Palatino Linotype" w:cs="Arial"/>
        </w:rPr>
        <w:tab/>
      </w:r>
      <w:r w:rsidRPr="004B4815">
        <w:rPr>
          <w:rFonts w:ascii="Palatino Linotype" w:hAnsi="Palatino Linotype" w:cs="Arial"/>
          <w:b/>
        </w:rPr>
        <w:t xml:space="preserve">1. En primer término es necesario indicar el nombre y domicilio del accionante o de su presentante legal  </w:t>
      </w:r>
    </w:p>
    <w:p w14:paraId="2A7C06FA" w14:textId="77777777" w:rsidR="00912169" w:rsidRPr="004B4815" w:rsidRDefault="00912169" w:rsidP="00912169">
      <w:pPr>
        <w:spacing w:before="120" w:after="200" w:line="240" w:lineRule="auto"/>
        <w:jc w:val="both"/>
        <w:rPr>
          <w:rFonts w:ascii="Palatino Linotype" w:hAnsi="Palatino Linotype" w:cs="Arial"/>
        </w:rPr>
      </w:pPr>
      <w:r w:rsidRPr="004B4815">
        <w:rPr>
          <w:rFonts w:ascii="Palatino Linotype" w:hAnsi="Palatino Linotype" w:cs="Arial"/>
          <w:b/>
        </w:rPr>
        <w:tab/>
      </w:r>
      <w:r w:rsidRPr="004B4815">
        <w:rPr>
          <w:rFonts w:ascii="Palatino Linotype" w:hAnsi="Palatino Linotype" w:cs="Arial"/>
        </w:rPr>
        <w:t>Esta regla no presenta mayor problema. Lo importante es que únicamente las personas que aparezcan como actoras tendrán el derecho a un pronunciamiento en sentencia sobre sus pretensiones.</w:t>
      </w:r>
    </w:p>
    <w:p w14:paraId="732469AD" w14:textId="77777777" w:rsidR="00912169" w:rsidRPr="004B4815" w:rsidRDefault="00912169" w:rsidP="00912169">
      <w:pPr>
        <w:spacing w:before="120" w:after="200" w:line="240" w:lineRule="auto"/>
        <w:jc w:val="both"/>
        <w:rPr>
          <w:rFonts w:ascii="Palatino Linotype" w:hAnsi="Palatino Linotype" w:cs="Arial"/>
          <w:b/>
        </w:rPr>
      </w:pPr>
      <w:r w:rsidRPr="004B4815">
        <w:rPr>
          <w:rFonts w:ascii="Palatino Linotype" w:hAnsi="Palatino Linotype" w:cs="Arial"/>
        </w:rPr>
        <w:tab/>
      </w:r>
      <w:r w:rsidRPr="004B4815">
        <w:rPr>
          <w:rFonts w:ascii="Palatino Linotype" w:hAnsi="Palatino Linotype" w:cs="Arial"/>
          <w:b/>
        </w:rPr>
        <w:t>2.  El nombre del domicilio del demandado civil y del vínculo con el hecho atribuido al imputado</w:t>
      </w:r>
    </w:p>
    <w:p w14:paraId="56F70F47" w14:textId="77777777" w:rsidR="00912169" w:rsidRPr="004B4815" w:rsidRDefault="00912169" w:rsidP="00912169">
      <w:pPr>
        <w:spacing w:before="120" w:after="200" w:line="240" w:lineRule="auto"/>
        <w:jc w:val="both"/>
        <w:rPr>
          <w:rFonts w:ascii="Palatino Linotype" w:hAnsi="Palatino Linotype" w:cs="Arial"/>
        </w:rPr>
      </w:pPr>
      <w:r w:rsidRPr="004B4815">
        <w:rPr>
          <w:rFonts w:ascii="Palatino Linotype" w:hAnsi="Palatino Linotype" w:cs="Arial"/>
          <w:b/>
        </w:rPr>
        <w:tab/>
      </w:r>
      <w:r w:rsidRPr="004B4815">
        <w:rPr>
          <w:rFonts w:ascii="Palatino Linotype" w:hAnsi="Palatino Linotype" w:cs="Arial"/>
        </w:rPr>
        <w:t xml:space="preserve">La norma es defectuosa, pues parece aludir exclusivamente a los terceros civilmente demandados, pues resulta claro que es tanto demandado civil los terceros, como la persona que ha causado directamente el daño.  En todo caso es necesario identificar a la persona contra la cual se dirige la demanda, tanto en la identificación de los sujetos, como en los hechos de la acción civil, donde debe descrirse el evento por el cual deben responder. </w:t>
      </w:r>
    </w:p>
    <w:p w14:paraId="5F11F354" w14:textId="77777777" w:rsidR="00912169" w:rsidRPr="004B4815" w:rsidRDefault="00912169" w:rsidP="00912169">
      <w:pPr>
        <w:spacing w:before="120" w:after="200" w:line="240" w:lineRule="auto"/>
        <w:jc w:val="both"/>
        <w:rPr>
          <w:rFonts w:ascii="Palatino Linotype" w:hAnsi="Palatino Linotype" w:cs="Arial"/>
          <w:b/>
        </w:rPr>
      </w:pPr>
      <w:r w:rsidRPr="004B4815">
        <w:rPr>
          <w:rFonts w:ascii="Palatino Linotype" w:hAnsi="Palatino Linotype" w:cs="Arial"/>
        </w:rPr>
        <w:tab/>
      </w:r>
      <w:r w:rsidRPr="004B4815">
        <w:rPr>
          <w:rFonts w:ascii="Palatino Linotype" w:hAnsi="Palatino Linotype" w:cs="Arial"/>
          <w:b/>
        </w:rPr>
        <w:t>3. La indicación al proceso al cual se refiere</w:t>
      </w:r>
    </w:p>
    <w:p w14:paraId="4EB0C3DE" w14:textId="77777777" w:rsidR="00912169" w:rsidRPr="004B4815" w:rsidRDefault="00912169" w:rsidP="00912169">
      <w:pPr>
        <w:spacing w:before="120" w:after="200" w:line="240" w:lineRule="auto"/>
        <w:jc w:val="both"/>
        <w:rPr>
          <w:rFonts w:ascii="Palatino Linotype" w:hAnsi="Palatino Linotype" w:cs="Arial"/>
        </w:rPr>
      </w:pPr>
      <w:r w:rsidRPr="004B4815">
        <w:rPr>
          <w:rFonts w:ascii="Palatino Linotype" w:hAnsi="Palatino Linotype" w:cs="Arial"/>
          <w:b/>
        </w:rPr>
        <w:tab/>
      </w:r>
      <w:r w:rsidRPr="004B4815">
        <w:rPr>
          <w:rFonts w:ascii="Palatino Linotype" w:hAnsi="Palatino Linotype" w:cs="Arial"/>
        </w:rPr>
        <w:t xml:space="preserve">Tomando en cuenta los nuevos sistemas implementados por el Poder Judicial, los expedientes tienen un número único y a éste hay que hacer referencia, con indicación de las partes. </w:t>
      </w:r>
    </w:p>
    <w:p w14:paraId="6E56FA21" w14:textId="77777777" w:rsidR="00912169" w:rsidRPr="004B4815" w:rsidRDefault="00912169" w:rsidP="00912169">
      <w:pPr>
        <w:spacing w:before="120" w:after="200" w:line="240" w:lineRule="auto"/>
        <w:jc w:val="both"/>
        <w:rPr>
          <w:rFonts w:ascii="Palatino Linotype" w:hAnsi="Palatino Linotype" w:cs="Arial"/>
          <w:b/>
        </w:rPr>
      </w:pPr>
      <w:r w:rsidRPr="004B4815">
        <w:rPr>
          <w:rFonts w:ascii="Palatino Linotype" w:hAnsi="Palatino Linotype" w:cs="Arial"/>
        </w:rPr>
        <w:tab/>
      </w:r>
      <w:r w:rsidRPr="004B4815">
        <w:rPr>
          <w:rFonts w:ascii="Palatino Linotype" w:hAnsi="Palatino Linotype" w:cs="Arial"/>
          <w:b/>
        </w:rPr>
        <w:t>4. Los motivos en que la acción se basa, con indicación del carácter que se invoca y el daño cuya reparación se pretenda, aunque no se precise el monto</w:t>
      </w:r>
    </w:p>
    <w:p w14:paraId="19C6C611" w14:textId="77777777" w:rsidR="00912169" w:rsidRPr="004B4815" w:rsidRDefault="00912169" w:rsidP="00912169">
      <w:pPr>
        <w:spacing w:before="120" w:after="200" w:line="240" w:lineRule="auto"/>
        <w:jc w:val="both"/>
        <w:rPr>
          <w:rFonts w:ascii="Palatino Linotype" w:hAnsi="Palatino Linotype" w:cs="Arial"/>
        </w:rPr>
      </w:pPr>
      <w:r w:rsidRPr="004B4815">
        <w:rPr>
          <w:rFonts w:ascii="Palatino Linotype" w:hAnsi="Palatino Linotype" w:cs="Arial"/>
          <w:b/>
        </w:rPr>
        <w:tab/>
      </w:r>
      <w:r w:rsidRPr="004B4815">
        <w:rPr>
          <w:rFonts w:ascii="Palatino Linotype" w:hAnsi="Palatino Linotype" w:cs="Arial"/>
        </w:rPr>
        <w:t xml:space="preserve">La norma es poco clara.  Debe interpretarse que el escrito de acción civil debe contener, entre otros, una relación de hechos, que contengan el evento, los daños producidos, la relación causal y el criterio de imputación o de atribución. </w:t>
      </w:r>
    </w:p>
    <w:p w14:paraId="79A93A3C" w14:textId="77777777" w:rsidR="00912169" w:rsidRPr="004B4815" w:rsidRDefault="00912169" w:rsidP="00912169">
      <w:pPr>
        <w:spacing w:before="120" w:after="200" w:line="240" w:lineRule="auto"/>
        <w:ind w:firstLine="708"/>
        <w:jc w:val="both"/>
        <w:rPr>
          <w:rFonts w:ascii="Palatino Linotype" w:hAnsi="Palatino Linotype" w:cs="Arial"/>
          <w:i/>
        </w:rPr>
      </w:pPr>
      <w:r w:rsidRPr="004B4815">
        <w:rPr>
          <w:rFonts w:ascii="Palatino Linotype" w:hAnsi="Palatino Linotype" w:cs="Arial"/>
        </w:rPr>
        <w:t>Si alguna duda existe al respecto, debemos acudir al Código Procesal Civil, art. 35.3 que estipula, como un requisito de la demanda “…</w:t>
      </w:r>
      <w:r w:rsidRPr="004B4815">
        <w:rPr>
          <w:rFonts w:ascii="Palatino Linotype" w:hAnsi="Palatino Linotype" w:cs="Arial"/>
          <w:i/>
        </w:rPr>
        <w:t xml:space="preserve">La narración precisa de los hechos, expuestos uno por uno, enumerados y bien especificados. Deberán redactarse ordenadamente, con claridad, precisión .y de forma cronológica, en la medida de lo posible”. </w:t>
      </w:r>
    </w:p>
    <w:p w14:paraId="6C2C1B9C"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La relación de los hechos es muy imporante, porque sustentan las pretensiones y son los que debe acreditarse para obtener una restitución o la reparación o compensación de los daños producidos. Igualmente, conforme a lo regulado en los artículos 180, 182, 183, 116, 304 del Código Procesal Penal, servirán de base para el ofrecimiento de la prueba y que el juez determine su admisibilidad, descartando la que no tenga relación con aquellos, o bien se trate de hechos notorios, prueba superabundante, o bien no sean controvertidos. En igual sentido se regula en el artículo 41.3 del nuevo Código Procesal Civil. </w:t>
      </w:r>
    </w:p>
    <w:p w14:paraId="732C2DC6"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El Código Procesal Penal contiene una regulación particular, que permite ampliar los hechos, prácticamente durante todo el proceso. En este sentido la primera enunciación de los hechos se realiza en el escrito de acción civil (art. 112). Luego al concretar las pretensiones, conforme al artículo 308 del Código Procesal Penal, al finalizar la etapa de investigación. Lo anterior porque no se pueden concretar o ampliar pretensiones que no esten sustentadas en los hechos. Finalmente, antes del inicio del juicio, es posible ampliar los hechos, por daños que surjan con posterioridad a la concresión de pretensiones que exige el artículo 308 del Código Procesal. Así se regula en el artículo 357 Ibídem. </w:t>
      </w:r>
    </w:p>
    <w:p w14:paraId="00E4F9BF"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En síntesis, el Código Procesal Penal contiene una regulación adecuada, que permite al actor civil ampliar los hechos, durante todo el proceso, conforme se presenten nuevos daños. Esto es muy importante porque es un hecho notorio la mora judicial en materia penal, que requiere de un tiempo considerable para que la sentencia quede firme y se obtenga el derecho a la reparación. </w:t>
      </w:r>
    </w:p>
    <w:p w14:paraId="6B4DCEC1"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Otro de los requisitos necesarios en la acción civil es la justificación procesal y sustantiva. Debe indicarse, desde el escrito de acción civil, las razones por las cuales se justifica la demanda. Esto es importante ahora, por el cambio introducido por el nuevo Código Procesal Penal que contiene la demanda improponible, sobre lo cual se analizará luego. </w:t>
      </w:r>
    </w:p>
    <w:p w14:paraId="2301AF10"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Igualmente, debe ofrecerse la prueba en que se sustentan las pretensiones de reparación.  El Código Procesal Penal permite ofrecer la prueba con posterioridad a la presentación de la acción civil, cuando se contesta la audiencia del artículo 308. Sin embargo, es recomendable ofrecerla desde el escrito inicial.</w:t>
      </w:r>
    </w:p>
    <w:p w14:paraId="12A5BBE0"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Sobre el tema probatorio, el Código Procesal Penal contiene reglas precisas y particulares, como el que el actor civil declara como testigo (art. 116). Ahora bien, si es importante tomar en cuenta la modificación que se ha introducido al nuevo Código Procesal Civil, en cuanto a la carga dinámica de la prueba. El artículo 41 del NCPC dispone que la carga de la prueba incumbe al actor sobre los hechos constitutivos de su derecho; y al demandado sobre los hechos impeditivos, modificativos o extintivos del derecho del actor. </w:t>
      </w:r>
    </w:p>
    <w:p w14:paraId="7B2549A7" w14:textId="77777777" w:rsidR="00912169" w:rsidRPr="004B4815" w:rsidRDefault="00912169" w:rsidP="00912169">
      <w:pPr>
        <w:spacing w:before="120" w:after="200" w:line="240" w:lineRule="auto"/>
        <w:jc w:val="both"/>
        <w:rPr>
          <w:rFonts w:ascii="Palatino Linotype" w:hAnsi="Palatino Linotype" w:cs="Arial"/>
        </w:rPr>
      </w:pPr>
      <w:r w:rsidRPr="004B4815">
        <w:rPr>
          <w:rFonts w:ascii="Palatino Linotype" w:hAnsi="Palatino Linotype" w:cs="Arial"/>
        </w:rPr>
        <w:tab/>
        <w:t xml:space="preserve">Agrega el artículo 41.1.2. </w:t>
      </w:r>
      <w:r w:rsidRPr="004B4815">
        <w:rPr>
          <w:rFonts w:ascii="Palatino Linotype" w:hAnsi="Palatino Linotype" w:cs="Arial"/>
          <w:i/>
        </w:rPr>
        <w:t xml:space="preserve">“ Para la aplicación de lo dispuesto en los incisos anteriores de este artículo, se deberá tener presente la disponibilidad y facilidad probatoria que corresponde a cada una de las partes, de acuerdo con la naturaleza de lo debatido”.  </w:t>
      </w:r>
      <w:r w:rsidRPr="004B4815">
        <w:rPr>
          <w:rFonts w:ascii="Palatino Linotype" w:hAnsi="Palatino Linotype" w:cs="Arial"/>
        </w:rPr>
        <w:t>Esta es la novedad del Código Procesal Civil vigente, que establece la obligación de probar a quien esté en mejor posibilidad de hacerlo.</w:t>
      </w:r>
    </w:p>
    <w:p w14:paraId="60877E3B" w14:textId="77777777" w:rsidR="00912169" w:rsidRPr="004B4815" w:rsidRDefault="00912169" w:rsidP="00912169">
      <w:pPr>
        <w:spacing w:before="120" w:after="200" w:line="240" w:lineRule="auto"/>
        <w:jc w:val="both"/>
        <w:rPr>
          <w:rFonts w:ascii="Palatino Linotype" w:hAnsi="Palatino Linotype" w:cs="Arial"/>
        </w:rPr>
      </w:pPr>
      <w:r w:rsidRPr="004B4815">
        <w:rPr>
          <w:rFonts w:ascii="Palatino Linotype" w:hAnsi="Palatino Linotype" w:cs="Arial"/>
        </w:rPr>
        <w:tab/>
        <w:t xml:space="preserve">A nuestro juicio el último párrafo de la norma que estipla que las normas precedentes se aplicarán siempre que una disposición legal expresa no distribuya con criterios especiales la carga de la prueba, deja vigentes la carga de la prueba en los casos de responsabilidad civil objetiva que se contemplan, entre otros, en artículo 1048 del Código Civil, 35 de la ley 7472 y la Ley General de la Administración Pública. </w:t>
      </w:r>
    </w:p>
    <w:p w14:paraId="4902934C" w14:textId="77777777" w:rsidR="00912169" w:rsidRPr="004B4815" w:rsidRDefault="00912169" w:rsidP="00912169">
      <w:pPr>
        <w:spacing w:before="120" w:after="200" w:line="240" w:lineRule="auto"/>
        <w:ind w:firstLine="708"/>
        <w:jc w:val="both"/>
        <w:rPr>
          <w:rFonts w:ascii="Palatino Linotype" w:hAnsi="Palatino Linotype" w:cs="Arial"/>
          <w:b/>
        </w:rPr>
      </w:pPr>
      <w:r w:rsidRPr="004B4815">
        <w:rPr>
          <w:rFonts w:ascii="Palatino Linotype" w:hAnsi="Palatino Linotype" w:cs="Arial"/>
          <w:b/>
        </w:rPr>
        <w:t>IV. El traslado de la acción civil</w:t>
      </w:r>
    </w:p>
    <w:p w14:paraId="02D999BD"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En primer término, el traslado de la acción civil resarcitoria se producirá cuando cumpla con los requisitos ya analizados. En caso de que no sea así, debe el representante del Ministerio Público, en delitos de acción pública o de acción pública a instancia privada, o el Tribunal de Juicio, en delitos de acción privada, ordenar la corrección de los defectos conforme lo autorizan los artículos 15, 115 del Código Procesal Penal y 35. 4 del nuevo Código Procesal Civil. </w:t>
      </w:r>
    </w:p>
    <w:p w14:paraId="70EB93F1"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Si la parte corrige los defectos se ralizará el traslado. En caso de que no lo haga, el Ministerio Público no deberá dar traslado a la acción civil y, en la etapa intermedia, al Juez Penal le corresponderá decretar la inadmisibilidad. En todo caso, sobre la decisión del Ministerio Público de no dar el traslado, la parte puede acudir al Juzgado Penal, para pedir lo anterior, conforme se autoriza en los artículos 203 y 292 del Código Procesal Penal. </w:t>
      </w:r>
    </w:p>
    <w:p w14:paraId="18976BCF"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El Código Procesal Penal no contiene reglas claras sobre el traslado de la acción civil al demandado. Únicamente el artículo 115 de dicho cuerpo normativo establece que el Ministerio Público comunicará la existencia de la acción civil al imputado, al demandado civil y a los defensores. Además, que el demandado podrá oponerse a la participación del actor civil, planteando las excepciones que correspondan, las que se pondrán en conocimiento del actor civil y la resolución se reserva para la audiencia preliminar. </w:t>
      </w:r>
    </w:p>
    <w:p w14:paraId="040F93EF"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No indica la norma el plazo por el cual debe darse traslado de la acción civil, tampoco las consecuencias de no contestar, así como la forma en que debe realizarse.</w:t>
      </w:r>
    </w:p>
    <w:p w14:paraId="64AADFFC"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Sobre el plazo de traslado se estima que debe utilizarse el plazo de 5 días, que también se utiliza para el traslado de la acción civil, en casos de delitos de acción privada que se tramitan ante el Tribunal de Juicio (art. 380 del Código Procesal Penal).  Además, el artículo 15 ibídem, establece como máximo 5 días para corregir defectos en las instancias de constitución de los sujetos procesales. </w:t>
      </w:r>
    </w:p>
    <w:p w14:paraId="0A5FAE2D"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Aclarado esto debe acudirse al nuevo Código Procesal Civil, para establecer el contenido del traslado, y la consecuencia de que no se conteste el emplazamiento, conforme a la remisión que realiza el artículo 109 del Código Penal. En los artículos 36 y 37 del Código Procesal Civil regulan esta materia. La resolución que realiza el traslado debe indicar el plazo y la forma en que debe hacerlo, así como las consecuencias.  En primer término debe prevenirse que debe constestar los hechos de la demanda, en el orden que fueron expuestos, indicando, en forma razonada, si los rechaza por inexactos, si los admite como ciertos, con variantes o rectificaciones, o si los desconoce de manera absoluta. También, que el demandado debe manifestar con claridad su posición sobre la pretensión y su estimación, los fundamentos legales y la prueba ofrecida por el actor. Además, que debe aportar la prueba en la misma forma que la demanda. Si no los contesta de esa forma se previene y se otorgan cinco días. Si no cumple se tienen por admitidos los hechos de la acción civil. </w:t>
      </w:r>
    </w:p>
    <w:p w14:paraId="13A9AFD8"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Es muy importante que los Fiscales y los Jueces del Tribunal de Juicio acaten esta normativa, que se encuentra vigente. La práctica actual no cumpla con estas exigencias y al no responder el demandado civil, no sufre alguna consecuencia. </w:t>
      </w:r>
    </w:p>
    <w:p w14:paraId="6FCBAD7C"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Debe agregarse que además de contestar los hechos, el demandado civil puede oponer excepciones, y ofrecer la prueba para sustentarlas.  El artículo   37.3 del nuevo Código Procesal Civil, ha establecido que son admisibles, como excepciones procesales: la falta de competencia, el acuerdo arbitral, listisconsorcio necesario incompleto, indebida acumulación de pretensiones y litispendencia.  </w:t>
      </w:r>
    </w:p>
    <w:p w14:paraId="73CB5AD7"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Además, se puede oponer cualquier excepción material que extinga la obligación de reparar, entre otras las contenidas en el artículo 633 del Código Civil: pago, la compensación, novación, la remisión, la confusión, un evento que haga imposible el cumplimiento, la anulación o rescisión y por la prescripción.  Tambien se puede oponer la falta de derecho, falta de legitimación y falta de interés. </w:t>
      </w:r>
    </w:p>
    <w:p w14:paraId="5B68E06A"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El art. 37.2 del nuevo Código Procesal Penal exige que las excepciones se formulen con la oposición a la acción civil. Sin embargo, el Código Procesal Penal contiene regla expresa que permite oponer excepciones cuando el Juzgado Penal convoque a audiencia preliminar y ponga en conocimiento de las partes todas las actuaciones (art. 316 y 317). </w:t>
      </w:r>
    </w:p>
    <w:p w14:paraId="61763B84" w14:textId="77777777" w:rsidR="00912169" w:rsidRPr="004B4815" w:rsidRDefault="00912169" w:rsidP="00912169">
      <w:pPr>
        <w:spacing w:before="120" w:after="200" w:line="240" w:lineRule="auto"/>
        <w:ind w:firstLine="708"/>
        <w:jc w:val="both"/>
        <w:rPr>
          <w:rFonts w:ascii="Palatino Linotype" w:hAnsi="Palatino Linotype" w:cs="Arial"/>
          <w:b/>
        </w:rPr>
      </w:pPr>
      <w:r w:rsidRPr="004B4815">
        <w:rPr>
          <w:rFonts w:ascii="Palatino Linotype" w:hAnsi="Palatino Linotype" w:cs="Arial"/>
          <w:b/>
        </w:rPr>
        <w:t xml:space="preserve">V.  Trámite de la acción civil en la audencia preliminar </w:t>
      </w:r>
    </w:p>
    <w:p w14:paraId="0FD61E35"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En lo relativo a la acción civil resarcitoria, el Juzgado Penal debe decidir si admite los hechos, las pruebas y la constitución de las partes civiles (arts. 115, 318 a 320 del Código Procesal Penal). </w:t>
      </w:r>
    </w:p>
    <w:p w14:paraId="24519645"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Anteriormente se había sostenido que el Juzgado Penal sólo estaba autorizado para conocer la oposición y las excepciones formales. Las materiales quedaban para sentencia.</w:t>
      </w:r>
    </w:p>
    <w:p w14:paraId="68FEA5B0"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Con la entrada en vigencia del nuevo Código Procesal Civil, existe la opción de que el Juzgado Penal entre a conocer excepciones materiales, a través del instituto de la demanda improponible, que se contempla en el artículo 35.5. </w:t>
      </w:r>
    </w:p>
    <w:p w14:paraId="0C273BDD"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Esta norma dispone que será rechazada de oficio o a petición de parte, mediante sentencia anticipada, dictada al inicio o en cualquier estado del proceso, la demanda manifiestamente improponible. Esto ocurre: 1) cuando el bojeto o la pretensión sean evidentemente contrarios al ordenamiento, imposibles, absurdos o carentes de interés; 2) se ejercite en fraude procesal o con abuso del proceso; 3) exista caducidad; 4) cuando exista cosa juzgada; 5) exista una evidente falta de legitimación activa; 6) en proceso anterior fue renunciado el derecho; 7) el derecho hubiese sido conciliado o transado con anterioridad; 8) El proceso se refiera a nulidades procesales que han debido alegarse en el proceso donde se causaron; 9) Sea evidente la falta de un presupuesto material o esencial de la pretensión. </w:t>
      </w:r>
    </w:p>
    <w:p w14:paraId="5830487A"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Esta es una modificación esencial en la legislación procesal civil, aplicable al proceso penal, por la remisión ya analizada y que permitirá rechazar acciones civiles resarcitorias, cuando sea evidente la presencia de alguna de esas causales, en lo esencial, la falta de uno de los presupuestos materiales, como son el derecho (evento, daños, relación causal, criterio de imputación); la falta de legitimación pasiva o activa y la falta de interés. </w:t>
      </w:r>
    </w:p>
    <w:p w14:paraId="4F595D31" w14:textId="77777777" w:rsidR="00912169" w:rsidRPr="004B4815" w:rsidRDefault="00912169" w:rsidP="00912169">
      <w:pPr>
        <w:spacing w:before="120" w:after="200" w:line="240" w:lineRule="auto"/>
        <w:ind w:firstLine="708"/>
        <w:jc w:val="both"/>
        <w:rPr>
          <w:rFonts w:ascii="Palatino Linotype" w:hAnsi="Palatino Linotype" w:cs="Arial"/>
          <w:i/>
        </w:rPr>
      </w:pPr>
      <w:r w:rsidRPr="004B4815">
        <w:rPr>
          <w:rFonts w:ascii="Palatino Linotype" w:hAnsi="Palatino Linotype" w:cs="Arial"/>
        </w:rPr>
        <w:t>Como bien señalan Artavia y Picado (2017, T.I, pp. 578 y 579), “…</w:t>
      </w:r>
      <w:r w:rsidRPr="004B4815">
        <w:rPr>
          <w:rFonts w:ascii="Palatino Linotype" w:hAnsi="Palatino Linotype" w:cs="Arial"/>
          <w:i/>
        </w:rPr>
        <w:t>Desde antes de la promulgación del NCPC habíamos advertido la posibilidad de que el juez podía rechazar una demanda improponible, aun sin texto legal expreso, en los ejemplos de los procesos denominados popularmente como nacidos muertos o demandas claramente improcedentes o improponibles que no conducen a nada…Por otra parte, la figura tiene fundamento en la celeridad procesal, pues si un asunto se puede resolver anticipada y preliminarmente, activar todo el aparato jurisdiccional sin consumir todos los actos, constituye sin duda una de las funciones que permite al tribunal “Desechar cualquier solicitud o incidencia notorialmente improcedente o que implique una dilación manifiesta; b- Dirigir el proceos y velar por su pronta solución” bajo las potestades oficiosas -arts. 2.3, 5.1 y 5.2 del NCPC…”</w:t>
      </w:r>
    </w:p>
    <w:p w14:paraId="3258F7B8" w14:textId="77777777" w:rsidR="00912169" w:rsidRPr="004B4815" w:rsidRDefault="00912169" w:rsidP="00912169">
      <w:pPr>
        <w:spacing w:before="120" w:after="200" w:line="240" w:lineRule="auto"/>
        <w:ind w:firstLine="708"/>
        <w:jc w:val="both"/>
        <w:rPr>
          <w:rFonts w:ascii="Palatino Linotype" w:hAnsi="Palatino Linotype" w:cs="Arial"/>
          <w:b/>
          <w:i/>
        </w:rPr>
      </w:pPr>
      <w:r w:rsidRPr="004B4815">
        <w:rPr>
          <w:rFonts w:ascii="Palatino Linotype" w:hAnsi="Palatino Linotype" w:cs="Arial"/>
          <w:b/>
        </w:rPr>
        <w:t>VI. La sentencia sobre acción civil resarcitoria</w:t>
      </w:r>
      <w:r w:rsidRPr="004B4815">
        <w:rPr>
          <w:rFonts w:ascii="Palatino Linotype" w:hAnsi="Palatino Linotype" w:cs="Arial"/>
          <w:b/>
          <w:i/>
        </w:rPr>
        <w:t xml:space="preserve"> </w:t>
      </w:r>
    </w:p>
    <w:p w14:paraId="1A241C4C"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El artículo 363 del Código Procesal Penal regula, adecuadamente los requisitos de la sentencia, que incluye la decisión sobre el tema civil. </w:t>
      </w:r>
    </w:p>
    <w:p w14:paraId="765E49E7"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Se exige, en primer término a) la mención del tribunal, el lugar y la fecha en la que se ha dictado, el nombre de los jueces y las partes, los datos personales del imputado y la enunciación del hecho que ha sido objeto de juicio.  Esta regla obliga a que, en los resultandos, se incluya los hechos que sustentan la acción civil y la oposición a ésta, y no solo los hechos de la acusación. Se trata de un requisito que pocos tribunales de juicio cumplen.</w:t>
      </w:r>
    </w:p>
    <w:p w14:paraId="1A4608E6"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El segundo apsecto es el voto de los jueces sobre las cuestiones planteadas en la deliberación, con exposición de los motivos de hecho y de derecho en que los fundan, sin perjuicio de que se adhieran a las consideraciones y conclusiones formuladas por quien votó en primer término.  Esta disposición obliga a la motivación fáctica, intelectiva y jurídica de la sentencia.  El Tribunal debe indicar, las razones por las cuales decide sobre la acción civil, analizando los hechos, si han sido acreditados y la consecuencia jurídica, en especial, valorando la presencia de los presupuestos materiales del fallo.</w:t>
      </w:r>
    </w:p>
    <w:p w14:paraId="0BD01B47"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El otro requisito es la determinación precisa y circunstanciada del hecho que el tribunal estima acreditado. Para respetar el principio de congruencia, que ya fue objeto de análisis, los hechos demostrados, en el tema civil, no pueden ser diferentes a los demandados o a los que contiene la oposición a la acción civil resarcitoria, pues se violaría el principio de congruencia. Lo propio ocurría si se otorga una pretensión diferente o no contemplada en las formuladas por las partes. </w:t>
      </w:r>
    </w:p>
    <w:p w14:paraId="49B31D5A"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Otro requisito es la parte dispositiva, con mención de las normas aplicables. Se trata de un resumen de lo contemplado en la parte considerativa.</w:t>
      </w:r>
    </w:p>
    <w:p w14:paraId="7779E620"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La firma de los jueces el es otro requisito esencial de la sentencia, cuya ausencia podría motivar la nulidad del fallo. </w:t>
      </w:r>
    </w:p>
    <w:p w14:paraId="1A7E5110"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El artículo 61.2 del nuevo Código Procesal Civil, regula los requisitos de la sentencia civil, que no diferen, en lo esencial, de la norma contenida en el Código Procesal Penal.  </w:t>
      </w:r>
    </w:p>
    <w:p w14:paraId="7AF89AF7" w14:textId="77777777" w:rsidR="00912169" w:rsidRPr="004B4815" w:rsidRDefault="00912169" w:rsidP="00912169">
      <w:pPr>
        <w:spacing w:before="120" w:after="200" w:line="240" w:lineRule="auto"/>
        <w:ind w:firstLine="708"/>
        <w:jc w:val="both"/>
        <w:rPr>
          <w:rFonts w:ascii="Palatino Linotype" w:hAnsi="Palatino Linotype" w:cs="Arial"/>
          <w:b/>
        </w:rPr>
      </w:pPr>
      <w:r w:rsidRPr="004B4815">
        <w:rPr>
          <w:rFonts w:ascii="Palatino Linotype" w:hAnsi="Palatino Linotype" w:cs="Arial"/>
          <w:b/>
        </w:rPr>
        <w:t xml:space="preserve">VII. Medios de impugnación </w:t>
      </w:r>
    </w:p>
    <w:p w14:paraId="2E5DF2DD"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El proceso penal cuenta hoy con un sistema donde, en primer término debe impugnarse el fallo a través del recurso de apelación de sentencia (arts. 458 a 466, que es sumamente flexible y, en lo relativo a lo penal, permite que el tribunal, de oficio, además de los vicios alegados por las partes, puedan entrar a conocer los vicios absolutos o los violatorios al debido proceso. Sin embargo, estimamos que lo anterior sólo rige para la condena penal, por la grave consecuencia que tiene, como puede ser la privación de libertad de una persona. </w:t>
      </w:r>
    </w:p>
    <w:p w14:paraId="653AC8F2"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Para el tema civil, que se rige por los principios de rogación y dispositivo, debe el actor civil o el demandado formular el recurso de apelación, cuando estimen que se han lesionado sus derechos y no podrá el tribunal entrar a conocer otros vicios que los alegados por las partes. Es decir, no rige la amplitud con que cuenta el tribunal para la cuestión penal, por los referidos principios. </w:t>
      </w:r>
    </w:p>
    <w:p w14:paraId="1B3BE2C1"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Esto ha sido contemplado expresamente en el artículo 116 del Código Procesal Penal, que regula que el actor civil sólo podrá recurrir las resoluciones únicamente en lo concerniente a la acción por él interpuesta. Además, el artículo 446 ibídem, seála que “El recurso atribuirá al tribunal de alzada el conocimiento del proceso, sólo en cuanto a los puntos de la resolución a que se refieran los agravios. En síntesis, la vigencia de estas normas y de los principios apuntados, impiden al tribunal conocer de vicios no alegados por las partes civiles, en el recurso de apelación de sentencia.</w:t>
      </w:r>
    </w:p>
    <w:p w14:paraId="6376BCBC"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Igualmente, se ha previsto el recurso de casación (arts. 467 a  475 del Código Procesal Penal), contra la sentencia del tribunal de apelación de sentencia, pero con muchas limitaciones. No se recibe prueba; los motivos son muy limitados y la Sala de Casación Penal es muy estricta al conocer sobre la admisibilidad de la casación. </w:t>
      </w:r>
    </w:p>
    <w:p w14:paraId="5D336218"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Las causales tiene que ver con la presencia de precedentes contradictorios dictados por tribunales de apelación de sentencia o de estos con precedentes de la Sala de Casación Penal. Esta regla es muy importante, porque permite a la Sala Penal disponer, en último término sobre la gran cantidad de criterios que tienen los tribunales de apelación.  Aunque en algunos casos no se comparten los criterios de la Sala de Casación, al menos permite cumplir con el principio de seguridad, o de saber a qué atenerse sobre la forma en que deben resolverse los conflictos, al interpretar disposiciones formales o sustantivas.</w:t>
      </w:r>
    </w:p>
    <w:p w14:paraId="17471ED8"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El otro motivo es cuando la sentencia inobserve o aplique errónemente un precepto legal sustantivo o procesal. Lo anterior no es ni más ni menos que la violación al debido proceso, conforme a la jurisprudencia que ha desarrollado la Sala Constitucional de la Corte Suprema de Justicia.</w:t>
      </w:r>
    </w:p>
    <w:p w14:paraId="1E76FC11"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En cuanto a la aplicación incorrecta de un precepto sustantivo no existe mayor problema. Sería discutir si con los hechos tenidos por demostrados cabía la aplicación de otra norma sustantiva de carácter civil, conforme a la materia que interesa. </w:t>
      </w:r>
    </w:p>
    <w:p w14:paraId="55B0E979"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En relación con el aspecto formal, la Sala de Casación ha limitado el recurso a los casos en que se ha presentado una ausencia de motiva porque no ha resuelto algún motivo del recurso de apelación, o la decisión constituye un absurdo, lo cual no es usual ante la solida formación de los miembros de los tribunales de apelación. </w:t>
      </w:r>
    </w:p>
    <w:p w14:paraId="7EF9A3DD"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En todo caso el problema se ha presentado por los criterios de admisibilidad que ha venido sosteniendo la Sala de Casación, lo que podría variar con los nombramientos de nuevos Magistrados que se avecinan. </w:t>
      </w:r>
    </w:p>
    <w:p w14:paraId="4A105E7B" w14:textId="77777777" w:rsidR="00912169" w:rsidRPr="004B4815" w:rsidRDefault="00912169" w:rsidP="00912169">
      <w:pPr>
        <w:spacing w:before="120" w:after="200" w:line="240" w:lineRule="auto"/>
        <w:ind w:firstLine="708"/>
        <w:jc w:val="both"/>
        <w:rPr>
          <w:rFonts w:ascii="Palatino Linotype" w:hAnsi="Palatino Linotype" w:cs="Arial"/>
        </w:rPr>
      </w:pPr>
      <w:r w:rsidRPr="004B4815">
        <w:rPr>
          <w:rFonts w:ascii="Palatino Linotype" w:hAnsi="Palatino Linotype" w:cs="Arial"/>
        </w:rPr>
        <w:t xml:space="preserve">Tomando en cuenta la amplia regulación que contiene el Código Procesal Penal, nos parece que no existe necesidad de acudir al Código Procesal Civil, en materia de medios de impugnación. </w:t>
      </w:r>
    </w:p>
    <w:p w14:paraId="71055EA3" w14:textId="77777777" w:rsidR="00912169" w:rsidRPr="004B4815" w:rsidRDefault="00912169" w:rsidP="00912169">
      <w:pPr>
        <w:spacing w:before="120" w:after="200" w:line="240" w:lineRule="auto"/>
        <w:jc w:val="both"/>
        <w:rPr>
          <w:rFonts w:ascii="Palatino Linotype" w:hAnsi="Palatino Linotype" w:cs="Arial"/>
        </w:rPr>
      </w:pPr>
      <w:r w:rsidRPr="004B4815">
        <w:rPr>
          <w:rFonts w:ascii="Palatino Linotype" w:hAnsi="Palatino Linotype" w:cs="Arial"/>
        </w:rPr>
        <w:tab/>
        <w:t xml:space="preserve">Para finalizar, es importante indicar que el artículo 65.6 del nuevo Código Procesal Civil, en materia de impugnaciones, prohíbe lo relativo a la reforma en perjuicio. En el Código Procesal Penal está previsto este principio, pero exclusivamente para la cuestión penal, conforme deriva del artículo 447. De tal manera que el artículo 65.6 del nuevo Código Procesal Civil rige para el proceso penal, en cuanto al tema civil, conforme a la referida remisión del Código Penal a esta normativa. </w:t>
      </w:r>
    </w:p>
    <w:p w14:paraId="760C77C4" w14:textId="77777777" w:rsidR="00912169" w:rsidRPr="004B4815" w:rsidRDefault="00912169" w:rsidP="00912169">
      <w:pPr>
        <w:spacing w:before="120" w:after="200" w:line="240" w:lineRule="auto"/>
        <w:jc w:val="both"/>
        <w:rPr>
          <w:rFonts w:ascii="Palatino Linotype" w:hAnsi="Palatino Linotype" w:cs="Arial"/>
        </w:rPr>
      </w:pPr>
      <w:r w:rsidRPr="004B4815">
        <w:rPr>
          <w:rFonts w:ascii="Palatino Linotype" w:hAnsi="Palatino Linotype" w:cs="Arial"/>
        </w:rPr>
        <w:tab/>
      </w:r>
      <w:r w:rsidRPr="004B4815">
        <w:rPr>
          <w:rFonts w:ascii="Palatino Linotype" w:hAnsi="Palatino Linotype" w:cs="Arial"/>
          <w:b/>
        </w:rPr>
        <w:t xml:space="preserve">VIII.  Conclusiones           </w:t>
      </w:r>
    </w:p>
    <w:p w14:paraId="575B916A" w14:textId="77777777" w:rsidR="00912169" w:rsidRPr="004B4815" w:rsidRDefault="00912169" w:rsidP="00912169">
      <w:pPr>
        <w:spacing w:before="120" w:after="200" w:line="240" w:lineRule="auto"/>
        <w:jc w:val="both"/>
        <w:rPr>
          <w:rFonts w:ascii="Palatino Linotype" w:hAnsi="Palatino Linotype" w:cs="Arial"/>
        </w:rPr>
      </w:pPr>
      <w:r w:rsidRPr="004B4815">
        <w:rPr>
          <w:rFonts w:ascii="Palatino Linotype" w:hAnsi="Palatino Linotype" w:cs="Arial"/>
        </w:rPr>
        <w:tab/>
        <w:t>En Costa Rica se permite el ejercicio de la acción civil resarcitoria en el proceso penal, para procurar la restitución del bien, o la reparación o compensación de los daños y perjuicios.    Se trata de un proceso civil dentro del proceso penal.</w:t>
      </w:r>
    </w:p>
    <w:p w14:paraId="6EE6690B" w14:textId="77777777" w:rsidR="00912169" w:rsidRPr="004B4815" w:rsidRDefault="00912169" w:rsidP="00912169">
      <w:pPr>
        <w:spacing w:before="120" w:after="200" w:line="240" w:lineRule="auto"/>
        <w:jc w:val="both"/>
        <w:rPr>
          <w:rFonts w:ascii="Palatino Linotype" w:hAnsi="Palatino Linotype" w:cs="Arial"/>
        </w:rPr>
      </w:pPr>
      <w:r w:rsidRPr="004B4815">
        <w:rPr>
          <w:rFonts w:ascii="Palatino Linotype" w:hAnsi="Palatino Linotype" w:cs="Arial"/>
        </w:rPr>
        <w:tab/>
        <w:t>El artículo 109 del Código Penal realiza una remisión al Código Procesal Civil, en lo relativo al proceso de reparación de daños y perjuicios, lo que implica que esta normativa rige para suplir la ausencia o deficiencia de la normativa vigente en el Código Procesal Penal, sobre el trámite de la acción civil resarcitoria.</w:t>
      </w:r>
    </w:p>
    <w:p w14:paraId="1858CD86" w14:textId="77777777" w:rsidR="00912169" w:rsidRPr="004B4815" w:rsidRDefault="00912169" w:rsidP="00912169">
      <w:pPr>
        <w:spacing w:before="120" w:after="200" w:line="240" w:lineRule="auto"/>
        <w:jc w:val="both"/>
        <w:rPr>
          <w:rFonts w:ascii="Palatino Linotype" w:hAnsi="Palatino Linotype" w:cs="Arial"/>
        </w:rPr>
      </w:pPr>
      <w:r w:rsidRPr="004B4815">
        <w:rPr>
          <w:rFonts w:ascii="Palatino Linotype" w:hAnsi="Palatino Linotype" w:cs="Arial"/>
        </w:rPr>
        <w:tab/>
        <w:t>El nuevo Código Procesal Civil ha introducido la oralidad, lo que ya se venía produciendo en el proceso penal desde 1975, con la emisión del Código de Procedimientos Penales y se modificó, en 1998, con la entrada en vigencia del Código Procesal Penal, que introdujo mayor oralidad y una serie de garantías a favor de las partes procesales.</w:t>
      </w:r>
    </w:p>
    <w:p w14:paraId="21D15158" w14:textId="77777777" w:rsidR="00912169" w:rsidRPr="004B4815" w:rsidRDefault="00912169" w:rsidP="00912169">
      <w:pPr>
        <w:spacing w:before="120" w:after="200" w:line="240" w:lineRule="auto"/>
        <w:jc w:val="both"/>
        <w:rPr>
          <w:rFonts w:ascii="Palatino Linotype" w:hAnsi="Palatino Linotype" w:cs="Arial"/>
        </w:rPr>
      </w:pPr>
      <w:r w:rsidRPr="004B4815">
        <w:rPr>
          <w:rFonts w:ascii="Palatino Linotype" w:hAnsi="Palatino Linotype" w:cs="Arial"/>
        </w:rPr>
        <w:tab/>
        <w:t>Dentro de las reglas esenciales que deben ser utilizadas en el proceso penal, para el trámite de la acción civil, se encuentran los principios como el de rogación y dispositivo, así como la congruencia, que han sido contemplados en el nuevo Código Procesal Civil, con una correcta regulación.</w:t>
      </w:r>
    </w:p>
    <w:p w14:paraId="762A5144" w14:textId="77777777" w:rsidR="00912169" w:rsidRPr="004B4815" w:rsidRDefault="00912169" w:rsidP="00912169">
      <w:pPr>
        <w:spacing w:before="120" w:after="200" w:line="240" w:lineRule="auto"/>
        <w:jc w:val="both"/>
        <w:rPr>
          <w:rFonts w:ascii="Palatino Linotype" w:hAnsi="Palatino Linotype" w:cs="Arial"/>
        </w:rPr>
      </w:pPr>
      <w:r w:rsidRPr="004B4815">
        <w:rPr>
          <w:rFonts w:ascii="Palatino Linotype" w:hAnsi="Palatino Linotype" w:cs="Arial"/>
        </w:rPr>
        <w:tab/>
        <w:t xml:space="preserve">De igual forma, es necesario utilizar el Código Procesal Civil, para el tema de revisar la admisibilidad de la acción civil y los requisitos del traslado, así como la contestación de la demanda y sus efectos. </w:t>
      </w:r>
    </w:p>
    <w:p w14:paraId="507C95AA" w14:textId="77777777" w:rsidR="00912169" w:rsidRPr="004B4815" w:rsidRDefault="00912169" w:rsidP="00912169">
      <w:pPr>
        <w:spacing w:before="120" w:after="200" w:line="240" w:lineRule="auto"/>
        <w:jc w:val="both"/>
        <w:rPr>
          <w:rFonts w:ascii="Palatino Linotype" w:hAnsi="Palatino Linotype" w:cs="Arial"/>
        </w:rPr>
      </w:pPr>
      <w:r w:rsidRPr="004B4815">
        <w:rPr>
          <w:rFonts w:ascii="Palatino Linotype" w:hAnsi="Palatino Linotype" w:cs="Arial"/>
        </w:rPr>
        <w:tab/>
        <w:t>El cambio introducido en la prueba, al agregarse la prueba dinámica de la prueba, debe ser contemplado en el proceso penal para resolver las acciones civiles y, esencialmente a quién corresponde probar.</w:t>
      </w:r>
    </w:p>
    <w:p w14:paraId="56866D41" w14:textId="77777777" w:rsidR="00912169" w:rsidRPr="004B4815" w:rsidRDefault="00912169" w:rsidP="00912169">
      <w:pPr>
        <w:spacing w:before="120" w:after="200" w:line="240" w:lineRule="auto"/>
        <w:jc w:val="both"/>
        <w:rPr>
          <w:rFonts w:ascii="Palatino Linotype" w:hAnsi="Palatino Linotype" w:cs="Arial"/>
        </w:rPr>
      </w:pPr>
      <w:r w:rsidRPr="004B4815">
        <w:rPr>
          <w:rFonts w:ascii="Palatino Linotype" w:hAnsi="Palatino Linotype" w:cs="Arial"/>
        </w:rPr>
        <w:tab/>
        <w:t>De vital importancia es el instituto de la demanda improponible, pues con esta regulación podrá el juez penal desechar acciones civiles resarcitorias que no tienen sustento alguno y que obedecen a un abuso del derecho, prohibido por el artículo 22 del Código Civil.</w:t>
      </w:r>
    </w:p>
    <w:p w14:paraId="7E1A2FED" w14:textId="77777777" w:rsidR="00912169" w:rsidRPr="004B4815" w:rsidRDefault="00912169" w:rsidP="00912169">
      <w:pPr>
        <w:spacing w:before="120" w:after="200" w:line="240" w:lineRule="auto"/>
        <w:jc w:val="both"/>
        <w:rPr>
          <w:rFonts w:ascii="Palatino Linotype" w:hAnsi="Palatino Linotype" w:cs="Arial"/>
        </w:rPr>
      </w:pPr>
      <w:r w:rsidRPr="004B4815">
        <w:rPr>
          <w:rFonts w:ascii="Palatino Linotype" w:hAnsi="Palatino Linotype" w:cs="Arial"/>
        </w:rPr>
        <w:tab/>
        <w:t>Los requisitos de la sentencia civil en sede penal están adecuadamente regulados en el Código Procesal Penal, y lo propio ocurre con los medios de impugnación.  Sobre lo último se aprecia una posición muy estricta de la Sala de Casación en cuanto a la admisibilidad del recurso de casación.</w:t>
      </w:r>
    </w:p>
    <w:p w14:paraId="4DAD84B8" w14:textId="77777777" w:rsidR="00912169" w:rsidRPr="004B4815" w:rsidRDefault="00912169" w:rsidP="00912169">
      <w:pPr>
        <w:spacing w:before="120" w:after="200" w:line="240" w:lineRule="auto"/>
        <w:jc w:val="both"/>
        <w:rPr>
          <w:rFonts w:ascii="Palatino Linotype" w:hAnsi="Palatino Linotype" w:cs="Arial"/>
        </w:rPr>
      </w:pPr>
      <w:r w:rsidRPr="004B4815">
        <w:rPr>
          <w:rFonts w:ascii="Palatino Linotype" w:hAnsi="Palatino Linotype" w:cs="Arial"/>
        </w:rPr>
        <w:tab/>
        <w:t xml:space="preserve">El principio de no reforma en perjuicio, contemplado en el Código Procesal Civil, debe aplicarse a la acción civil resarcitoria, ante la ausencia de regulación en el Código Procesal Penal, que sólo lo contempla para el tema penal. </w:t>
      </w:r>
    </w:p>
    <w:p w14:paraId="14C956CC" w14:textId="77777777" w:rsidR="00912169" w:rsidRPr="004B4815" w:rsidRDefault="00912169" w:rsidP="00912169">
      <w:pPr>
        <w:spacing w:before="120" w:after="200" w:line="240" w:lineRule="auto"/>
        <w:jc w:val="both"/>
        <w:rPr>
          <w:rFonts w:ascii="Palatino Linotype" w:hAnsi="Palatino Linotype" w:cs="Arial"/>
          <w:b/>
        </w:rPr>
      </w:pPr>
      <w:r w:rsidRPr="004B4815">
        <w:rPr>
          <w:rFonts w:ascii="Palatino Linotype" w:hAnsi="Palatino Linotype" w:cs="Arial"/>
        </w:rPr>
        <w:tab/>
      </w:r>
      <w:r w:rsidRPr="004B4815">
        <w:rPr>
          <w:rFonts w:ascii="Palatino Linotype" w:hAnsi="Palatino Linotype" w:cs="Arial"/>
          <w:b/>
        </w:rPr>
        <w:t>IX. Bibliografía</w:t>
      </w:r>
    </w:p>
    <w:p w14:paraId="0B137C52"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Arnais Serrano, Amaya. (2006). </w:t>
      </w:r>
      <w:r w:rsidRPr="004B4815">
        <w:rPr>
          <w:rFonts w:ascii="Palatino Linotype" w:hAnsi="Palatino Linotype"/>
          <w:u w:val="single"/>
        </w:rPr>
        <w:t>Las partes civiles en el proceso penal.</w:t>
      </w:r>
      <w:r w:rsidRPr="004B4815">
        <w:rPr>
          <w:rFonts w:ascii="Palatino Linotype" w:hAnsi="Palatino Linotype"/>
        </w:rPr>
        <w:t xml:space="preserve"> Valencia, Tirant lo Blanch. </w:t>
      </w:r>
    </w:p>
    <w:p w14:paraId="05950FB6"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Artavia Barrantes, Sergio; Picado Vargas, Carlos. (2016). </w:t>
      </w:r>
      <w:r w:rsidRPr="004B4815">
        <w:rPr>
          <w:rFonts w:ascii="Palatino Linotype" w:hAnsi="Palatino Linotype"/>
          <w:u w:val="single"/>
        </w:rPr>
        <w:t>Curso de Derecho Procesal Civil.</w:t>
      </w:r>
      <w:r w:rsidRPr="004B4815">
        <w:rPr>
          <w:rFonts w:ascii="Palatino Linotype" w:hAnsi="Palatino Linotype"/>
        </w:rPr>
        <w:t xml:space="preserve"> Tomos I y II. San José, Editorial Investigaciones Jurídicas</w:t>
      </w:r>
    </w:p>
    <w:p w14:paraId="42887C41"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Artavia Barrantes, Sergio; Picado Vargas, Carlos. (2017). </w:t>
      </w:r>
      <w:r w:rsidRPr="004B4815">
        <w:rPr>
          <w:rFonts w:ascii="Palatino Linotype" w:hAnsi="Palatino Linotype"/>
          <w:u w:val="single"/>
        </w:rPr>
        <w:t xml:space="preserve">Comentarios al nueveo Código Procesal Civil; </w:t>
      </w:r>
      <w:r w:rsidRPr="004B4815">
        <w:rPr>
          <w:rFonts w:ascii="Palatino Linotype" w:hAnsi="Palatino Linotype"/>
        </w:rPr>
        <w:t xml:space="preserve">Tomos I al IV, 2da edición, San José, Editorial Jurídica Faro. </w:t>
      </w:r>
    </w:p>
    <w:p w14:paraId="091399DD"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Arocena, Gustavo A. (2005). </w:t>
      </w:r>
      <w:r w:rsidRPr="004B4815">
        <w:rPr>
          <w:rFonts w:ascii="Palatino Linotype" w:hAnsi="Palatino Linotype"/>
          <w:u w:val="single"/>
        </w:rPr>
        <w:t xml:space="preserve">La reparación del perjuicio en el proceso penal. </w:t>
      </w:r>
      <w:r w:rsidRPr="004B4815">
        <w:rPr>
          <w:rFonts w:ascii="Palatino Linotype" w:hAnsi="Palatino Linotype"/>
        </w:rPr>
        <w:t>En Reparación de daños en el proceso penal. Córdoba, Editorial Mediterránea.</w:t>
      </w:r>
    </w:p>
    <w:p w14:paraId="50027B5E"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Asencio Mellado, José María. (2000). </w:t>
      </w:r>
      <w:r w:rsidRPr="004B4815">
        <w:rPr>
          <w:rFonts w:ascii="Palatino Linotype" w:hAnsi="Palatino Linotype"/>
          <w:u w:val="single"/>
        </w:rPr>
        <w:t>Derecho Procesal Civil. Parte Primera.</w:t>
      </w:r>
      <w:r w:rsidRPr="004B4815">
        <w:rPr>
          <w:rFonts w:ascii="Palatino Linotype" w:hAnsi="Palatino Linotype"/>
        </w:rPr>
        <w:t xml:space="preserve"> 2ª Edición. Valencia , Tirant lo Blanch.</w:t>
      </w:r>
    </w:p>
    <w:p w14:paraId="0A4394F3"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Asencio Mellado, José María. (2006). </w:t>
      </w:r>
      <w:r w:rsidRPr="004B4815">
        <w:rPr>
          <w:rFonts w:ascii="Palatino Linotype" w:hAnsi="Palatino Linotype"/>
          <w:u w:val="single"/>
        </w:rPr>
        <w:t xml:space="preserve"> La Responsabilidad civil derivada del delito en el Código Penal.</w:t>
      </w:r>
      <w:r w:rsidRPr="004B4815">
        <w:rPr>
          <w:rFonts w:ascii="Palatino Linotype" w:hAnsi="Palatino Linotype"/>
        </w:rPr>
        <w:t xml:space="preserve">  En Derecho y Justicia Penal en el Siglo XXI.  En homenaje al Profesor Antonio González-Cúellar García.  Madrid, Editorial Colex.</w:t>
      </w:r>
    </w:p>
    <w:p w14:paraId="5DB5F2E9"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Chiara Díaz, Carlos Alberto y Obligado, Daniel Horacio. (2007). </w:t>
      </w:r>
      <w:r w:rsidRPr="004B4815">
        <w:rPr>
          <w:rFonts w:ascii="Palatino Linotype" w:hAnsi="Palatino Linotype"/>
          <w:u w:val="single"/>
        </w:rPr>
        <w:t>La reparación del daño en el proceso penal.</w:t>
      </w:r>
      <w:r w:rsidRPr="004B4815">
        <w:rPr>
          <w:rFonts w:ascii="Palatino Linotype" w:hAnsi="Palatino Linotype"/>
        </w:rPr>
        <w:t xml:space="preserve"> Rosario, Nova Tesis Editorial Jurídica S.R.L.</w:t>
      </w:r>
    </w:p>
    <w:p w14:paraId="2834BD2C"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De Ángel Yágüez, Ricardo. (2012). </w:t>
      </w:r>
      <w:r w:rsidRPr="004B4815">
        <w:rPr>
          <w:rFonts w:ascii="Palatino Linotype" w:hAnsi="Palatino Linotype"/>
          <w:u w:val="single"/>
        </w:rPr>
        <w:t>Daños punitivos.</w:t>
      </w:r>
      <w:r w:rsidRPr="004B4815">
        <w:rPr>
          <w:rFonts w:ascii="Palatino Linotype" w:hAnsi="Palatino Linotype"/>
        </w:rPr>
        <w:t xml:space="preserve"> Pamplona, Editorial Aranzadi S.A.</w:t>
      </w:r>
    </w:p>
    <w:p w14:paraId="0A4A0360"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De Ángel Yágüez, Ricardo. (2014). </w:t>
      </w:r>
      <w:r w:rsidRPr="004B4815">
        <w:rPr>
          <w:rFonts w:ascii="Palatino Linotype" w:hAnsi="Palatino Linotype"/>
          <w:u w:val="single"/>
        </w:rPr>
        <w:t>Causalidad en la responsabilidad extracontractual: sobre el arbitrio judicial, la imputación objetiva y otros extremos.</w:t>
      </w:r>
      <w:r w:rsidRPr="004B4815">
        <w:rPr>
          <w:rFonts w:ascii="Palatino Linotype" w:hAnsi="Palatino Linotype"/>
        </w:rPr>
        <w:t xml:space="preserve"> Pamplona, Editorial Aranzadi S.A. </w:t>
      </w:r>
    </w:p>
    <w:p w14:paraId="54702ACD"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Font Serra, Eduardo. (1991). </w:t>
      </w:r>
      <w:r w:rsidRPr="004B4815">
        <w:rPr>
          <w:rFonts w:ascii="Palatino Linotype" w:hAnsi="Palatino Linotype"/>
          <w:u w:val="single"/>
        </w:rPr>
        <w:t>La acción civil en el proceso penal. Su tratamiento procesal.</w:t>
      </w:r>
      <w:r w:rsidRPr="004B4815">
        <w:rPr>
          <w:rFonts w:ascii="Palatino Linotype" w:hAnsi="Palatino Linotype"/>
        </w:rPr>
        <w:t xml:space="preserve"> Madrid, La Ley S.A.</w:t>
      </w:r>
    </w:p>
    <w:p w14:paraId="6E26EBC3"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Galán Cortés, Julio César. (2013). </w:t>
      </w:r>
      <w:r w:rsidRPr="004B4815">
        <w:rPr>
          <w:rFonts w:ascii="Palatino Linotype" w:hAnsi="Palatino Linotype"/>
          <w:u w:val="single"/>
        </w:rPr>
        <w:t>Cuestiones actuales en responsabilidad civil médico-sanitaria (daño desproporcionado, aplicación de la normativa de consumo, consentimiento informado y responsabilidad de las aseguradoras de asistencia sanitaria.</w:t>
      </w:r>
      <w:r w:rsidRPr="004B4815">
        <w:rPr>
          <w:rFonts w:ascii="Palatino Linotype" w:hAnsi="Palatino Linotype"/>
        </w:rPr>
        <w:t xml:space="preserve"> En Derecho de daños 2013.  Pamplona, Editorial Aranzadi S.A. </w:t>
      </w:r>
    </w:p>
    <w:p w14:paraId="662F8A41"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Galán Cortés, Julio César. (2014). </w:t>
      </w:r>
      <w:r w:rsidRPr="004B4815">
        <w:rPr>
          <w:rFonts w:ascii="Palatino Linotype" w:hAnsi="Palatino Linotype"/>
          <w:u w:val="single"/>
        </w:rPr>
        <w:t>Responsabilidad civil médica.</w:t>
      </w:r>
      <w:r w:rsidRPr="004B4815">
        <w:rPr>
          <w:rFonts w:ascii="Palatino Linotype" w:hAnsi="Palatino Linotype"/>
        </w:rPr>
        <w:t xml:space="preserve"> Cuarta Edición. Pamplona, Civitas, Thomson Reuters. </w:t>
      </w:r>
    </w:p>
    <w:p w14:paraId="48D7C78A"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García Amado, Juan Antonio. (2103). </w:t>
      </w:r>
      <w:r w:rsidRPr="004B4815">
        <w:rPr>
          <w:rFonts w:ascii="Palatino Linotype" w:hAnsi="Palatino Linotype"/>
          <w:u w:val="single"/>
        </w:rPr>
        <w:t>Algunos mitos del Derecho de Daños. Causas que no causan e imputaciones objetivas bastante subjetivas.</w:t>
      </w:r>
      <w:r w:rsidRPr="004B4815">
        <w:rPr>
          <w:rFonts w:ascii="Palatino Linotype" w:hAnsi="Palatino Linotype"/>
        </w:rPr>
        <w:t xml:space="preserve"> En Derecho de daños 2013.  Pamplona, Editorial Aranzadi S.A. </w:t>
      </w:r>
    </w:p>
    <w:p w14:paraId="190ED080"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Gómez Calle, Esther. (2013). </w:t>
      </w:r>
      <w:r w:rsidRPr="004B4815">
        <w:rPr>
          <w:rFonts w:ascii="Palatino Linotype" w:hAnsi="Palatino Linotype"/>
          <w:u w:val="single"/>
        </w:rPr>
        <w:t>La contribución de la víctima a la causación del daño.</w:t>
      </w:r>
      <w:r w:rsidRPr="004B4815">
        <w:rPr>
          <w:rFonts w:ascii="Palatino Linotype" w:hAnsi="Palatino Linotype"/>
        </w:rPr>
        <w:t xml:space="preserve"> En Derecho de daños 2013.  Pamplona, Editorial Aranzadi S.A. </w:t>
      </w:r>
    </w:p>
    <w:p w14:paraId="68619065"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Guasp, Jaime. (1998). </w:t>
      </w:r>
      <w:r w:rsidRPr="004B4815">
        <w:rPr>
          <w:rFonts w:ascii="Palatino Linotype" w:hAnsi="Palatino Linotype"/>
          <w:u w:val="single"/>
        </w:rPr>
        <w:t>Derecho Procesal Civil. Tomo I.</w:t>
      </w:r>
      <w:r w:rsidRPr="004B4815">
        <w:rPr>
          <w:rFonts w:ascii="Palatino Linotype" w:hAnsi="Palatino Linotype"/>
        </w:rPr>
        <w:t xml:space="preserve"> 4ª Edición, Revisada y adaptada a la legislación vigente por Pedro Aragoneses. Madrid, Editorial Civitas, S.A. </w:t>
      </w:r>
    </w:p>
    <w:p w14:paraId="01ED60FD"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Juan Sánchez, Ricardo. (2004). </w:t>
      </w:r>
      <w:r w:rsidRPr="004B4815">
        <w:rPr>
          <w:rFonts w:ascii="Palatino Linotype" w:hAnsi="Palatino Linotype"/>
          <w:u w:val="single"/>
        </w:rPr>
        <w:t>La responsabilidad civil en el proceso penal.</w:t>
      </w:r>
      <w:r w:rsidRPr="004B4815">
        <w:rPr>
          <w:rFonts w:ascii="Palatino Linotype" w:hAnsi="Palatino Linotype"/>
        </w:rPr>
        <w:t xml:space="preserve"> Madrid, Editorial La Ley.</w:t>
      </w:r>
    </w:p>
    <w:p w14:paraId="0AAE8BC7"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Loutayf Ranea, Roberto G.; Costas Luis Félix. (2002). </w:t>
      </w:r>
      <w:r w:rsidRPr="004B4815">
        <w:rPr>
          <w:rFonts w:ascii="Palatino Linotype" w:hAnsi="Palatino Linotype"/>
          <w:u w:val="single"/>
        </w:rPr>
        <w:t>La acción civil en sede penal.</w:t>
      </w:r>
      <w:r w:rsidRPr="004B4815">
        <w:rPr>
          <w:rFonts w:ascii="Palatino Linotype" w:hAnsi="Palatino Linotype"/>
        </w:rPr>
        <w:t xml:space="preserve"> Buenos Aires, Editorial Astrea.</w:t>
      </w:r>
    </w:p>
    <w:p w14:paraId="6534F7CE"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Llamas Pombo, Eugenio. (2010). </w:t>
      </w:r>
      <w:r w:rsidRPr="004B4815">
        <w:rPr>
          <w:rFonts w:ascii="Palatino Linotype" w:hAnsi="Palatino Linotype"/>
          <w:u w:val="single"/>
        </w:rPr>
        <w:t>Reflexiones sobre derecho de daños: casos y opiniones.</w:t>
      </w:r>
      <w:r w:rsidRPr="004B4815">
        <w:rPr>
          <w:rFonts w:ascii="Palatino Linotype" w:hAnsi="Palatino Linotype"/>
        </w:rPr>
        <w:t xml:space="preserve"> Madrid, Editorial La Ley S.A.</w:t>
      </w:r>
    </w:p>
    <w:p w14:paraId="3C13989B"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Llamas Pombo, Eugenio y otros (2014). </w:t>
      </w:r>
      <w:r w:rsidRPr="004B4815">
        <w:rPr>
          <w:rFonts w:ascii="Palatino Linotype" w:hAnsi="Palatino Linotype"/>
          <w:u w:val="single"/>
        </w:rPr>
        <w:t>Estudios sobre la responsabilidad sanitaria.</w:t>
      </w:r>
      <w:r w:rsidRPr="004B4815">
        <w:rPr>
          <w:rFonts w:ascii="Palatino Linotype" w:hAnsi="Palatino Linotype"/>
        </w:rPr>
        <w:t xml:space="preserve"> Madrid, Editorial La Ley, S.A.</w:t>
      </w:r>
    </w:p>
    <w:p w14:paraId="56D249C0"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Martín del Peso, Rafael. (2013). </w:t>
      </w:r>
      <w:r w:rsidRPr="004B4815">
        <w:rPr>
          <w:rFonts w:ascii="Palatino Linotype" w:hAnsi="Palatino Linotype"/>
          <w:u w:val="single"/>
        </w:rPr>
        <w:t>El daño moral. Determinación y cuantía. Algunos aspectos de su problemática jurisprudencial.</w:t>
      </w:r>
      <w:r w:rsidRPr="004B4815">
        <w:rPr>
          <w:rFonts w:ascii="Palatino Linotype" w:hAnsi="Palatino Linotype"/>
        </w:rPr>
        <w:t xml:space="preserve">  En Derecho de daños 2013.  Pamplona, Editorial Aranzadi S.A.</w:t>
      </w:r>
    </w:p>
    <w:p w14:paraId="5C64239D"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Martín Ríos, María del Pilar. (2007). </w:t>
      </w:r>
      <w:r w:rsidRPr="004B4815">
        <w:rPr>
          <w:rFonts w:ascii="Palatino Linotype" w:hAnsi="Palatino Linotype"/>
          <w:u w:val="single"/>
        </w:rPr>
        <w:t>El ejercicio de la acción civil en el proceso penal: una aproximación victimológica.</w:t>
      </w:r>
      <w:r w:rsidRPr="004B4815">
        <w:rPr>
          <w:rFonts w:ascii="Palatino Linotype" w:hAnsi="Palatino Linotype"/>
        </w:rPr>
        <w:t xml:space="preserve"> Madrid, Editorial La Ley.</w:t>
      </w:r>
    </w:p>
    <w:p w14:paraId="08B72836"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Maurino, Alberto Luis. (2013). </w:t>
      </w:r>
      <w:r w:rsidRPr="004B4815">
        <w:rPr>
          <w:rFonts w:ascii="Palatino Linotype" w:hAnsi="Palatino Linotype"/>
          <w:u w:val="single"/>
        </w:rPr>
        <w:t>Demanda Civil.</w:t>
      </w:r>
      <w:r w:rsidRPr="004B4815">
        <w:rPr>
          <w:rFonts w:ascii="Palatino Linotype" w:hAnsi="Palatino Linotype"/>
        </w:rPr>
        <w:t xml:space="preserve">   Buenos Aires, Editorial Astrea.</w:t>
      </w:r>
    </w:p>
    <w:p w14:paraId="758E61DA"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Moras Mom, Jorge R. (1996). </w:t>
      </w:r>
      <w:r w:rsidRPr="004B4815">
        <w:rPr>
          <w:rFonts w:ascii="Palatino Linotype" w:hAnsi="Palatino Linotype"/>
          <w:u w:val="single"/>
        </w:rPr>
        <w:t>La acción civil reparatoria y proceso penal.</w:t>
      </w:r>
      <w:r w:rsidRPr="004B4815">
        <w:rPr>
          <w:rFonts w:ascii="Palatino Linotype" w:hAnsi="Palatino Linotype"/>
        </w:rPr>
        <w:t xml:space="preserve"> Buenos Aires, Abeledo-Perrot.</w:t>
      </w:r>
    </w:p>
    <w:p w14:paraId="724CD7E9"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Nadal Gómez, Irene. (2002). </w:t>
      </w:r>
      <w:r w:rsidRPr="004B4815">
        <w:rPr>
          <w:rFonts w:ascii="Palatino Linotype" w:hAnsi="Palatino Linotype"/>
          <w:u w:val="single"/>
        </w:rPr>
        <w:t>El ejercicio de acciones civiles en el proceso penal.</w:t>
      </w:r>
      <w:r w:rsidRPr="004B4815">
        <w:rPr>
          <w:rFonts w:ascii="Palatino Linotype" w:hAnsi="Palatino Linotype"/>
        </w:rPr>
        <w:t xml:space="preserve"> Valencia, Tirant lo Blanch.</w:t>
      </w:r>
    </w:p>
    <w:p w14:paraId="0903FF42"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Nieva Fenoll, Jordi. (2010). </w:t>
      </w:r>
      <w:r w:rsidRPr="004B4815">
        <w:rPr>
          <w:rFonts w:ascii="Palatino Linotype" w:hAnsi="Palatino Linotype"/>
          <w:u w:val="single"/>
        </w:rPr>
        <w:t xml:space="preserve"> La valoración de la prueba.</w:t>
      </w:r>
      <w:r w:rsidRPr="004B4815">
        <w:rPr>
          <w:rFonts w:ascii="Palatino Linotype" w:hAnsi="Palatino Linotype"/>
        </w:rPr>
        <w:t xml:space="preserve"> Madrid, Marcial Pons, Ediciones Jurídicas y Sociales, S.A. </w:t>
      </w:r>
    </w:p>
    <w:p w14:paraId="796432F5"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Olaso Álvarez, Jorge. (2006). </w:t>
      </w:r>
      <w:r w:rsidRPr="004B4815">
        <w:rPr>
          <w:rFonts w:ascii="Palatino Linotype" w:hAnsi="Palatino Linotype"/>
          <w:u w:val="single"/>
        </w:rPr>
        <w:t>La prueba en materia civil.</w:t>
      </w:r>
      <w:r w:rsidRPr="004B4815">
        <w:rPr>
          <w:rFonts w:ascii="Palatino Linotype" w:hAnsi="Palatino Linotype"/>
        </w:rPr>
        <w:t xml:space="preserve"> San José, Editorial Editorama S.A.</w:t>
      </w:r>
    </w:p>
    <w:p w14:paraId="1403D2C0"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Reglero Campos, Fernando. (2013). </w:t>
      </w:r>
      <w:r w:rsidRPr="004B4815">
        <w:rPr>
          <w:rFonts w:ascii="Palatino Linotype" w:hAnsi="Palatino Linotype"/>
          <w:u w:val="single"/>
        </w:rPr>
        <w:t>El nexo causal. Las causas de exoneración de responsabilidad: culpa de la víctima y fuerza mayor. La concurrencia de causas.</w:t>
      </w:r>
      <w:r w:rsidRPr="004B4815">
        <w:rPr>
          <w:rFonts w:ascii="Palatino Linotype" w:hAnsi="Palatino Linotype"/>
        </w:rPr>
        <w:t xml:space="preserve"> En Lecciones de Responsabilidad Civil. Segunda Edición. Pamplona, Editorial Aranzadi S.A. </w:t>
      </w:r>
    </w:p>
    <w:p w14:paraId="71B8B908"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Reglero Campos, Fernando. (2013). </w:t>
      </w:r>
      <w:r w:rsidRPr="004B4815">
        <w:rPr>
          <w:rFonts w:ascii="Palatino Linotype" w:hAnsi="Palatino Linotype"/>
          <w:u w:val="single"/>
        </w:rPr>
        <w:t>Los sistemas de responsabilidad.</w:t>
      </w:r>
      <w:r w:rsidRPr="004B4815">
        <w:rPr>
          <w:rFonts w:ascii="Palatino Linotype" w:hAnsi="Palatino Linotype"/>
        </w:rPr>
        <w:t xml:space="preserve"> En Lecciones de Responsabilidad Civil. Segunda Edición. Pamplona, Editorial Aranzadi S.A. </w:t>
      </w:r>
    </w:p>
    <w:p w14:paraId="569F6B54"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Reglero Campos, Fernando; Busto Lago, José Manuel y otros. (2014).</w:t>
      </w:r>
      <w:r w:rsidRPr="004B4815">
        <w:rPr>
          <w:rFonts w:ascii="Palatino Linotype" w:hAnsi="Palatino Linotype"/>
          <w:i/>
        </w:rPr>
        <w:t xml:space="preserve"> </w:t>
      </w:r>
      <w:r w:rsidRPr="004B4815">
        <w:rPr>
          <w:rFonts w:ascii="Palatino Linotype" w:hAnsi="Palatino Linotype"/>
          <w:u w:val="single"/>
        </w:rPr>
        <w:t>Tratado de responsabilidad civil. Tomos I y II.</w:t>
      </w:r>
      <w:r w:rsidRPr="004B4815">
        <w:rPr>
          <w:rFonts w:ascii="Palatino Linotype" w:hAnsi="Palatino Linotype"/>
        </w:rPr>
        <w:t xml:space="preserve"> Quinta Edición. Pamplona, Editorial Aranzadi S.A. </w:t>
      </w:r>
    </w:p>
    <w:p w14:paraId="3CE5666F"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Taruffo, Michelle. (2008). </w:t>
      </w:r>
      <w:r w:rsidRPr="004B4815">
        <w:rPr>
          <w:rFonts w:ascii="Palatino Linotype" w:hAnsi="Palatino Linotype"/>
          <w:u w:val="single"/>
        </w:rPr>
        <w:t xml:space="preserve">La prueba. </w:t>
      </w:r>
      <w:r w:rsidRPr="004B4815">
        <w:rPr>
          <w:rFonts w:ascii="Palatino Linotype" w:hAnsi="Palatino Linotype"/>
        </w:rPr>
        <w:t xml:space="preserve"> (Traducción de Laura Manríquez y Jordi Ferrer Beltrán), Madrid, Marcial Pons, Ediciones Jurídicas y Sociales S.A.</w:t>
      </w:r>
    </w:p>
    <w:p w14:paraId="47977FE6"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Taruffo, Michelle. (2011). </w:t>
      </w:r>
      <w:r w:rsidRPr="004B4815">
        <w:rPr>
          <w:rFonts w:ascii="Palatino Linotype" w:hAnsi="Palatino Linotype"/>
          <w:u w:val="single"/>
        </w:rPr>
        <w:t>La prueba de los hechos.</w:t>
      </w:r>
      <w:r w:rsidRPr="004B4815">
        <w:rPr>
          <w:rFonts w:ascii="Palatino Linotype" w:hAnsi="Palatino Linotype"/>
        </w:rPr>
        <w:t xml:space="preserve"> (Traducción de Jordi Ferrer Beltrán), Madrid, Editorial Trotta S.A.</w:t>
      </w:r>
    </w:p>
    <w:p w14:paraId="1A1270A6"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Traballini, Mónica. (2005). </w:t>
      </w:r>
      <w:r w:rsidRPr="004B4815">
        <w:rPr>
          <w:rFonts w:ascii="Palatino Linotype" w:hAnsi="Palatino Linotype"/>
          <w:u w:val="single"/>
        </w:rPr>
        <w:t>Demanda y contestación de la demanda.</w:t>
      </w:r>
      <w:r w:rsidRPr="004B4815">
        <w:rPr>
          <w:rFonts w:ascii="Palatino Linotype" w:hAnsi="Palatino Linotype"/>
        </w:rPr>
        <w:t xml:space="preserve"> En Reparación de daños en el proceso penal. Córdoba, Editorial Mediterránea.</w:t>
      </w:r>
    </w:p>
    <w:p w14:paraId="50785ED4"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Sanabria Rojas, Rafael Ángel. (2009). </w:t>
      </w:r>
      <w:r w:rsidRPr="004B4815">
        <w:rPr>
          <w:rFonts w:ascii="Palatino Linotype" w:hAnsi="Palatino Linotype"/>
          <w:u w:val="single"/>
        </w:rPr>
        <w:t>La acción civil resarcitoria. Problemas de aplicación.</w:t>
      </w:r>
      <w:r w:rsidRPr="004B4815">
        <w:rPr>
          <w:rFonts w:ascii="Palatino Linotype" w:hAnsi="Palatino Linotype"/>
        </w:rPr>
        <w:t xml:space="preserve">   En Revista de la Asociación de Ciencias Penales de Costa Rica. Año 21, Nº 26, Mayo 2009.</w:t>
      </w:r>
    </w:p>
    <w:p w14:paraId="34DAD2A4" w14:textId="77777777" w:rsidR="00912169" w:rsidRPr="004B4815" w:rsidRDefault="00912169" w:rsidP="00FB0F44">
      <w:pPr>
        <w:spacing w:before="120" w:after="200" w:line="240" w:lineRule="auto"/>
        <w:jc w:val="both"/>
        <w:rPr>
          <w:rFonts w:ascii="Palatino Linotype" w:hAnsi="Palatino Linotype"/>
        </w:rPr>
      </w:pPr>
      <w:r w:rsidRPr="004B4815">
        <w:rPr>
          <w:rFonts w:ascii="Palatino Linotype" w:hAnsi="Palatino Linotype"/>
        </w:rPr>
        <w:t xml:space="preserve">Sanabria Rojas, Rafael Ángel. (2013). </w:t>
      </w:r>
      <w:r w:rsidRPr="004B4815">
        <w:rPr>
          <w:rFonts w:ascii="Palatino Linotype" w:hAnsi="Palatino Linotype"/>
          <w:u w:val="single"/>
        </w:rPr>
        <w:t>Reparación civil en el proceso penal.</w:t>
      </w:r>
      <w:r w:rsidRPr="004B4815">
        <w:rPr>
          <w:rFonts w:ascii="Palatino Linotype" w:hAnsi="Palatino Linotype"/>
        </w:rPr>
        <w:t xml:space="preserve"> San José, Editorial Editorama S.A.</w:t>
      </w:r>
    </w:p>
    <w:p w14:paraId="259DE1E7" w14:textId="37E5F368" w:rsidR="00311FAA" w:rsidRPr="006229D5" w:rsidRDefault="00912169" w:rsidP="00FB0F44">
      <w:pPr>
        <w:spacing w:before="120" w:after="200" w:line="240" w:lineRule="auto"/>
        <w:jc w:val="both"/>
        <w:rPr>
          <w:rFonts w:ascii="Palatino Linotype" w:hAnsi="Palatino Linotype" w:cs="Arial"/>
          <w:lang w:val="de-DE"/>
        </w:rPr>
      </w:pPr>
      <w:r w:rsidRPr="004B4815">
        <w:rPr>
          <w:rFonts w:ascii="Palatino Linotype" w:hAnsi="Palatino Linotype"/>
        </w:rPr>
        <w:t xml:space="preserve">Satta, Salvatore. (1972). </w:t>
      </w:r>
      <w:r w:rsidRPr="004B4815">
        <w:rPr>
          <w:rFonts w:ascii="Palatino Linotype" w:hAnsi="Palatino Linotype"/>
          <w:u w:val="single"/>
        </w:rPr>
        <w:t xml:space="preserve">Manual de Derecho Procesal Civil. Volumen I.  </w:t>
      </w:r>
      <w:r w:rsidRPr="004B4815">
        <w:rPr>
          <w:rFonts w:ascii="Palatino Linotype" w:hAnsi="Palatino Linotype"/>
        </w:rPr>
        <w:t>Traducción de Santiago Sentís Melendo y Fernando de la Rúa. Buenos Aires, Ediciones Jurídicas Europa-América.</w:t>
      </w:r>
    </w:p>
    <w:sectPr w:rsidR="00311FAA" w:rsidRPr="006229D5" w:rsidSect="0027447C">
      <w:headerReference w:type="even" r:id="rId70"/>
      <w:type w:val="oddPage"/>
      <w:pgSz w:w="12240" w:h="15840" w:code="1"/>
      <w:pgMar w:top="1474" w:right="2098" w:bottom="1021" w:left="2977" w:header="851" w:footer="2835"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Ana Catalina Camacho" w:date="2018-10-16T08:34:00Z" w:initials="ACC">
    <w:p w14:paraId="32CE52A4" w14:textId="77777777" w:rsidR="00E87246" w:rsidRDefault="00E87246" w:rsidP="008057F8">
      <w:pPr>
        <w:pStyle w:val="Textocomentario"/>
      </w:pPr>
      <w:r>
        <w:rPr>
          <w:rStyle w:val="Refdecomentario"/>
        </w:rPr>
        <w:annotationRef/>
      </w:r>
      <w:r>
        <w:t xml:space="preserve">Aquí no das mayores detalles o referencia legal, porque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2CE52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2CE52A4" w16cid:durableId="207C04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AB543" w14:textId="77777777" w:rsidR="003213F1" w:rsidRDefault="003213F1" w:rsidP="00B377B2">
      <w:pPr>
        <w:spacing w:after="0" w:line="240" w:lineRule="auto"/>
      </w:pPr>
      <w:r>
        <w:separator/>
      </w:r>
    </w:p>
  </w:endnote>
  <w:endnote w:type="continuationSeparator" w:id="0">
    <w:p w14:paraId="25A0C9B2" w14:textId="77777777" w:rsidR="003213F1" w:rsidRDefault="003213F1" w:rsidP="00B37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Negrit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sz w:val="20"/>
        <w:szCs w:val="20"/>
      </w:rPr>
      <w:id w:val="1851371825"/>
      <w:docPartObj>
        <w:docPartGallery w:val="Page Numbers (Bottom of Page)"/>
        <w:docPartUnique/>
      </w:docPartObj>
    </w:sdtPr>
    <w:sdtEndPr/>
    <w:sdtContent>
      <w:p w14:paraId="36C6543D" w14:textId="77777777" w:rsidR="00E87246" w:rsidRPr="00E87246" w:rsidRDefault="00E87246">
        <w:pPr>
          <w:pStyle w:val="Piedepgina"/>
          <w:jc w:val="center"/>
          <w:rPr>
            <w:rFonts w:ascii="Palatino Linotype" w:hAnsi="Palatino Linotype"/>
            <w:sz w:val="20"/>
            <w:szCs w:val="20"/>
          </w:rPr>
        </w:pPr>
        <w:r w:rsidRPr="00E87246">
          <w:rPr>
            <w:rFonts w:ascii="Palatino Linotype" w:hAnsi="Palatino Linotype"/>
            <w:sz w:val="20"/>
            <w:szCs w:val="20"/>
          </w:rPr>
          <w:fldChar w:fldCharType="begin"/>
        </w:r>
        <w:r w:rsidRPr="00E87246">
          <w:rPr>
            <w:rFonts w:ascii="Palatino Linotype" w:hAnsi="Palatino Linotype"/>
            <w:sz w:val="20"/>
            <w:szCs w:val="20"/>
          </w:rPr>
          <w:instrText>PAGE   \* MERGEFORMAT</w:instrText>
        </w:r>
        <w:r w:rsidRPr="00E87246">
          <w:rPr>
            <w:rFonts w:ascii="Palatino Linotype" w:hAnsi="Palatino Linotype"/>
            <w:sz w:val="20"/>
            <w:szCs w:val="20"/>
          </w:rPr>
          <w:fldChar w:fldCharType="separate"/>
        </w:r>
        <w:r w:rsidRPr="00E87246">
          <w:rPr>
            <w:rFonts w:ascii="Palatino Linotype" w:hAnsi="Palatino Linotype"/>
            <w:noProof/>
            <w:sz w:val="20"/>
            <w:szCs w:val="20"/>
            <w:lang w:val="es-ES"/>
          </w:rPr>
          <w:t>34</w:t>
        </w:r>
        <w:r w:rsidRPr="00E87246">
          <w:rPr>
            <w:rFonts w:ascii="Palatino Linotype" w:hAnsi="Palatino Linotype"/>
            <w:sz w:val="20"/>
            <w:szCs w:val="20"/>
          </w:rPr>
          <w:fldChar w:fldCharType="end"/>
        </w:r>
      </w:p>
    </w:sdtContent>
  </w:sdt>
  <w:p w14:paraId="719A67C6" w14:textId="77777777" w:rsidR="00E87246" w:rsidRPr="00C35042" w:rsidRDefault="00E87246">
    <w:pPr>
      <w:pStyle w:val="Piedepgina"/>
      <w:rPr>
        <w:sz w:val="26"/>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6"/>
        <w:szCs w:val="26"/>
      </w:rPr>
      <w:id w:val="-104962984"/>
      <w:docPartObj>
        <w:docPartGallery w:val="Page Numbers (Bottom of Page)"/>
        <w:docPartUnique/>
      </w:docPartObj>
    </w:sdtPr>
    <w:sdtEndPr>
      <w:rPr>
        <w:rFonts w:ascii="Palatino Linotype" w:hAnsi="Palatino Linotype"/>
        <w:sz w:val="20"/>
        <w:szCs w:val="20"/>
      </w:rPr>
    </w:sdtEndPr>
    <w:sdtContent>
      <w:p w14:paraId="53D9D924" w14:textId="77777777" w:rsidR="00E87246" w:rsidRPr="00E87246" w:rsidRDefault="00E87246">
        <w:pPr>
          <w:pStyle w:val="Piedepgina"/>
          <w:jc w:val="center"/>
          <w:rPr>
            <w:rFonts w:ascii="Palatino Linotype" w:hAnsi="Palatino Linotype"/>
            <w:sz w:val="20"/>
            <w:szCs w:val="20"/>
          </w:rPr>
        </w:pPr>
        <w:r w:rsidRPr="00E87246">
          <w:rPr>
            <w:rFonts w:ascii="Palatino Linotype" w:hAnsi="Palatino Linotype"/>
            <w:sz w:val="20"/>
            <w:szCs w:val="20"/>
          </w:rPr>
          <w:fldChar w:fldCharType="begin"/>
        </w:r>
        <w:r w:rsidRPr="00E87246">
          <w:rPr>
            <w:rFonts w:ascii="Palatino Linotype" w:hAnsi="Palatino Linotype"/>
            <w:sz w:val="20"/>
            <w:szCs w:val="20"/>
          </w:rPr>
          <w:instrText>PAGE   \* MERGEFORMAT</w:instrText>
        </w:r>
        <w:r w:rsidRPr="00E87246">
          <w:rPr>
            <w:rFonts w:ascii="Palatino Linotype" w:hAnsi="Palatino Linotype"/>
            <w:sz w:val="20"/>
            <w:szCs w:val="20"/>
          </w:rPr>
          <w:fldChar w:fldCharType="separate"/>
        </w:r>
        <w:r w:rsidRPr="00E87246">
          <w:rPr>
            <w:rFonts w:ascii="Palatino Linotype" w:hAnsi="Palatino Linotype"/>
            <w:noProof/>
            <w:sz w:val="20"/>
            <w:szCs w:val="20"/>
            <w:lang w:val="es-ES"/>
          </w:rPr>
          <w:t>33</w:t>
        </w:r>
        <w:r w:rsidRPr="00E87246">
          <w:rPr>
            <w:rFonts w:ascii="Palatino Linotype" w:hAnsi="Palatino Linotype"/>
            <w:sz w:val="20"/>
            <w:szCs w:val="20"/>
          </w:rPr>
          <w:fldChar w:fldCharType="end"/>
        </w:r>
      </w:p>
    </w:sdtContent>
  </w:sdt>
  <w:p w14:paraId="676C1EA1" w14:textId="77777777" w:rsidR="00E87246" w:rsidRPr="00E87246" w:rsidRDefault="00E87246">
    <w:pPr>
      <w:pStyle w:val="Piedepgina"/>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45930" w14:textId="77777777" w:rsidR="00E87246" w:rsidRDefault="00E87246">
    <w:pPr>
      <w:pStyle w:val="Piedepgina"/>
      <w:jc w:val="center"/>
    </w:pPr>
  </w:p>
  <w:p w14:paraId="733E4048" w14:textId="77777777" w:rsidR="00E87246" w:rsidRDefault="00E87246">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A785E" w14:textId="77777777" w:rsidR="00E87246" w:rsidRPr="00BA1B42" w:rsidRDefault="00E87246" w:rsidP="00BA1B42">
    <w:pPr>
      <w:pStyle w:val="Piedepgina"/>
      <w:framePr w:wrap="none" w:vAnchor="text" w:hAnchor="page" w:x="6029" w:y="117"/>
      <w:rPr>
        <w:rStyle w:val="Nmerodepgina"/>
        <w:rFonts w:ascii="Palatino Linotype" w:hAnsi="Palatino Linotype"/>
      </w:rPr>
    </w:pPr>
    <w:r w:rsidRPr="00BA1B42">
      <w:rPr>
        <w:rStyle w:val="Nmerodepgina"/>
        <w:rFonts w:ascii="Palatino Linotype" w:hAnsi="Palatino Linotype"/>
      </w:rPr>
      <w:fldChar w:fldCharType="begin"/>
    </w:r>
    <w:r w:rsidRPr="00BA1B42">
      <w:rPr>
        <w:rStyle w:val="Nmerodepgina"/>
        <w:rFonts w:ascii="Palatino Linotype" w:hAnsi="Palatino Linotype"/>
      </w:rPr>
      <w:instrText xml:space="preserve"> PAGE </w:instrText>
    </w:r>
    <w:r w:rsidRPr="00BA1B42">
      <w:rPr>
        <w:rStyle w:val="Nmerodepgina"/>
        <w:rFonts w:ascii="Palatino Linotype" w:hAnsi="Palatino Linotype"/>
      </w:rPr>
      <w:fldChar w:fldCharType="separate"/>
    </w:r>
    <w:r w:rsidRPr="00BA1B42">
      <w:rPr>
        <w:rStyle w:val="Nmerodepgina"/>
        <w:rFonts w:ascii="Palatino Linotype" w:hAnsi="Palatino Linotype"/>
        <w:noProof/>
      </w:rPr>
      <w:t>632</w:t>
    </w:r>
    <w:r w:rsidRPr="00BA1B42">
      <w:rPr>
        <w:rStyle w:val="Nmerodepgina"/>
        <w:rFonts w:ascii="Palatino Linotype" w:hAnsi="Palatino Linotype"/>
      </w:rPr>
      <w:fldChar w:fldCharType="end"/>
    </w:r>
  </w:p>
  <w:p w14:paraId="55F885AA" w14:textId="77777777" w:rsidR="00E87246" w:rsidRPr="00BA1B42" w:rsidRDefault="00E87246" w:rsidP="00622E7C">
    <w:pPr>
      <w:pStyle w:val="Piedepgina"/>
      <w:ind w:right="360"/>
      <w:rPr>
        <w:rFonts w:ascii="Palatino Linotype" w:hAnsi="Palatino Linotyp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948E8" w14:textId="77777777" w:rsidR="00E87246" w:rsidRPr="00BA1B42" w:rsidRDefault="00E87246" w:rsidP="00622E7C">
    <w:pPr>
      <w:pStyle w:val="Piedepgina"/>
      <w:framePr w:wrap="none" w:vAnchor="text" w:hAnchor="margin" w:xAlign="center" w:y="1"/>
      <w:rPr>
        <w:rStyle w:val="Nmerodepgina"/>
        <w:rFonts w:ascii="Palatino Linotype" w:hAnsi="Palatino Linotype"/>
      </w:rPr>
    </w:pPr>
    <w:r w:rsidRPr="00BA1B42">
      <w:rPr>
        <w:rStyle w:val="Nmerodepgina"/>
        <w:rFonts w:ascii="Palatino Linotype" w:hAnsi="Palatino Linotype"/>
      </w:rPr>
      <w:fldChar w:fldCharType="begin"/>
    </w:r>
    <w:r w:rsidRPr="00BA1B42">
      <w:rPr>
        <w:rStyle w:val="Nmerodepgina"/>
        <w:rFonts w:ascii="Palatino Linotype" w:hAnsi="Palatino Linotype"/>
      </w:rPr>
      <w:instrText xml:space="preserve"> PAGE </w:instrText>
    </w:r>
    <w:r w:rsidRPr="00BA1B42">
      <w:rPr>
        <w:rStyle w:val="Nmerodepgina"/>
        <w:rFonts w:ascii="Palatino Linotype" w:hAnsi="Palatino Linotype"/>
      </w:rPr>
      <w:fldChar w:fldCharType="separate"/>
    </w:r>
    <w:r w:rsidRPr="00BA1B42">
      <w:rPr>
        <w:rStyle w:val="Nmerodepgina"/>
        <w:rFonts w:ascii="Palatino Linotype" w:hAnsi="Palatino Linotype"/>
        <w:noProof/>
      </w:rPr>
      <w:t>35</w:t>
    </w:r>
    <w:r w:rsidRPr="00BA1B42">
      <w:rPr>
        <w:rStyle w:val="Nmerodepgina"/>
        <w:rFonts w:ascii="Palatino Linotype" w:hAnsi="Palatino Linotype"/>
      </w:rPr>
      <w:fldChar w:fldCharType="end"/>
    </w:r>
  </w:p>
  <w:p w14:paraId="398ED542" w14:textId="77777777" w:rsidR="00E87246" w:rsidRPr="003920ED" w:rsidRDefault="00E87246" w:rsidP="00622E7C">
    <w:pPr>
      <w:pStyle w:val="Piedepgina"/>
      <w:ind w:right="360"/>
      <w:rPr>
        <w:rFonts w:ascii="Palatino Linotype" w:hAnsi="Palatino Linotype"/>
        <w:sz w:val="23"/>
        <w:szCs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sz w:val="20"/>
        <w:szCs w:val="20"/>
      </w:rPr>
      <w:id w:val="1556744838"/>
      <w:docPartObj>
        <w:docPartGallery w:val="Page Numbers (Bottom of Page)"/>
        <w:docPartUnique/>
      </w:docPartObj>
    </w:sdtPr>
    <w:sdtEndPr/>
    <w:sdtContent>
      <w:p w14:paraId="707877FD" w14:textId="77777777" w:rsidR="00E87246" w:rsidRPr="00944402" w:rsidRDefault="00E87246">
        <w:pPr>
          <w:pStyle w:val="Piedepgina"/>
          <w:jc w:val="center"/>
          <w:rPr>
            <w:rFonts w:ascii="Palatino Linotype" w:hAnsi="Palatino Linotype"/>
            <w:sz w:val="20"/>
            <w:szCs w:val="20"/>
          </w:rPr>
        </w:pPr>
        <w:r w:rsidRPr="00944402">
          <w:rPr>
            <w:rFonts w:ascii="Palatino Linotype" w:hAnsi="Palatino Linotype"/>
            <w:sz w:val="20"/>
            <w:szCs w:val="20"/>
          </w:rPr>
          <w:fldChar w:fldCharType="begin"/>
        </w:r>
        <w:r w:rsidRPr="00944402">
          <w:rPr>
            <w:rFonts w:ascii="Palatino Linotype" w:hAnsi="Palatino Linotype"/>
            <w:sz w:val="20"/>
            <w:szCs w:val="20"/>
          </w:rPr>
          <w:instrText>PAGE   \* MERGEFORMAT</w:instrText>
        </w:r>
        <w:r w:rsidRPr="00944402">
          <w:rPr>
            <w:rFonts w:ascii="Palatino Linotype" w:hAnsi="Palatino Linotype"/>
            <w:sz w:val="20"/>
            <w:szCs w:val="20"/>
          </w:rPr>
          <w:fldChar w:fldCharType="separate"/>
        </w:r>
        <w:r w:rsidRPr="00944402">
          <w:rPr>
            <w:rFonts w:ascii="Palatino Linotype" w:hAnsi="Palatino Linotype"/>
            <w:sz w:val="20"/>
            <w:szCs w:val="20"/>
          </w:rPr>
          <w:t>2</w:t>
        </w:r>
        <w:r w:rsidRPr="00944402">
          <w:rPr>
            <w:rFonts w:ascii="Palatino Linotype" w:hAnsi="Palatino Linotype"/>
            <w:sz w:val="20"/>
            <w:szCs w:val="20"/>
          </w:rPr>
          <w:fldChar w:fldCharType="end"/>
        </w:r>
      </w:p>
    </w:sdtContent>
  </w:sdt>
  <w:p w14:paraId="58A0068A" w14:textId="77777777" w:rsidR="00E87246" w:rsidRDefault="00E87246" w:rsidP="006229D5"/>
  <w:p w14:paraId="0E27D00D" w14:textId="77777777" w:rsidR="00E87246" w:rsidRDefault="00E872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C7B8A" w14:textId="77777777" w:rsidR="003213F1" w:rsidRDefault="003213F1" w:rsidP="00B377B2">
      <w:pPr>
        <w:spacing w:after="0" w:line="240" w:lineRule="auto"/>
      </w:pPr>
      <w:r>
        <w:separator/>
      </w:r>
    </w:p>
  </w:footnote>
  <w:footnote w:type="continuationSeparator" w:id="0">
    <w:p w14:paraId="62A796B0" w14:textId="77777777" w:rsidR="003213F1" w:rsidRDefault="003213F1" w:rsidP="00B377B2">
      <w:pPr>
        <w:spacing w:after="0" w:line="240" w:lineRule="auto"/>
      </w:pPr>
      <w:r>
        <w:continuationSeparator/>
      </w:r>
    </w:p>
  </w:footnote>
  <w:footnote w:id="1">
    <w:p w14:paraId="0A2FBE11" w14:textId="77777777" w:rsidR="00E87246" w:rsidRPr="0045124B" w:rsidRDefault="00E87246" w:rsidP="0045124B">
      <w:pPr>
        <w:pStyle w:val="Textonotapie"/>
        <w:jc w:val="both"/>
        <w:rPr>
          <w:rFonts w:ascii="Palatino Linotype" w:hAnsi="Palatino Linotype" w:cstheme="minorHAnsi"/>
          <w:sz w:val="18"/>
          <w:szCs w:val="18"/>
        </w:rPr>
      </w:pPr>
      <w:r w:rsidRPr="0045124B">
        <w:rPr>
          <w:rStyle w:val="Refdenotaalpie"/>
          <w:rFonts w:ascii="Palatino Linotype" w:hAnsi="Palatino Linotype" w:cstheme="minorHAnsi"/>
          <w:sz w:val="18"/>
          <w:szCs w:val="18"/>
        </w:rPr>
        <w:footnoteRef/>
      </w:r>
      <w:r w:rsidRPr="0045124B">
        <w:rPr>
          <w:rFonts w:ascii="Palatino Linotype" w:hAnsi="Palatino Linotype" w:cstheme="minorHAnsi"/>
          <w:sz w:val="18"/>
          <w:szCs w:val="18"/>
        </w:rPr>
        <w:t xml:space="preserve"> Socio de ECIJA en donde dirige la práctica de Resolución de Disputas. Funge regularmente como árbitro en los principales centros arbitrales de Costa Rica. Máster en Asesoría Jurídica de la Empresa por la Universidad Carlos III de Madrid y licenciado en derecho de la Universidad de Costa Rica. Profesor de Arbitraje, Contratación Comercial Internacional y Derecho Internacional Privado. Miembro del Grupo Latinoamericano de Arbitraje de la ICC.</w:t>
      </w:r>
    </w:p>
  </w:footnote>
  <w:footnote w:id="2">
    <w:p w14:paraId="649B560F"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PARIS CRUZ, Mauricio: “El necesario divorcio entre el Código Procesal Civil y el arbitraje comercial” En: Revista Judicial No. 109, Setiembre 2013. Disponible para descarga en el siguiente vínculo: http://bonafide.cr/descargas/</w:t>
      </w:r>
    </w:p>
  </w:footnote>
  <w:footnote w:id="3">
    <w:p w14:paraId="36416D05" w14:textId="77777777" w:rsidR="00E87246" w:rsidRPr="0045124B" w:rsidRDefault="00E87246" w:rsidP="0045124B">
      <w:pPr>
        <w:pStyle w:val="Textonotapie"/>
        <w:jc w:val="both"/>
        <w:rPr>
          <w:rFonts w:ascii="Palatino Linotype" w:hAnsi="Palatino Linotype" w:cstheme="minorHAnsi"/>
          <w:sz w:val="18"/>
          <w:szCs w:val="18"/>
        </w:rPr>
      </w:pPr>
      <w:r w:rsidRPr="0045124B">
        <w:rPr>
          <w:rStyle w:val="Refdenotaalpie"/>
          <w:rFonts w:ascii="Palatino Linotype" w:hAnsi="Palatino Linotype" w:cstheme="minorHAnsi"/>
          <w:sz w:val="18"/>
          <w:szCs w:val="18"/>
        </w:rPr>
        <w:footnoteRef/>
      </w:r>
      <w:r w:rsidRPr="0045124B">
        <w:rPr>
          <w:rFonts w:ascii="Palatino Linotype" w:hAnsi="Palatino Linotype" w:cstheme="minorHAnsi"/>
          <w:sz w:val="18"/>
          <w:szCs w:val="18"/>
        </w:rPr>
        <w:t xml:space="preserve"> Ley No. 8937 de 25 de mayo de 2011, sobre Arbitraje Comercial Internacional basada en la Ley Modelo de la CNUDMI.</w:t>
      </w:r>
    </w:p>
  </w:footnote>
  <w:footnote w:id="4">
    <w:p w14:paraId="07001E0E" w14:textId="77777777" w:rsidR="00E87246" w:rsidRPr="0045124B" w:rsidRDefault="00E87246" w:rsidP="0045124B">
      <w:pPr>
        <w:pStyle w:val="Textonotapie"/>
        <w:jc w:val="both"/>
        <w:rPr>
          <w:rFonts w:ascii="Palatino Linotype" w:hAnsi="Palatino Linotype" w:cstheme="minorHAnsi"/>
          <w:sz w:val="18"/>
          <w:szCs w:val="18"/>
          <w:lang w:val="es-ES"/>
        </w:rPr>
      </w:pPr>
      <w:r w:rsidRPr="0045124B">
        <w:rPr>
          <w:rStyle w:val="Refdenotaalpie"/>
          <w:rFonts w:ascii="Palatino Linotype" w:hAnsi="Palatino Linotype" w:cstheme="minorHAnsi"/>
          <w:sz w:val="18"/>
          <w:szCs w:val="18"/>
        </w:rPr>
        <w:footnoteRef/>
      </w:r>
      <w:r w:rsidRPr="0045124B">
        <w:rPr>
          <w:rFonts w:ascii="Palatino Linotype" w:hAnsi="Palatino Linotype" w:cstheme="minorHAnsi"/>
          <w:sz w:val="18"/>
          <w:szCs w:val="18"/>
        </w:rPr>
        <w:t xml:space="preserve"> </w:t>
      </w:r>
      <w:r w:rsidRPr="0045124B">
        <w:rPr>
          <w:rFonts w:ascii="Palatino Linotype" w:hAnsi="Palatino Linotype" w:cstheme="minorHAnsi"/>
          <w:sz w:val="18"/>
          <w:szCs w:val="18"/>
          <w:lang w:val="es-ES"/>
        </w:rPr>
        <w:t>Se solicita por ejemplo la designación de un ingeniero, sin especificar su área de especialización, o se yerra al respecto de esta.</w:t>
      </w:r>
    </w:p>
  </w:footnote>
  <w:footnote w:id="5">
    <w:p w14:paraId="2A8DAC45" w14:textId="77777777" w:rsidR="00E87246" w:rsidRPr="0045124B" w:rsidRDefault="00E87246" w:rsidP="0045124B">
      <w:pPr>
        <w:pStyle w:val="Textonotapie"/>
        <w:jc w:val="both"/>
        <w:rPr>
          <w:rFonts w:ascii="Palatino Linotype" w:hAnsi="Palatino Linotype" w:cstheme="minorHAnsi"/>
          <w:sz w:val="18"/>
          <w:szCs w:val="18"/>
        </w:rPr>
      </w:pPr>
      <w:r w:rsidRPr="0045124B">
        <w:rPr>
          <w:rStyle w:val="Refdenotaalpie"/>
          <w:rFonts w:ascii="Palatino Linotype" w:hAnsi="Palatino Linotype" w:cstheme="minorHAnsi"/>
          <w:sz w:val="18"/>
          <w:szCs w:val="18"/>
        </w:rPr>
        <w:footnoteRef/>
      </w:r>
      <w:r w:rsidRPr="0045124B">
        <w:rPr>
          <w:rFonts w:ascii="Palatino Linotype" w:hAnsi="Palatino Linotype" w:cstheme="minorHAnsi"/>
          <w:sz w:val="18"/>
          <w:szCs w:val="18"/>
        </w:rPr>
        <w:t xml:space="preserve"> Estas Reglas pueden descargarse en el siguiente enlace: https://www.ibanet.org/Document/Default.aspx?DocumentUid=3599492E-8BC6-4E3D-A205-B86B69A42593</w:t>
      </w:r>
    </w:p>
  </w:footnote>
  <w:footnote w:id="6">
    <w:p w14:paraId="18169ADA" w14:textId="77777777" w:rsidR="00E87246" w:rsidRPr="0045124B" w:rsidRDefault="00E87246" w:rsidP="0045124B">
      <w:pPr>
        <w:pStyle w:val="Textonotapie"/>
        <w:jc w:val="both"/>
        <w:rPr>
          <w:rFonts w:ascii="Palatino Linotype" w:hAnsi="Palatino Linotype" w:cstheme="minorHAnsi"/>
          <w:sz w:val="18"/>
          <w:szCs w:val="18"/>
        </w:rPr>
      </w:pPr>
      <w:r w:rsidRPr="0045124B">
        <w:rPr>
          <w:rStyle w:val="Refdenotaalpie"/>
          <w:rFonts w:ascii="Palatino Linotype" w:hAnsi="Palatino Linotype" w:cstheme="minorHAnsi"/>
          <w:sz w:val="18"/>
          <w:szCs w:val="18"/>
        </w:rPr>
        <w:footnoteRef/>
      </w:r>
      <w:r w:rsidRPr="0045124B">
        <w:rPr>
          <w:rFonts w:ascii="Palatino Linotype" w:hAnsi="Palatino Linotype" w:cstheme="minorHAnsi"/>
          <w:sz w:val="18"/>
          <w:szCs w:val="18"/>
        </w:rPr>
        <w:t xml:space="preserve"> Este acápite es un resumen de un análisis más detallado que el lector podrá encontrar en: PARIS CRUZ, Mauricio. RAPSO HENRÍQUEZ, Mauricio. “El orden público en las nuevas normas procesales sobre reconocimiento de laudos internacionales en Costa Rica” En: Spain Arbitration Review. Revista del Club Español del Arbitraje. No. 30/2017. Madrid, España. Disponible para descarga en el siguiente vínculo: http://bonafide.cr/descargas/</w:t>
      </w:r>
    </w:p>
  </w:footnote>
  <w:footnote w:id="7">
    <w:p w14:paraId="363F511F" w14:textId="77777777" w:rsidR="00E87246" w:rsidRPr="0045124B" w:rsidRDefault="00E87246" w:rsidP="0045124B">
      <w:pPr>
        <w:pStyle w:val="Textonotapie"/>
        <w:jc w:val="both"/>
        <w:rPr>
          <w:rFonts w:ascii="Palatino Linotype" w:hAnsi="Palatino Linotype" w:cstheme="minorHAnsi"/>
          <w:sz w:val="18"/>
          <w:szCs w:val="18"/>
        </w:rPr>
      </w:pPr>
      <w:r w:rsidRPr="0045124B">
        <w:rPr>
          <w:rStyle w:val="Refdenotaalpie"/>
          <w:rFonts w:ascii="Palatino Linotype" w:hAnsi="Palatino Linotype" w:cstheme="minorHAnsi"/>
          <w:sz w:val="18"/>
          <w:szCs w:val="18"/>
        </w:rPr>
        <w:footnoteRef/>
      </w:r>
      <w:r w:rsidRPr="0045124B">
        <w:rPr>
          <w:rFonts w:ascii="Palatino Linotype" w:hAnsi="Palatino Linotype" w:cstheme="minorHAnsi"/>
          <w:sz w:val="18"/>
          <w:szCs w:val="18"/>
        </w:rPr>
        <w:t xml:space="preserve"> Consideramos que la inclusión de los laudos en la misma norma que se refiere al reconocimiento de sentencias extranjeras era del todo innecesaria al existir una Ley de Arbitraje Internacional que regula la materia, y es un resabio del Código Procesal Civil previo que regulaba ambos casos.</w:t>
      </w:r>
    </w:p>
  </w:footnote>
  <w:footnote w:id="8">
    <w:p w14:paraId="3617E762" w14:textId="77777777" w:rsidR="00E87246" w:rsidRPr="0045124B" w:rsidRDefault="00E87246" w:rsidP="0045124B">
      <w:pPr>
        <w:pStyle w:val="Textonotapie"/>
        <w:jc w:val="both"/>
        <w:rPr>
          <w:rFonts w:ascii="Palatino Linotype" w:hAnsi="Palatino Linotype" w:cstheme="minorHAnsi"/>
          <w:sz w:val="18"/>
          <w:szCs w:val="18"/>
        </w:rPr>
      </w:pPr>
      <w:r w:rsidRPr="0045124B">
        <w:rPr>
          <w:rStyle w:val="Refdenotaalpie"/>
          <w:rFonts w:ascii="Palatino Linotype" w:hAnsi="Palatino Linotype" w:cstheme="minorHAnsi"/>
          <w:sz w:val="18"/>
          <w:szCs w:val="18"/>
        </w:rPr>
        <w:footnoteRef/>
      </w:r>
      <w:r w:rsidRPr="0045124B">
        <w:rPr>
          <w:rFonts w:ascii="Palatino Linotype" w:hAnsi="Palatino Linotype" w:cstheme="minorHAnsi"/>
          <w:sz w:val="18"/>
          <w:szCs w:val="18"/>
        </w:rPr>
        <w:t xml:space="preserve"> GONZÁLEZ DE COSSÍO, Francisco. “Orden público en México”. Club Español del Arbitraje, San José, Costa Rica (2011). Pág. 5. Extraído de: http://www.gdca.com.mx/PDF/arbitraje/ORDEN%20PUBLICO%20EN%20MEXICO.pdf</w:t>
      </w:r>
    </w:p>
  </w:footnote>
  <w:footnote w:id="9">
    <w:p w14:paraId="4E145B44" w14:textId="77777777" w:rsidR="00E87246" w:rsidRPr="0045124B" w:rsidRDefault="00E87246" w:rsidP="0045124B">
      <w:pPr>
        <w:pStyle w:val="Textonotapie"/>
        <w:jc w:val="both"/>
        <w:rPr>
          <w:rFonts w:ascii="Palatino Linotype" w:hAnsi="Palatino Linotype" w:cstheme="minorHAnsi"/>
          <w:sz w:val="18"/>
          <w:szCs w:val="18"/>
          <w:lang w:val="es-ES"/>
        </w:rPr>
      </w:pPr>
      <w:r w:rsidRPr="0045124B">
        <w:rPr>
          <w:rStyle w:val="Refdenotaalpie"/>
          <w:rFonts w:ascii="Palatino Linotype" w:hAnsi="Palatino Linotype" w:cstheme="minorHAnsi"/>
          <w:sz w:val="18"/>
          <w:szCs w:val="18"/>
        </w:rPr>
        <w:footnoteRef/>
      </w:r>
      <w:r w:rsidRPr="0045124B">
        <w:rPr>
          <w:rFonts w:ascii="Palatino Linotype" w:hAnsi="Palatino Linotype" w:cstheme="minorHAnsi"/>
          <w:sz w:val="18"/>
          <w:szCs w:val="18"/>
        </w:rPr>
        <w:t xml:space="preserve"> MORENO RODRÍGUEZ, José Antonio: “Derecho aplicable y arbitraje internacional”. España, Thomson Reuters Aranzadi, 1era edición española (2014). Pág. 463.</w:t>
      </w:r>
    </w:p>
  </w:footnote>
  <w:footnote w:id="10">
    <w:p w14:paraId="7DFE102C" w14:textId="77777777" w:rsidR="00E87246" w:rsidRPr="0045124B" w:rsidRDefault="00E87246" w:rsidP="0045124B">
      <w:pPr>
        <w:pStyle w:val="Textonotapie"/>
        <w:jc w:val="both"/>
        <w:rPr>
          <w:rFonts w:ascii="Palatino Linotype" w:hAnsi="Palatino Linotype" w:cstheme="minorHAnsi"/>
          <w:sz w:val="18"/>
          <w:szCs w:val="18"/>
        </w:rPr>
      </w:pPr>
      <w:r w:rsidRPr="0045124B">
        <w:rPr>
          <w:rStyle w:val="Refdenotaalpie"/>
          <w:rFonts w:ascii="Palatino Linotype" w:hAnsi="Palatino Linotype" w:cstheme="minorHAnsi"/>
          <w:sz w:val="18"/>
          <w:szCs w:val="18"/>
        </w:rPr>
        <w:footnoteRef/>
      </w:r>
      <w:r w:rsidRPr="0045124B">
        <w:rPr>
          <w:rFonts w:ascii="Palatino Linotype" w:hAnsi="Palatino Linotype" w:cstheme="minorHAnsi"/>
          <w:sz w:val="18"/>
          <w:szCs w:val="18"/>
        </w:rPr>
        <w:t xml:space="preserve"> Artículo 39 Ley RAC. Una redacción muy similar contiene el artículo 24 LACI.</w:t>
      </w:r>
    </w:p>
  </w:footnote>
  <w:footnote w:id="11">
    <w:p w14:paraId="16BF6B56" w14:textId="77777777" w:rsidR="00E87246" w:rsidRPr="0045124B" w:rsidRDefault="00E87246" w:rsidP="0045124B">
      <w:pPr>
        <w:pStyle w:val="Textonotapie"/>
        <w:jc w:val="both"/>
        <w:rPr>
          <w:rFonts w:ascii="Palatino Linotype" w:hAnsi="Palatino Linotype" w:cstheme="minorHAnsi"/>
          <w:sz w:val="18"/>
          <w:szCs w:val="18"/>
          <w:lang w:val="es-ES"/>
        </w:rPr>
      </w:pPr>
      <w:r w:rsidRPr="0045124B">
        <w:rPr>
          <w:rStyle w:val="Refdenotaalpie"/>
          <w:rFonts w:ascii="Palatino Linotype" w:hAnsi="Palatino Linotype" w:cstheme="minorHAnsi"/>
          <w:sz w:val="18"/>
          <w:szCs w:val="18"/>
        </w:rPr>
        <w:footnoteRef/>
      </w:r>
      <w:r w:rsidRPr="0045124B">
        <w:rPr>
          <w:rFonts w:ascii="Palatino Linotype" w:hAnsi="Palatino Linotype" w:cstheme="minorHAnsi"/>
          <w:sz w:val="18"/>
          <w:szCs w:val="18"/>
        </w:rPr>
        <w:t xml:space="preserve"> </w:t>
      </w:r>
      <w:r w:rsidRPr="0045124B">
        <w:rPr>
          <w:rFonts w:ascii="Palatino Linotype" w:hAnsi="Palatino Linotype" w:cstheme="minorHAnsi"/>
          <w:sz w:val="18"/>
          <w:szCs w:val="18"/>
          <w:lang w:val="es-ES"/>
        </w:rPr>
        <w:t>Artículos 18(2) y 26 del Reglamento.</w:t>
      </w:r>
    </w:p>
  </w:footnote>
  <w:footnote w:id="12">
    <w:p w14:paraId="488585C1" w14:textId="77777777" w:rsidR="00E87246" w:rsidRPr="0045124B" w:rsidRDefault="00E87246" w:rsidP="0045124B">
      <w:pPr>
        <w:pStyle w:val="Textonotapie"/>
        <w:jc w:val="both"/>
        <w:rPr>
          <w:rFonts w:ascii="Palatino Linotype" w:hAnsi="Palatino Linotype" w:cstheme="minorHAnsi"/>
          <w:sz w:val="18"/>
          <w:szCs w:val="18"/>
          <w:lang w:val="es-ES"/>
        </w:rPr>
      </w:pPr>
      <w:r w:rsidRPr="0045124B">
        <w:rPr>
          <w:rStyle w:val="Refdenotaalpie"/>
          <w:rFonts w:ascii="Palatino Linotype" w:hAnsi="Palatino Linotype" w:cstheme="minorHAnsi"/>
          <w:sz w:val="18"/>
          <w:szCs w:val="18"/>
        </w:rPr>
        <w:footnoteRef/>
      </w:r>
      <w:r w:rsidRPr="0045124B">
        <w:rPr>
          <w:rFonts w:ascii="Palatino Linotype" w:hAnsi="Palatino Linotype" w:cstheme="minorHAnsi"/>
          <w:sz w:val="18"/>
          <w:szCs w:val="18"/>
        </w:rPr>
        <w:t xml:space="preserve"> </w:t>
      </w:r>
      <w:r w:rsidRPr="0045124B">
        <w:rPr>
          <w:rFonts w:ascii="Palatino Linotype" w:hAnsi="Palatino Linotype" w:cstheme="minorHAnsi"/>
          <w:sz w:val="18"/>
          <w:szCs w:val="18"/>
          <w:lang w:val="es-ES"/>
        </w:rPr>
        <w:t>Si bien la Ley RAC habla del recurso de nulidad, técnicamente este no es un recurso, ya que el laudo al dictarse es una resolución firme. La nulidad en realidad es una acción independiente que se ejerce contra un laudo que es firme desde que se dicta. La LACI corrige este error conceptual al referirse a la petición de nulidad contra el laudo arbitral en su artículo 34.</w:t>
      </w:r>
    </w:p>
  </w:footnote>
  <w:footnote w:id="13">
    <w:p w14:paraId="456909D7" w14:textId="77777777" w:rsidR="00E87246" w:rsidRPr="0045124B" w:rsidRDefault="00E87246" w:rsidP="0045124B">
      <w:pPr>
        <w:pStyle w:val="Textonotapie"/>
        <w:jc w:val="both"/>
        <w:rPr>
          <w:rFonts w:ascii="Palatino Linotype" w:hAnsi="Palatino Linotype" w:cstheme="minorHAnsi"/>
          <w:sz w:val="18"/>
          <w:szCs w:val="18"/>
          <w:lang w:val="es-ES"/>
        </w:rPr>
      </w:pPr>
      <w:r w:rsidRPr="0045124B">
        <w:rPr>
          <w:rStyle w:val="Refdenotaalpie"/>
          <w:rFonts w:ascii="Palatino Linotype" w:hAnsi="Palatino Linotype" w:cstheme="minorHAnsi"/>
          <w:sz w:val="18"/>
          <w:szCs w:val="18"/>
        </w:rPr>
        <w:footnoteRef/>
      </w:r>
      <w:r w:rsidRPr="0045124B">
        <w:rPr>
          <w:rFonts w:ascii="Palatino Linotype" w:hAnsi="Palatino Linotype" w:cstheme="minorHAnsi"/>
          <w:sz w:val="18"/>
          <w:szCs w:val="18"/>
        </w:rPr>
        <w:t xml:space="preserve"> De hecho, muchos arbitrajes que se tramitan actualmente como domésticos por ignorancia o decisión de las partes, son en realidad internacionales en aplicación de los puntos de conexión indicados en la LACI.</w:t>
      </w:r>
    </w:p>
  </w:footnote>
  <w:footnote w:id="14">
    <w:p w14:paraId="69AB56F1" w14:textId="77777777" w:rsidR="00E87246" w:rsidRPr="0045124B" w:rsidRDefault="00E87246" w:rsidP="0045124B">
      <w:pPr>
        <w:pStyle w:val="Textonotapie"/>
        <w:jc w:val="both"/>
        <w:rPr>
          <w:rFonts w:ascii="Palatino Linotype" w:hAnsi="Palatino Linotype"/>
          <w:sz w:val="18"/>
          <w:szCs w:val="18"/>
          <w:lang w:val="es-ES"/>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Al respecto puede verse: PARIS CRUZ, Mauricio: “La deseable transición del reenvío a la remisión en el arbitraje costarricense”. En: Revista Judicial No. 117 de setiembre 2015. </w:t>
      </w:r>
      <w:r w:rsidRPr="0045124B">
        <w:rPr>
          <w:rFonts w:ascii="Palatino Linotype" w:hAnsi="Palatino Linotype"/>
          <w:sz w:val="18"/>
          <w:szCs w:val="18"/>
          <w:lang w:val="es-ES"/>
        </w:rPr>
        <w:t>Disponible para descarga en el siguiente vínculo: http://bonafide.cr/descargas/</w:t>
      </w:r>
    </w:p>
    <w:p w14:paraId="6D335395" w14:textId="77777777" w:rsidR="00E87246" w:rsidRPr="0045124B" w:rsidRDefault="00E87246" w:rsidP="0045124B">
      <w:pPr>
        <w:pStyle w:val="Textonotapie"/>
        <w:jc w:val="both"/>
        <w:rPr>
          <w:rFonts w:ascii="Palatino Linotype" w:hAnsi="Palatino Linotype"/>
          <w:sz w:val="18"/>
          <w:szCs w:val="18"/>
        </w:rPr>
      </w:pPr>
    </w:p>
  </w:footnote>
  <w:footnote w:id="15">
    <w:p w14:paraId="651A7AE1" w14:textId="77777777" w:rsidR="00E87246" w:rsidRPr="0045124B" w:rsidRDefault="00E87246" w:rsidP="0045124B">
      <w:pPr>
        <w:pStyle w:val="Textonotapie"/>
        <w:jc w:val="both"/>
        <w:rPr>
          <w:rFonts w:ascii="Palatino Linotype" w:hAnsi="Palatino Linotype" w:cstheme="minorHAnsi"/>
          <w:sz w:val="18"/>
          <w:szCs w:val="18"/>
          <w:lang w:val="es-ES"/>
        </w:rPr>
      </w:pPr>
      <w:r w:rsidRPr="0045124B">
        <w:rPr>
          <w:rStyle w:val="Refdenotaalpie"/>
          <w:rFonts w:ascii="Palatino Linotype" w:hAnsi="Palatino Linotype" w:cstheme="minorHAnsi"/>
          <w:sz w:val="18"/>
          <w:szCs w:val="18"/>
        </w:rPr>
        <w:footnoteRef/>
      </w:r>
      <w:r w:rsidRPr="0045124B">
        <w:rPr>
          <w:rFonts w:ascii="Palatino Linotype" w:hAnsi="Palatino Linotype" w:cstheme="minorHAnsi"/>
          <w:sz w:val="18"/>
          <w:szCs w:val="18"/>
        </w:rPr>
        <w:t xml:space="preserve"> </w:t>
      </w:r>
      <w:r w:rsidRPr="0045124B">
        <w:rPr>
          <w:rFonts w:ascii="Palatino Linotype" w:hAnsi="Palatino Linotype" w:cstheme="minorHAnsi"/>
          <w:sz w:val="18"/>
          <w:szCs w:val="18"/>
          <w:lang w:val="es-ES"/>
        </w:rPr>
        <w:t>Las Directrices pueden descargarse en este enlace: https://www.ibanet.org/Document/Default.aspx?DocumentUid=59c60328-61f3-4f0a-9a92-78f4f67c1c50</w:t>
      </w:r>
    </w:p>
  </w:footnote>
  <w:footnote w:id="16">
    <w:p w14:paraId="1007A284"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rPr>
        <w:fldChar w:fldCharType="begin"/>
      </w:r>
      <w:r w:rsidRPr="0045124B">
        <w:rPr>
          <w:rFonts w:ascii="Palatino Linotype" w:hAnsi="Palatino Linotype"/>
          <w:sz w:val="18"/>
          <w:szCs w:val="18"/>
        </w:rPr>
        <w:instrText xml:space="preserve"> BIBLIOGRAPHY  \l 5130 </w:instrText>
      </w:r>
      <w:r w:rsidRPr="0045124B">
        <w:rPr>
          <w:rFonts w:ascii="Palatino Linotype" w:hAnsi="Palatino Linotype"/>
          <w:sz w:val="18"/>
          <w:szCs w:val="18"/>
        </w:rPr>
        <w:fldChar w:fldCharType="separate"/>
      </w:r>
      <w:r w:rsidRPr="0045124B">
        <w:rPr>
          <w:rFonts w:ascii="Palatino Linotype" w:hAnsi="Palatino Linotype"/>
          <w:noProof/>
          <w:sz w:val="18"/>
          <w:szCs w:val="18"/>
        </w:rPr>
        <w:t xml:space="preserve">Aznar, Juan Carlos Jimenez. </w:t>
      </w:r>
      <w:r w:rsidRPr="0045124B">
        <w:rPr>
          <w:rFonts w:ascii="Palatino Linotype" w:hAnsi="Palatino Linotype"/>
          <w:i/>
          <w:iCs/>
          <w:noProof/>
          <w:sz w:val="18"/>
          <w:szCs w:val="18"/>
        </w:rPr>
        <w:t>http://www.oratoriaparaemprendedores.com/pon-storytelling-en-tu-vida/.</w:t>
      </w:r>
      <w:r w:rsidRPr="0045124B">
        <w:rPr>
          <w:rFonts w:ascii="Palatino Linotype" w:hAnsi="Palatino Linotype"/>
          <w:noProof/>
          <w:sz w:val="18"/>
          <w:szCs w:val="18"/>
        </w:rPr>
        <w:t xml:space="preserve"> 08 de Mayo de 2016. http://www.oratoriaparaemprendedores.com/pon-storytelling-en-tu-vida/ (último acceso: 3 de Mayo de 2019).</w:t>
      </w:r>
    </w:p>
    <w:p w14:paraId="0FF26BD6" w14:textId="77777777" w:rsidR="00E87246" w:rsidRPr="0045124B" w:rsidRDefault="00E87246" w:rsidP="0045124B">
      <w:pPr>
        <w:pStyle w:val="Textonotapie"/>
        <w:jc w:val="both"/>
        <w:rPr>
          <w:rFonts w:ascii="Palatino Linotype" w:hAnsi="Palatino Linotype"/>
          <w:sz w:val="18"/>
          <w:szCs w:val="18"/>
        </w:rPr>
      </w:pPr>
      <w:r w:rsidRPr="0045124B">
        <w:rPr>
          <w:rFonts w:ascii="Palatino Linotype" w:hAnsi="Palatino Linotype"/>
          <w:sz w:val="18"/>
          <w:szCs w:val="18"/>
        </w:rPr>
        <w:fldChar w:fldCharType="end"/>
      </w:r>
    </w:p>
  </w:footnote>
  <w:footnote w:id="17">
    <w:p w14:paraId="621FA7F6"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sdt>
        <w:sdtPr>
          <w:rPr>
            <w:rFonts w:ascii="Palatino Linotype" w:hAnsi="Palatino Linotype"/>
            <w:sz w:val="18"/>
            <w:szCs w:val="18"/>
          </w:rPr>
          <w:id w:val="-1973661017"/>
          <w:citation/>
        </w:sdtPr>
        <w:sdtEndPr/>
        <w:sdtContent>
          <w:r w:rsidRPr="0045124B">
            <w:rPr>
              <w:rFonts w:ascii="Palatino Linotype" w:hAnsi="Palatino Linotype"/>
              <w:sz w:val="18"/>
              <w:szCs w:val="18"/>
            </w:rPr>
            <w:fldChar w:fldCharType="begin"/>
          </w:r>
          <w:r w:rsidRPr="0045124B">
            <w:rPr>
              <w:rFonts w:ascii="Palatino Linotype" w:hAnsi="Palatino Linotype"/>
              <w:sz w:val="18"/>
              <w:szCs w:val="18"/>
            </w:rPr>
            <w:instrText xml:space="preserve"> CITATION Jua16 \l 5130 </w:instrText>
          </w:r>
          <w:r w:rsidRPr="0045124B">
            <w:rPr>
              <w:rFonts w:ascii="Palatino Linotype" w:hAnsi="Palatino Linotype"/>
              <w:sz w:val="18"/>
              <w:szCs w:val="18"/>
            </w:rPr>
            <w:fldChar w:fldCharType="separate"/>
          </w:r>
          <w:r w:rsidRPr="0045124B">
            <w:rPr>
              <w:rFonts w:ascii="Palatino Linotype" w:hAnsi="Palatino Linotype"/>
              <w:noProof/>
              <w:sz w:val="18"/>
              <w:szCs w:val="18"/>
            </w:rPr>
            <w:t>(Aznar 2016)</w:t>
          </w:r>
          <w:r w:rsidRPr="0045124B">
            <w:rPr>
              <w:rFonts w:ascii="Palatino Linotype" w:hAnsi="Palatino Linotype"/>
              <w:sz w:val="18"/>
              <w:szCs w:val="18"/>
            </w:rPr>
            <w:fldChar w:fldCharType="end"/>
          </w:r>
        </w:sdtContent>
      </w:sdt>
    </w:p>
  </w:footnote>
  <w:footnote w:id="18">
    <w:p w14:paraId="737B838C" w14:textId="77777777" w:rsidR="00E87246" w:rsidRPr="0045124B" w:rsidRDefault="00E87246" w:rsidP="0045124B">
      <w:pPr>
        <w:pStyle w:val="Textonotapie"/>
        <w:jc w:val="both"/>
        <w:rPr>
          <w:rFonts w:ascii="Palatino Linotype" w:hAnsi="Palatino Linotype"/>
          <w:b/>
          <w:bCs/>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Sitio web oficial de Decideo.com, entrevista a </w:t>
      </w:r>
      <w:r w:rsidRPr="0045124B">
        <w:rPr>
          <w:rFonts w:ascii="Palatino Linotype" w:hAnsi="Palatino Linotype"/>
          <w:bCs/>
          <w:sz w:val="18"/>
          <w:szCs w:val="18"/>
        </w:rPr>
        <w:t>Philippe Nieuwbourg</w:t>
      </w:r>
    </w:p>
    <w:p w14:paraId="64728360" w14:textId="77777777" w:rsidR="00E87246" w:rsidRPr="0045124B" w:rsidRDefault="00E87246" w:rsidP="0045124B">
      <w:pPr>
        <w:pStyle w:val="Textonotapie"/>
        <w:jc w:val="both"/>
        <w:rPr>
          <w:rFonts w:ascii="Palatino Linotype" w:hAnsi="Palatino Linotype"/>
          <w:sz w:val="18"/>
          <w:szCs w:val="18"/>
        </w:rPr>
      </w:pPr>
      <w:hyperlink r:id="rId1" w:history="1">
        <w:r w:rsidRPr="0045124B">
          <w:rPr>
            <w:rStyle w:val="Hipervnculo"/>
            <w:rFonts w:ascii="Palatino Linotype" w:hAnsi="Palatino Linotype"/>
            <w:sz w:val="18"/>
            <w:szCs w:val="18"/>
          </w:rPr>
          <w:t>https://www.decideo.com/Aprenda-a-narrar-historias-a-partir-de-los-datos-con-el-Data-Storytelling_a679.html</w:t>
        </w:r>
      </w:hyperlink>
      <w:r w:rsidRPr="0045124B">
        <w:rPr>
          <w:rFonts w:ascii="Palatino Linotype" w:hAnsi="Palatino Linotype"/>
          <w:sz w:val="18"/>
          <w:szCs w:val="18"/>
        </w:rPr>
        <w:t>, consultado el 4 de mayo del 2019.</w:t>
      </w:r>
    </w:p>
  </w:footnote>
  <w:footnote w:id="19">
    <w:p w14:paraId="1826DAE9"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lang w:val="en-US"/>
        </w:rPr>
        <w:t xml:space="preserve"> </w:t>
      </w:r>
      <w:bookmarkStart w:id="3" w:name="_Hlk7856855"/>
      <w:r w:rsidRPr="0045124B">
        <w:rPr>
          <w:rFonts w:ascii="Palatino Linotype" w:hAnsi="Palatino Linotype"/>
          <w:sz w:val="18"/>
          <w:szCs w:val="18"/>
          <w:lang w:val="en-US"/>
        </w:rPr>
        <w:t xml:space="preserve">Sitio web oficial de Youtube, “CRISTIANO RONALDO in "The Switch" ft. </w:t>
      </w:r>
      <w:r w:rsidRPr="0045124B">
        <w:rPr>
          <w:rFonts w:ascii="Palatino Linotype" w:hAnsi="Palatino Linotype"/>
          <w:sz w:val="18"/>
          <w:szCs w:val="18"/>
        </w:rPr>
        <w:t>Harry Kane, Anthony Martial &amp; More</w:t>
      </w:r>
    </w:p>
    <w:p w14:paraId="25A8D8BD" w14:textId="77777777" w:rsidR="00E87246" w:rsidRPr="0045124B" w:rsidRDefault="00E87246" w:rsidP="0045124B">
      <w:pPr>
        <w:pStyle w:val="Textonotapie"/>
        <w:jc w:val="both"/>
        <w:rPr>
          <w:rFonts w:ascii="Palatino Linotype" w:hAnsi="Palatino Linotype"/>
          <w:sz w:val="18"/>
          <w:szCs w:val="18"/>
        </w:rPr>
      </w:pPr>
      <w:hyperlink r:id="rId2" w:history="1">
        <w:r w:rsidRPr="0045124B">
          <w:rPr>
            <w:rStyle w:val="Hipervnculo"/>
            <w:rFonts w:ascii="Palatino Linotype" w:hAnsi="Palatino Linotype"/>
            <w:sz w:val="18"/>
            <w:szCs w:val="18"/>
          </w:rPr>
          <w:t>https://www.youtube.com/watch?v=K2H7qqKjVVQ</w:t>
        </w:r>
      </w:hyperlink>
      <w:r w:rsidRPr="0045124B">
        <w:rPr>
          <w:rFonts w:ascii="Palatino Linotype" w:hAnsi="Palatino Linotype"/>
          <w:sz w:val="18"/>
          <w:szCs w:val="18"/>
        </w:rPr>
        <w:t>, consultado el 4 de mayo del 2019.</w:t>
      </w:r>
      <w:bookmarkEnd w:id="3"/>
    </w:p>
  </w:footnote>
  <w:footnote w:id="20">
    <w:p w14:paraId="598F980F"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rPr>
        <w:fldChar w:fldCharType="begin"/>
      </w:r>
      <w:r w:rsidRPr="0045124B">
        <w:rPr>
          <w:rFonts w:ascii="Palatino Linotype" w:hAnsi="Palatino Linotype"/>
          <w:sz w:val="18"/>
          <w:szCs w:val="18"/>
        </w:rPr>
        <w:instrText xml:space="preserve"> BIBLIOGRAPHY  \l 5130 </w:instrText>
      </w:r>
      <w:r w:rsidRPr="0045124B">
        <w:rPr>
          <w:rFonts w:ascii="Palatino Linotype" w:hAnsi="Palatino Linotype"/>
          <w:sz w:val="18"/>
          <w:szCs w:val="18"/>
        </w:rPr>
        <w:fldChar w:fldCharType="separate"/>
      </w:r>
      <w:r w:rsidRPr="0045124B">
        <w:rPr>
          <w:rFonts w:ascii="Palatino Linotype" w:hAnsi="Palatino Linotype"/>
          <w:noProof/>
          <w:sz w:val="18"/>
          <w:szCs w:val="18"/>
        </w:rPr>
        <w:t xml:space="preserve">Litigiodeautor. </w:t>
      </w:r>
      <w:r w:rsidRPr="0045124B">
        <w:rPr>
          <w:rFonts w:ascii="Palatino Linotype" w:hAnsi="Palatino Linotype"/>
          <w:i/>
          <w:iCs/>
          <w:noProof/>
          <w:sz w:val="18"/>
          <w:szCs w:val="18"/>
        </w:rPr>
        <w:t>litigiodeautor.</w:t>
      </w:r>
      <w:r w:rsidRPr="0045124B">
        <w:rPr>
          <w:rFonts w:ascii="Palatino Linotype" w:hAnsi="Palatino Linotype"/>
          <w:noProof/>
          <w:sz w:val="18"/>
          <w:szCs w:val="18"/>
        </w:rPr>
        <w:t xml:space="preserve"> 19 de Abril de 2016. http://www.litigiodeautor.com/storytelling-para-abogados/ (último acceso: 4 de Mayo de 2019).</w:t>
      </w:r>
    </w:p>
    <w:p w14:paraId="74C969A3" w14:textId="77777777" w:rsidR="00E87246" w:rsidRPr="0045124B" w:rsidRDefault="00E87246" w:rsidP="0045124B">
      <w:pPr>
        <w:pStyle w:val="Textonotapie"/>
        <w:jc w:val="both"/>
        <w:rPr>
          <w:rFonts w:ascii="Palatino Linotype" w:hAnsi="Palatino Linotype"/>
          <w:sz w:val="18"/>
          <w:szCs w:val="18"/>
        </w:rPr>
      </w:pPr>
      <w:r w:rsidRPr="0045124B">
        <w:rPr>
          <w:rFonts w:ascii="Palatino Linotype" w:hAnsi="Palatino Linotype"/>
          <w:sz w:val="18"/>
          <w:szCs w:val="18"/>
        </w:rPr>
        <w:fldChar w:fldCharType="end"/>
      </w:r>
    </w:p>
  </w:footnote>
  <w:footnote w:id="21">
    <w:p w14:paraId="6DE68B85"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lang w:val="en-US"/>
        </w:rPr>
        <w:t xml:space="preserve"> </w:t>
      </w:r>
      <w:r w:rsidRPr="0045124B">
        <w:rPr>
          <w:rFonts w:ascii="Palatino Linotype" w:hAnsi="Palatino Linotype"/>
          <w:sz w:val="18"/>
          <w:szCs w:val="18"/>
        </w:rPr>
        <w:fldChar w:fldCharType="begin"/>
      </w:r>
      <w:r w:rsidRPr="0045124B">
        <w:rPr>
          <w:rFonts w:ascii="Palatino Linotype" w:hAnsi="Palatino Linotype"/>
          <w:sz w:val="18"/>
          <w:szCs w:val="18"/>
          <w:lang w:val="en-US"/>
        </w:rPr>
        <w:instrText xml:space="preserve"> BIBLIOGRAPHY  \l 5130 </w:instrText>
      </w:r>
      <w:r w:rsidRPr="0045124B">
        <w:rPr>
          <w:rFonts w:ascii="Palatino Linotype" w:hAnsi="Palatino Linotype"/>
          <w:sz w:val="18"/>
          <w:szCs w:val="18"/>
        </w:rPr>
        <w:fldChar w:fldCharType="separate"/>
      </w:r>
      <w:r w:rsidRPr="0045124B">
        <w:rPr>
          <w:rFonts w:ascii="Palatino Linotype" w:hAnsi="Palatino Linotype"/>
          <w:noProof/>
          <w:sz w:val="18"/>
          <w:szCs w:val="18"/>
          <w:lang w:val="en-US"/>
        </w:rPr>
        <w:t xml:space="preserve">Shapiro, Jonathan. </w:t>
      </w:r>
      <w:r w:rsidRPr="0045124B">
        <w:rPr>
          <w:rFonts w:ascii="Palatino Linotype" w:hAnsi="Palatino Linotype"/>
          <w:i/>
          <w:iCs/>
          <w:noProof/>
          <w:sz w:val="18"/>
          <w:szCs w:val="18"/>
          <w:lang w:val="en-US"/>
        </w:rPr>
        <w:t>Lawyers, liars, and the art of storytelling.</w:t>
      </w:r>
      <w:r w:rsidRPr="0045124B">
        <w:rPr>
          <w:rFonts w:ascii="Palatino Linotype" w:hAnsi="Palatino Linotype"/>
          <w:noProof/>
          <w:sz w:val="18"/>
          <w:szCs w:val="18"/>
          <w:lang w:val="en-US"/>
        </w:rPr>
        <w:t xml:space="preserve"> </w:t>
      </w:r>
      <w:r w:rsidRPr="0045124B">
        <w:rPr>
          <w:rFonts w:ascii="Palatino Linotype" w:hAnsi="Palatino Linotype"/>
          <w:noProof/>
          <w:sz w:val="18"/>
          <w:szCs w:val="18"/>
        </w:rPr>
        <w:t>Chicago, IL, United States: American Bar Association , 2016.</w:t>
      </w:r>
      <w:r w:rsidRPr="0045124B">
        <w:rPr>
          <w:rFonts w:ascii="Palatino Linotype" w:hAnsi="Palatino Linotype"/>
          <w:sz w:val="18"/>
          <w:szCs w:val="18"/>
        </w:rPr>
        <w:fldChar w:fldCharType="end"/>
      </w:r>
    </w:p>
  </w:footnote>
  <w:footnote w:id="22">
    <w:p w14:paraId="40837084"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bookmarkStart w:id="4" w:name="_Hlk7867080"/>
      <w:r w:rsidRPr="0045124B">
        <w:rPr>
          <w:rFonts w:ascii="Palatino Linotype" w:hAnsi="Palatino Linotype"/>
          <w:sz w:val="18"/>
          <w:szCs w:val="18"/>
        </w:rPr>
        <w:t xml:space="preserve">Sitio web oficial de </w:t>
      </w:r>
      <w:hyperlink r:id="rId3" w:history="1">
        <w:r w:rsidRPr="0045124B">
          <w:rPr>
            <w:rStyle w:val="Hipervnculo"/>
            <w:rFonts w:ascii="Palatino Linotype" w:hAnsi="Palatino Linotype"/>
            <w:sz w:val="18"/>
            <w:szCs w:val="18"/>
          </w:rPr>
          <w:t>https://www.40defiebre.com</w:t>
        </w:r>
      </w:hyperlink>
      <w:r w:rsidRPr="0045124B">
        <w:rPr>
          <w:rFonts w:ascii="Palatino Linotype" w:hAnsi="Palatino Linotype"/>
          <w:sz w:val="18"/>
          <w:szCs w:val="18"/>
        </w:rPr>
        <w:t>, consultado el 4 de mayo del 2019.</w:t>
      </w:r>
      <w:bookmarkEnd w:id="4"/>
    </w:p>
  </w:footnote>
  <w:footnote w:id="23">
    <w:p w14:paraId="0D8053E5" w14:textId="77777777" w:rsidR="00E87246" w:rsidRPr="0045124B" w:rsidRDefault="00E87246" w:rsidP="0045124B">
      <w:pPr>
        <w:pStyle w:val="Textonotapie"/>
        <w:jc w:val="both"/>
        <w:rPr>
          <w:rFonts w:ascii="Palatino Linotype" w:hAnsi="Palatino Linotype"/>
          <w:b/>
          <w:bCs/>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Sitio web oficial de Decideo.com, entrevista a </w:t>
      </w:r>
      <w:r w:rsidRPr="0045124B">
        <w:rPr>
          <w:rFonts w:ascii="Palatino Linotype" w:hAnsi="Palatino Linotype"/>
          <w:bCs/>
          <w:sz w:val="18"/>
          <w:szCs w:val="18"/>
        </w:rPr>
        <w:t>Philippe Nieuwbourg</w:t>
      </w:r>
    </w:p>
    <w:p w14:paraId="0F1F26CD" w14:textId="77777777" w:rsidR="00E87246" w:rsidRPr="0045124B" w:rsidRDefault="00E87246" w:rsidP="0045124B">
      <w:pPr>
        <w:pStyle w:val="Textonotapie"/>
        <w:jc w:val="both"/>
        <w:rPr>
          <w:rFonts w:ascii="Palatino Linotype" w:hAnsi="Palatino Linotype"/>
          <w:sz w:val="18"/>
          <w:szCs w:val="18"/>
        </w:rPr>
      </w:pPr>
      <w:hyperlink r:id="rId4" w:history="1">
        <w:r w:rsidRPr="0045124B">
          <w:rPr>
            <w:rStyle w:val="Hipervnculo"/>
            <w:rFonts w:ascii="Palatino Linotype" w:hAnsi="Palatino Linotype"/>
            <w:sz w:val="18"/>
            <w:szCs w:val="18"/>
          </w:rPr>
          <w:t>https://www.decideo.com/Aprenda-a-narrar-historias-a-partir-de-los-datos-con-el-Data-Storytelling_a679.html</w:t>
        </w:r>
      </w:hyperlink>
      <w:r w:rsidRPr="0045124B">
        <w:rPr>
          <w:rFonts w:ascii="Palatino Linotype" w:hAnsi="Palatino Linotype"/>
          <w:sz w:val="18"/>
          <w:szCs w:val="18"/>
        </w:rPr>
        <w:t>, consultado el 4 de mayo del 2019.</w:t>
      </w:r>
    </w:p>
  </w:footnote>
  <w:footnote w:id="24">
    <w:p w14:paraId="39203933"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b/>
          <w:sz w:val="18"/>
          <w:szCs w:val="18"/>
        </w:rPr>
        <w:t>Tutorial de Oratoria basado en las obras de Alexei León</w:t>
      </w:r>
      <w:r w:rsidRPr="0045124B">
        <w:rPr>
          <w:rFonts w:ascii="Palatino Linotype" w:hAnsi="Palatino Linotype"/>
          <w:sz w:val="18"/>
          <w:szCs w:val="18"/>
        </w:rPr>
        <w:t xml:space="preserve">. Sitio web oficial de </w:t>
      </w:r>
      <w:hyperlink r:id="rId5" w:history="1">
        <w:r w:rsidRPr="0045124B">
          <w:rPr>
            <w:rStyle w:val="Hipervnculo"/>
            <w:rFonts w:ascii="Palatino Linotype" w:hAnsi="Palatino Linotype"/>
            <w:sz w:val="18"/>
            <w:szCs w:val="18"/>
          </w:rPr>
          <w:t>http://www.oratoriaynegociacion.com.mx/microlecciones-de-oratoria/15-tips-de-oratoria/tip-11-el-movimiento-de-tus-manos</w:t>
        </w:r>
      </w:hyperlink>
      <w:r w:rsidRPr="0045124B">
        <w:rPr>
          <w:rFonts w:ascii="Palatino Linotype" w:hAnsi="Palatino Linotype"/>
          <w:sz w:val="18"/>
          <w:szCs w:val="18"/>
        </w:rPr>
        <w:t>, consultado el 4 de mayo del 2019.</w:t>
      </w:r>
    </w:p>
  </w:footnote>
  <w:footnote w:id="25">
    <w:p w14:paraId="243F323F" w14:textId="77777777" w:rsidR="00E87246" w:rsidRPr="0045124B" w:rsidRDefault="00E87246" w:rsidP="0045124B">
      <w:pPr>
        <w:pStyle w:val="Textonotapie"/>
        <w:jc w:val="both"/>
        <w:rPr>
          <w:rFonts w:ascii="Palatino Linotype" w:hAnsi="Palatino Linotype"/>
          <w:sz w:val="18"/>
          <w:szCs w:val="18"/>
          <w:lang w:val="en-US"/>
        </w:rPr>
      </w:pPr>
      <w:r w:rsidRPr="0045124B">
        <w:rPr>
          <w:rStyle w:val="Refdenotaalpie"/>
          <w:rFonts w:ascii="Palatino Linotype" w:hAnsi="Palatino Linotype"/>
          <w:sz w:val="18"/>
          <w:szCs w:val="18"/>
        </w:rPr>
        <w:footnoteRef/>
      </w:r>
      <w:r w:rsidRPr="0045124B">
        <w:rPr>
          <w:rFonts w:ascii="Palatino Linotype" w:hAnsi="Palatino Linotype"/>
          <w:sz w:val="18"/>
          <w:szCs w:val="18"/>
          <w:lang w:val="en-US"/>
        </w:rPr>
        <w:t xml:space="preserve"> </w:t>
      </w:r>
      <w:r w:rsidRPr="0045124B">
        <w:rPr>
          <w:rFonts w:ascii="Palatino Linotype" w:hAnsi="Palatino Linotype"/>
          <w:b/>
          <w:sz w:val="18"/>
          <w:szCs w:val="18"/>
          <w:lang w:val="en-US"/>
        </w:rPr>
        <w:t>Alexei León</w:t>
      </w:r>
      <w:r w:rsidRPr="0045124B">
        <w:rPr>
          <w:rFonts w:ascii="Palatino Linotype" w:hAnsi="Palatino Linotype"/>
          <w:sz w:val="18"/>
          <w:szCs w:val="18"/>
          <w:lang w:val="en-US"/>
        </w:rPr>
        <w:t xml:space="preserve">. </w:t>
      </w:r>
    </w:p>
  </w:footnote>
  <w:footnote w:id="26">
    <w:p w14:paraId="277750C3" w14:textId="77777777" w:rsidR="00E87246" w:rsidRPr="0045124B" w:rsidRDefault="00E87246" w:rsidP="0045124B">
      <w:pPr>
        <w:pStyle w:val="Textonotapie"/>
        <w:jc w:val="both"/>
        <w:rPr>
          <w:rFonts w:ascii="Palatino Linotype" w:hAnsi="Palatino Linotype"/>
          <w:b/>
          <w:bCs/>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lang w:val="en-US"/>
        </w:rPr>
        <w:t xml:space="preserve"> </w:t>
      </w:r>
      <w:r w:rsidRPr="0045124B">
        <w:rPr>
          <w:rFonts w:ascii="Palatino Linotype" w:hAnsi="Palatino Linotype"/>
          <w:b/>
          <w:bCs/>
          <w:sz w:val="18"/>
          <w:szCs w:val="18"/>
          <w:lang w:val="en-US"/>
        </w:rPr>
        <w:t>Story structure – the hidden framework that hangs your story together escrito por Gavin McMahon</w:t>
      </w:r>
      <w:r w:rsidRPr="0045124B">
        <w:rPr>
          <w:rFonts w:ascii="Palatino Linotype" w:hAnsi="Palatino Linotype"/>
          <w:sz w:val="18"/>
          <w:szCs w:val="18"/>
          <w:lang w:val="en-US"/>
        </w:rPr>
        <w:t xml:space="preserve">. </w:t>
      </w:r>
      <w:r w:rsidRPr="0045124B">
        <w:rPr>
          <w:rFonts w:ascii="Palatino Linotype" w:hAnsi="Palatino Linotype"/>
          <w:sz w:val="18"/>
          <w:szCs w:val="18"/>
        </w:rPr>
        <w:t xml:space="preserve">Sitio web oficial de presentation Guru </w:t>
      </w:r>
      <w:hyperlink r:id="rId6" w:history="1">
        <w:r w:rsidRPr="0045124B">
          <w:rPr>
            <w:rStyle w:val="Hipervnculo"/>
            <w:rFonts w:ascii="Palatino Linotype" w:hAnsi="Palatino Linotype"/>
            <w:sz w:val="18"/>
            <w:szCs w:val="18"/>
          </w:rPr>
          <w:t>https://www.presentation-guru.com/on-structure-the-hidden-framework-that-hangs-your-story-together/</w:t>
        </w:r>
      </w:hyperlink>
      <w:r w:rsidRPr="0045124B">
        <w:rPr>
          <w:rFonts w:ascii="Palatino Linotype" w:hAnsi="Palatino Linotype"/>
          <w:sz w:val="18"/>
          <w:szCs w:val="18"/>
        </w:rPr>
        <w:t>, consultado el 4 de mayo del 2019.</w:t>
      </w:r>
    </w:p>
  </w:footnote>
  <w:footnote w:id="27">
    <w:p w14:paraId="27621352"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b/>
          <w:bCs/>
          <w:sz w:val="18"/>
          <w:szCs w:val="18"/>
        </w:rPr>
        <w:t>Gavin McMahon</w:t>
      </w:r>
    </w:p>
  </w:footnote>
  <w:footnote w:id="28">
    <w:p w14:paraId="63692B6E" w14:textId="77777777" w:rsidR="00E87246" w:rsidRPr="0045124B" w:rsidRDefault="00E87246" w:rsidP="00E87246">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b/>
          <w:bCs/>
          <w:sz w:val="18"/>
          <w:szCs w:val="18"/>
        </w:rPr>
        <w:t>Gavin McMahon</w:t>
      </w:r>
      <w:r w:rsidRPr="0045124B">
        <w:rPr>
          <w:rFonts w:ascii="Palatino Linotype" w:hAnsi="Palatino Linotype"/>
          <w:sz w:val="18"/>
          <w:szCs w:val="18"/>
        </w:rPr>
        <w:t xml:space="preserve">. </w:t>
      </w:r>
    </w:p>
  </w:footnote>
  <w:footnote w:id="29">
    <w:p w14:paraId="59DA5E22" w14:textId="77777777" w:rsidR="00E87246" w:rsidRPr="0045124B" w:rsidRDefault="00E87246" w:rsidP="00E87246">
      <w:pPr>
        <w:pStyle w:val="Textonotapie"/>
        <w:jc w:val="both"/>
        <w:rPr>
          <w:rFonts w:ascii="Palatino Linotype" w:hAnsi="Palatino Linotype"/>
          <w:b/>
          <w:bCs/>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b/>
          <w:bCs/>
          <w:sz w:val="18"/>
          <w:szCs w:val="18"/>
        </w:rPr>
        <w:t xml:space="preserve">Storytelling para la venta de servicios legales escrito por Sandra </w:t>
      </w:r>
      <w:r w:rsidRPr="0045124B">
        <w:rPr>
          <w:rFonts w:ascii="Palatino Linotype" w:hAnsi="Palatino Linotype"/>
          <w:b/>
          <w:sz w:val="18"/>
          <w:szCs w:val="18"/>
        </w:rPr>
        <w:t>Cuesta</w:t>
      </w:r>
      <w:r w:rsidRPr="0045124B">
        <w:rPr>
          <w:rFonts w:ascii="Palatino Linotype" w:hAnsi="Palatino Linotype"/>
          <w:sz w:val="18"/>
          <w:szCs w:val="18"/>
        </w:rPr>
        <w:t xml:space="preserve">. Sitio web oficial de Sandra Cuesta </w:t>
      </w:r>
      <w:hyperlink r:id="rId7" w:history="1">
        <w:r w:rsidRPr="0045124B">
          <w:rPr>
            <w:rStyle w:val="Hipervnculo"/>
            <w:rFonts w:ascii="Palatino Linotype" w:hAnsi="Palatino Linotype"/>
            <w:sz w:val="18"/>
            <w:szCs w:val="18"/>
          </w:rPr>
          <w:t>https://sandracuesta.com/marketing-y-comunicacion/storytelling/</w:t>
        </w:r>
      </w:hyperlink>
      <w:r w:rsidRPr="0045124B">
        <w:rPr>
          <w:rFonts w:ascii="Palatino Linotype" w:hAnsi="Palatino Linotype"/>
          <w:sz w:val="18"/>
          <w:szCs w:val="18"/>
        </w:rPr>
        <w:t>, consultado el 4 de mayo del 2019.</w:t>
      </w:r>
    </w:p>
  </w:footnote>
  <w:footnote w:id="30">
    <w:p w14:paraId="5F7D9F6E"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b/>
          <w:bCs/>
          <w:sz w:val="18"/>
          <w:szCs w:val="18"/>
        </w:rPr>
        <w:t>Demanda contra Volkswagen presentada en Estados Unidos en el distrito Norte de California el 22 de Febrero del 2016</w:t>
      </w:r>
      <w:r w:rsidRPr="0045124B">
        <w:rPr>
          <w:rFonts w:ascii="Palatino Linotype" w:hAnsi="Palatino Linotype"/>
          <w:sz w:val="18"/>
          <w:szCs w:val="18"/>
        </w:rPr>
        <w:t xml:space="preserve"> Sitio web oficial de </w:t>
      </w:r>
      <w:hyperlink r:id="rId8" w:history="1">
        <w:r w:rsidRPr="0045124B">
          <w:rPr>
            <w:rStyle w:val="Hipervnculo"/>
            <w:rFonts w:ascii="Palatino Linotype" w:hAnsi="Palatino Linotype"/>
            <w:sz w:val="18"/>
            <w:szCs w:val="18"/>
          </w:rPr>
          <w:t>https://www.hbsslaw.com/</w:t>
        </w:r>
      </w:hyperlink>
      <w:r w:rsidRPr="0045124B">
        <w:rPr>
          <w:rFonts w:ascii="Palatino Linotype" w:hAnsi="Palatino Linotype"/>
          <w:sz w:val="18"/>
          <w:szCs w:val="18"/>
        </w:rPr>
        <w:t xml:space="preserve"> bajo el link </w:t>
      </w:r>
      <w:hyperlink r:id="rId9" w:history="1">
        <w:r w:rsidRPr="0045124B">
          <w:rPr>
            <w:rStyle w:val="Hipervnculo"/>
            <w:rFonts w:ascii="Palatino Linotype" w:hAnsi="Palatino Linotype"/>
            <w:sz w:val="18"/>
            <w:szCs w:val="18"/>
          </w:rPr>
          <w:t>https://www.hbsslaw.com/uploads/case_downloads/volkswagen/2.21_hagens_berman_vw_plaintiffs_consolidated__classaction_complaint.pdf</w:t>
        </w:r>
      </w:hyperlink>
      <w:r w:rsidRPr="0045124B">
        <w:rPr>
          <w:rFonts w:ascii="Palatino Linotype" w:hAnsi="Palatino Linotype"/>
          <w:sz w:val="18"/>
          <w:szCs w:val="18"/>
        </w:rPr>
        <w:t xml:space="preserve"> consultado el 4 de mayo del 2019</w:t>
      </w:r>
    </w:p>
  </w:footnote>
  <w:footnote w:id="31">
    <w:p w14:paraId="715A2A1B"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b/>
          <w:bCs/>
          <w:sz w:val="18"/>
          <w:szCs w:val="18"/>
        </w:rPr>
        <w:t>Storytelling para Abogados</w:t>
      </w:r>
      <w:r w:rsidRPr="0045124B">
        <w:rPr>
          <w:rFonts w:ascii="Palatino Linotype" w:hAnsi="Palatino Linotype"/>
          <w:sz w:val="18"/>
          <w:szCs w:val="18"/>
        </w:rPr>
        <w:t xml:space="preserve">. Sitio web oficial de Litigio de Autor </w:t>
      </w:r>
      <w:hyperlink r:id="rId10" w:history="1">
        <w:r w:rsidRPr="0045124B">
          <w:rPr>
            <w:rStyle w:val="Hipervnculo"/>
            <w:rFonts w:ascii="Palatino Linotype" w:hAnsi="Palatino Linotype"/>
            <w:sz w:val="18"/>
            <w:szCs w:val="18"/>
          </w:rPr>
          <w:t>http://www.litigiodeautor.com/storytelling-para-abogados/</w:t>
        </w:r>
      </w:hyperlink>
      <w:r w:rsidRPr="0045124B">
        <w:rPr>
          <w:rFonts w:ascii="Palatino Linotype" w:hAnsi="Palatino Linotype"/>
          <w:sz w:val="18"/>
          <w:szCs w:val="18"/>
        </w:rPr>
        <w:t xml:space="preserve">, consultado el 4 de mayo del 2019. </w:t>
      </w:r>
    </w:p>
  </w:footnote>
  <w:footnote w:id="32">
    <w:p w14:paraId="2B0E4446" w14:textId="77777777" w:rsidR="00E87246" w:rsidRPr="0045124B" w:rsidRDefault="00E87246" w:rsidP="0045124B">
      <w:pPr>
        <w:pStyle w:val="Textonotapie"/>
        <w:jc w:val="both"/>
        <w:rPr>
          <w:rFonts w:ascii="Palatino Linotype" w:hAnsi="Palatino Linotype"/>
          <w:b/>
          <w:bCs/>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b/>
          <w:bCs/>
          <w:sz w:val="18"/>
          <w:szCs w:val="18"/>
        </w:rPr>
        <w:t>Cómo con el storytelling un despacho de abogados puede obtener clientes</w:t>
      </w:r>
    </w:p>
    <w:p w14:paraId="5D5DEBA6" w14:textId="77777777" w:rsidR="00E87246" w:rsidRPr="0045124B" w:rsidRDefault="00E87246" w:rsidP="0045124B">
      <w:pPr>
        <w:pStyle w:val="Textonotapie"/>
        <w:jc w:val="both"/>
        <w:rPr>
          <w:rFonts w:ascii="Palatino Linotype" w:hAnsi="Palatino Linotype"/>
          <w:sz w:val="18"/>
          <w:szCs w:val="18"/>
        </w:rPr>
      </w:pPr>
      <w:r w:rsidRPr="0045124B">
        <w:rPr>
          <w:rFonts w:ascii="Palatino Linotype" w:hAnsi="Palatino Linotype"/>
          <w:b/>
          <w:bCs/>
          <w:sz w:val="18"/>
          <w:szCs w:val="18"/>
        </w:rPr>
        <w:t xml:space="preserve">por Edmundo Pérez Garza </w:t>
      </w:r>
      <w:r w:rsidRPr="0045124B">
        <w:rPr>
          <w:rFonts w:ascii="Palatino Linotype" w:hAnsi="Palatino Linotype"/>
          <w:sz w:val="18"/>
          <w:szCs w:val="18"/>
        </w:rPr>
        <w:t xml:space="preserve"> Sitio web oficial de </w:t>
      </w:r>
      <w:hyperlink r:id="rId11" w:history="1">
        <w:hyperlink r:id="rId12" w:history="1">
          <w:r w:rsidRPr="0045124B">
            <w:rPr>
              <w:rStyle w:val="Hipervnculo"/>
              <w:rFonts w:ascii="Palatino Linotype" w:hAnsi="Palatino Linotype"/>
              <w:sz w:val="18"/>
              <w:szCs w:val="18"/>
            </w:rPr>
            <w:t>https://marketingjuridicodigital.com</w:t>
          </w:r>
        </w:hyperlink>
        <w:r w:rsidRPr="0045124B">
          <w:rPr>
            <w:rStyle w:val="Hipervnculo"/>
            <w:rFonts w:ascii="Palatino Linotype" w:hAnsi="Palatino Linotype"/>
            <w:sz w:val="18"/>
            <w:szCs w:val="18"/>
          </w:rPr>
          <w:t>/</w:t>
        </w:r>
      </w:hyperlink>
      <w:r w:rsidRPr="0045124B">
        <w:rPr>
          <w:rFonts w:ascii="Palatino Linotype" w:hAnsi="Palatino Linotype"/>
          <w:sz w:val="18"/>
          <w:szCs w:val="18"/>
        </w:rPr>
        <w:t xml:space="preserve"> bajo el link </w:t>
      </w:r>
      <w:hyperlink r:id="rId13" w:history="1">
        <w:r w:rsidRPr="0045124B">
          <w:rPr>
            <w:rStyle w:val="Hipervnculo"/>
            <w:rFonts w:ascii="Palatino Linotype" w:hAnsi="Palatino Linotype"/>
            <w:sz w:val="18"/>
            <w:szCs w:val="18"/>
          </w:rPr>
          <w:t>https://marketingjuridicodigital.com/storytelling-despacho-abogados-obtener-clientes/</w:t>
        </w:r>
      </w:hyperlink>
      <w:r w:rsidRPr="0045124B">
        <w:rPr>
          <w:rFonts w:ascii="Palatino Linotype" w:hAnsi="Palatino Linotype"/>
          <w:sz w:val="18"/>
          <w:szCs w:val="18"/>
        </w:rPr>
        <w:t>consultado el 4 de mayo del 2019</w:t>
      </w:r>
    </w:p>
  </w:footnote>
  <w:footnote w:id="33">
    <w:p w14:paraId="5FFD8A92" w14:textId="77777777" w:rsidR="00E87246" w:rsidRPr="0045124B" w:rsidRDefault="00E87246" w:rsidP="0045124B">
      <w:pPr>
        <w:pStyle w:val="Textonotapie"/>
        <w:jc w:val="both"/>
        <w:rPr>
          <w:rFonts w:ascii="Palatino Linotype" w:hAnsi="Palatino Linotype"/>
          <w:b/>
          <w:bCs/>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b/>
          <w:bCs/>
          <w:sz w:val="18"/>
          <w:szCs w:val="18"/>
        </w:rPr>
        <w:t xml:space="preserve">What really makes a good story </w:t>
      </w:r>
      <w:r w:rsidRPr="0045124B">
        <w:rPr>
          <w:rFonts w:ascii="Palatino Linotype" w:hAnsi="Palatino Linotype"/>
          <w:sz w:val="18"/>
          <w:szCs w:val="18"/>
        </w:rPr>
        <w:t xml:space="preserve">Sitio web oficial de The Abc copywriting bajo el link </w:t>
      </w:r>
      <w:hyperlink r:id="rId14" w:history="1">
        <w:r w:rsidRPr="0045124B">
          <w:rPr>
            <w:rFonts w:ascii="Palatino Linotype" w:hAnsi="Palatino Linotype"/>
            <w:sz w:val="18"/>
            <w:szCs w:val="18"/>
          </w:rPr>
          <w:t xml:space="preserve"> </w:t>
        </w:r>
        <w:hyperlink r:id="rId15" w:history="1">
          <w:r w:rsidRPr="0045124B">
            <w:rPr>
              <w:rStyle w:val="Hipervnculo"/>
              <w:rFonts w:ascii="Palatino Linotype" w:hAnsi="Palatino Linotype"/>
              <w:sz w:val="18"/>
              <w:szCs w:val="18"/>
            </w:rPr>
            <w:t>https://www.abccopywriting.com/2013/12/10/what-really-makes-a-good-story</w:t>
          </w:r>
        </w:hyperlink>
        <w:r w:rsidRPr="0045124B">
          <w:rPr>
            <w:rStyle w:val="Hipervnculo"/>
            <w:rFonts w:ascii="Palatino Linotype" w:hAnsi="Palatino Linotype"/>
            <w:sz w:val="18"/>
            <w:szCs w:val="18"/>
          </w:rPr>
          <w:t>/</w:t>
        </w:r>
      </w:hyperlink>
      <w:r w:rsidRPr="0045124B">
        <w:rPr>
          <w:rFonts w:ascii="Palatino Linotype" w:hAnsi="Palatino Linotype"/>
          <w:sz w:val="18"/>
          <w:szCs w:val="18"/>
        </w:rPr>
        <w:t xml:space="preserve">consultado el 4 de mayo del 2019 </w:t>
      </w:r>
    </w:p>
  </w:footnote>
  <w:footnote w:id="34">
    <w:p w14:paraId="0C65C931" w14:textId="77777777" w:rsidR="00E87246" w:rsidRPr="0045124B" w:rsidRDefault="00E87246" w:rsidP="0045124B">
      <w:pPr>
        <w:pStyle w:val="Textonotapie"/>
        <w:jc w:val="both"/>
        <w:rPr>
          <w:rFonts w:ascii="Palatino Linotype" w:hAnsi="Palatino Linotype"/>
          <w:b/>
          <w:bCs/>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b/>
          <w:bCs/>
          <w:sz w:val="18"/>
          <w:szCs w:val="18"/>
        </w:rPr>
        <w:t xml:space="preserve">El mito de los quince minutos de atención por José R. Alonso  </w:t>
      </w:r>
      <w:r w:rsidRPr="0045124B">
        <w:rPr>
          <w:rFonts w:ascii="Palatino Linotype" w:hAnsi="Palatino Linotype"/>
          <w:sz w:val="18"/>
          <w:szCs w:val="18"/>
        </w:rPr>
        <w:t xml:space="preserve">Sitio web oficial de José R. Alonso bajo el link </w:t>
      </w:r>
      <w:hyperlink r:id="rId16" w:history="1">
        <w:r w:rsidRPr="0045124B">
          <w:rPr>
            <w:rStyle w:val="Hipervnculo"/>
            <w:rFonts w:ascii="Palatino Linotype" w:hAnsi="Palatino Linotype"/>
            <w:sz w:val="18"/>
            <w:szCs w:val="18"/>
          </w:rPr>
          <w:t>https://jralonso.es/2017/09/06/el-mito-de-los-quince-minutos-de-atencion/</w:t>
        </w:r>
      </w:hyperlink>
      <w:r w:rsidRPr="0045124B">
        <w:rPr>
          <w:rFonts w:ascii="Palatino Linotype" w:hAnsi="Palatino Linotype"/>
          <w:sz w:val="18"/>
          <w:szCs w:val="18"/>
        </w:rPr>
        <w:t>consultado el 4 de mayo del 2019</w:t>
      </w:r>
    </w:p>
  </w:footnote>
  <w:footnote w:id="35">
    <w:p w14:paraId="37E42675" w14:textId="77777777" w:rsidR="00E87246" w:rsidRPr="0045124B" w:rsidRDefault="00E87246" w:rsidP="0045124B">
      <w:pPr>
        <w:pStyle w:val="Textonotapie"/>
        <w:jc w:val="both"/>
        <w:rPr>
          <w:rFonts w:ascii="Palatino Linotype" w:hAnsi="Palatino Linotype"/>
          <w:sz w:val="18"/>
          <w:szCs w:val="18"/>
          <w:lang w:val="en-US"/>
        </w:rPr>
      </w:pPr>
      <w:r w:rsidRPr="0045124B">
        <w:rPr>
          <w:rStyle w:val="Refdenotaalpie"/>
          <w:rFonts w:ascii="Palatino Linotype" w:hAnsi="Palatino Linotype"/>
          <w:sz w:val="18"/>
          <w:szCs w:val="18"/>
        </w:rPr>
        <w:footnoteRef/>
      </w:r>
      <w:r w:rsidRPr="0045124B">
        <w:rPr>
          <w:rFonts w:ascii="Palatino Linotype" w:hAnsi="Palatino Linotype"/>
          <w:sz w:val="18"/>
          <w:szCs w:val="18"/>
          <w:lang w:val="en-US"/>
        </w:rPr>
        <w:t xml:space="preserve"> </w:t>
      </w:r>
      <w:r w:rsidRPr="0045124B">
        <w:rPr>
          <w:rFonts w:ascii="Palatino Linotype" w:hAnsi="Palatino Linotype"/>
          <w:b/>
          <w:bCs/>
          <w:sz w:val="18"/>
          <w:szCs w:val="18"/>
          <w:lang w:val="en-US"/>
        </w:rPr>
        <w:t>What really makes a good story</w:t>
      </w:r>
    </w:p>
  </w:footnote>
  <w:footnote w:id="36">
    <w:p w14:paraId="46A41F2F" w14:textId="77777777" w:rsidR="00E87246" w:rsidRPr="0045124B" w:rsidRDefault="00E87246" w:rsidP="0045124B">
      <w:pPr>
        <w:pStyle w:val="Textonotapie"/>
        <w:jc w:val="both"/>
        <w:rPr>
          <w:rFonts w:ascii="Palatino Linotype" w:hAnsi="Palatino Linotype"/>
          <w:sz w:val="18"/>
          <w:szCs w:val="18"/>
          <w:lang w:val="en-US"/>
        </w:rPr>
      </w:pPr>
      <w:r w:rsidRPr="0045124B">
        <w:rPr>
          <w:rStyle w:val="Refdenotaalpie"/>
          <w:rFonts w:ascii="Palatino Linotype" w:hAnsi="Palatino Linotype"/>
          <w:sz w:val="18"/>
          <w:szCs w:val="18"/>
        </w:rPr>
        <w:footnoteRef/>
      </w:r>
      <w:r w:rsidRPr="0045124B">
        <w:rPr>
          <w:rFonts w:ascii="Palatino Linotype" w:hAnsi="Palatino Linotype"/>
          <w:sz w:val="18"/>
          <w:szCs w:val="18"/>
          <w:lang w:val="en-US"/>
        </w:rPr>
        <w:t xml:space="preserve"> </w:t>
      </w:r>
      <w:r w:rsidRPr="0045124B">
        <w:rPr>
          <w:rFonts w:ascii="Palatino Linotype" w:hAnsi="Palatino Linotype"/>
          <w:b/>
          <w:bCs/>
          <w:sz w:val="18"/>
          <w:szCs w:val="18"/>
          <w:lang w:val="en-US"/>
        </w:rPr>
        <w:t xml:space="preserve">What really makes a good story </w:t>
      </w:r>
    </w:p>
  </w:footnote>
  <w:footnote w:id="37">
    <w:p w14:paraId="214D2F42" w14:textId="77777777" w:rsidR="00E87246" w:rsidRPr="0045124B" w:rsidRDefault="00E87246" w:rsidP="0045124B">
      <w:pPr>
        <w:pStyle w:val="Textonotapie"/>
        <w:jc w:val="both"/>
        <w:rPr>
          <w:rFonts w:ascii="Palatino Linotype" w:hAnsi="Palatino Linotype"/>
          <w:sz w:val="18"/>
          <w:szCs w:val="18"/>
          <w:lang w:val="en-US"/>
        </w:rPr>
      </w:pPr>
      <w:r w:rsidRPr="0045124B">
        <w:rPr>
          <w:rStyle w:val="Refdenotaalpie"/>
          <w:rFonts w:ascii="Palatino Linotype" w:hAnsi="Palatino Linotype"/>
          <w:sz w:val="18"/>
          <w:szCs w:val="18"/>
        </w:rPr>
        <w:footnoteRef/>
      </w:r>
      <w:r w:rsidRPr="0045124B">
        <w:rPr>
          <w:rFonts w:ascii="Palatino Linotype" w:hAnsi="Palatino Linotype"/>
          <w:sz w:val="18"/>
          <w:szCs w:val="18"/>
          <w:lang w:val="en-US"/>
        </w:rPr>
        <w:t xml:space="preserve"> </w:t>
      </w:r>
      <w:bookmarkStart w:id="6" w:name="_Hlk7949937"/>
      <w:r w:rsidRPr="0045124B">
        <w:rPr>
          <w:rFonts w:ascii="Palatino Linotype" w:hAnsi="Palatino Linotype"/>
          <w:b/>
          <w:bCs/>
          <w:sz w:val="18"/>
          <w:szCs w:val="18"/>
          <w:lang w:val="en-US"/>
        </w:rPr>
        <w:t xml:space="preserve">What really makes a good story </w:t>
      </w:r>
      <w:bookmarkEnd w:id="6"/>
    </w:p>
  </w:footnote>
  <w:footnote w:id="38">
    <w:p w14:paraId="56FB36E7" w14:textId="77777777" w:rsidR="00E87246" w:rsidRPr="0045124B" w:rsidRDefault="00E87246" w:rsidP="0045124B">
      <w:pPr>
        <w:spacing w:after="0"/>
        <w:jc w:val="both"/>
        <w:rPr>
          <w:rFonts w:ascii="Palatino Linotype" w:eastAsia="Times New Roman" w:hAnsi="Palatino Linotype" w:cs="Times New Roman"/>
          <w:color w:val="000000"/>
          <w:sz w:val="18"/>
          <w:szCs w:val="18"/>
          <w:lang w:val="es-CR"/>
        </w:rPr>
      </w:pPr>
      <w:r w:rsidRPr="0045124B">
        <w:rPr>
          <w:rFonts w:ascii="Palatino Linotype" w:eastAsia="Times New Roman" w:hAnsi="Palatino Linotype" w:cs="Times New Roman"/>
          <w:color w:val="000000"/>
          <w:sz w:val="18"/>
          <w:szCs w:val="18"/>
          <w:vertAlign w:val="superscript"/>
          <w:lang w:val="es-CR"/>
        </w:rPr>
        <w:t>*</w:t>
      </w:r>
      <w:r w:rsidRPr="0045124B">
        <w:rPr>
          <w:rFonts w:ascii="Palatino Linotype" w:eastAsia="Times New Roman" w:hAnsi="Palatino Linotype" w:cs="Times New Roman"/>
          <w:color w:val="000000"/>
          <w:sz w:val="18"/>
          <w:szCs w:val="18"/>
          <w:lang w:val="es-CR"/>
        </w:rPr>
        <w:t>Doctor y Magister en Derecho Procesal por la Universidad Nacional de Rosario (Argentina). Doctor en Derecho Procesal Civil por la Universidad Escuela Libre de Derecho. Presidente del Capítulo Costa Rica del Instituto Panamericano de Derecho Procesal. Secretario General del Instituto Costarricense de Derecho Procesal Científico. Profesor Universitario. Autor de 56 libros en Derecho Procesal. Juez Titular del Tribunal Agrario.</w:t>
      </w:r>
    </w:p>
  </w:footnote>
  <w:footnote w:id="39">
    <w:p w14:paraId="30451F54" w14:textId="77777777" w:rsidR="00E87246" w:rsidRPr="0045124B" w:rsidRDefault="00E87246" w:rsidP="0045124B">
      <w:pPr>
        <w:pStyle w:val="Textonotapie"/>
        <w:jc w:val="both"/>
        <w:rPr>
          <w:rFonts w:ascii="Palatino Linotype" w:hAnsi="Palatino Linotype"/>
          <w:sz w:val="18"/>
          <w:szCs w:val="18"/>
          <w:lang w:val="es-ES"/>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ES"/>
        </w:rPr>
        <w:t xml:space="preserve">ROJAS FRANCO, Enrique. </w:t>
      </w:r>
      <w:r w:rsidRPr="0045124B">
        <w:rPr>
          <w:rFonts w:ascii="Palatino Linotype" w:hAnsi="Palatino Linotype"/>
          <w:b/>
          <w:sz w:val="18"/>
          <w:szCs w:val="18"/>
          <w:u w:val="single"/>
          <w:lang w:val="es-ES"/>
        </w:rPr>
        <w:t>El Incidente de Suspensión del Acto Administrativo en la vía judicial.</w:t>
      </w:r>
      <w:r w:rsidRPr="0045124B">
        <w:rPr>
          <w:rFonts w:ascii="Palatino Linotype" w:hAnsi="Palatino Linotype"/>
          <w:sz w:val="18"/>
          <w:szCs w:val="18"/>
          <w:lang w:val="es-ES"/>
        </w:rPr>
        <w:t xml:space="preserve"> San José, Imprenta Lil, 2 edición, 1982, página 47.</w:t>
      </w:r>
    </w:p>
  </w:footnote>
  <w:footnote w:id="40">
    <w:p w14:paraId="66CFAF1F" w14:textId="77777777" w:rsidR="00E87246" w:rsidRPr="0045124B" w:rsidRDefault="00E87246" w:rsidP="0045124B">
      <w:pPr>
        <w:pStyle w:val="Textonotapie"/>
        <w:jc w:val="both"/>
        <w:rPr>
          <w:rFonts w:ascii="Palatino Linotype" w:hAnsi="Palatino Linotype"/>
          <w:sz w:val="18"/>
          <w:szCs w:val="18"/>
          <w:lang w:val="es-ES"/>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En ese mismo sentido, ROJAS FRANCO, ENRIQUE, en su ibid, página 61.</w:t>
      </w:r>
    </w:p>
  </w:footnote>
  <w:footnote w:id="41">
    <w:p w14:paraId="2DF56278" w14:textId="77777777" w:rsidR="00E87246" w:rsidRPr="0045124B" w:rsidRDefault="00E87246" w:rsidP="0045124B">
      <w:pPr>
        <w:spacing w:after="0" w:line="235" w:lineRule="auto"/>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Abogado litigante. Co-redactor del nuevo Código Procesal Civil Costa Rica, 2018. Profesor de Derecho Procesal Civil de la Universidad de Costa Rica.  Autor de más de 10 obras, con el nuevo Código Procesal Civil. Presidente de Instituto Costarricense de Derecho Procesal. </w:t>
      </w:r>
    </w:p>
  </w:footnote>
  <w:footnote w:id="42">
    <w:p w14:paraId="39CF69BD"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ES"/>
        </w:rPr>
        <w:t xml:space="preserve">Abogada y notaria. Máster en Razonamiento Probatorio por la Universidad de Girona, España y la Universidad de Génova, Italia. Doctorando del Programa Doctoral de Procesal Civil y Derecho Comercial de la Universidad Escuela Libre de Derecho, Costa Rica. Licenciada en Derecho de esa misma casa de enseñanza. Miembro fundador del Instituto Panamericano de Derecho Procesal – Capítulo Costa Rica-. </w:t>
      </w:r>
    </w:p>
  </w:footnote>
  <w:footnote w:id="43">
    <w:p w14:paraId="651850D3" w14:textId="77777777" w:rsidR="00E87246" w:rsidRPr="0045124B" w:rsidRDefault="00E87246" w:rsidP="0045124B">
      <w:pPr>
        <w:pStyle w:val="Textonotapie"/>
        <w:jc w:val="both"/>
        <w:rPr>
          <w:rFonts w:ascii="Palatino Linotype" w:hAnsi="Palatino Linotype"/>
          <w:i/>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Nuevo Código Procesal Civil, Ley 9342 del 03 de febrero del 2018. Publicado en el alcance digital n.</w:t>
      </w:r>
      <w:r w:rsidRPr="0045124B">
        <w:rPr>
          <w:rFonts w:ascii="Palatino Linotype" w:hAnsi="Palatino Linotype"/>
          <w:sz w:val="18"/>
          <w:szCs w:val="18"/>
          <w:vertAlign w:val="superscript"/>
        </w:rPr>
        <w:t>o</w:t>
      </w:r>
      <w:r w:rsidRPr="0045124B">
        <w:rPr>
          <w:rFonts w:ascii="Palatino Linotype" w:hAnsi="Palatino Linotype"/>
          <w:sz w:val="18"/>
          <w:szCs w:val="18"/>
        </w:rPr>
        <w:t xml:space="preserve"> 54 de La Gaceta n.</w:t>
      </w:r>
      <w:r w:rsidRPr="0045124B">
        <w:rPr>
          <w:rFonts w:ascii="Palatino Linotype" w:hAnsi="Palatino Linotype"/>
          <w:sz w:val="18"/>
          <w:szCs w:val="18"/>
          <w:vertAlign w:val="superscript"/>
        </w:rPr>
        <w:t>o</w:t>
      </w:r>
      <w:r w:rsidRPr="0045124B">
        <w:rPr>
          <w:rFonts w:ascii="Palatino Linotype" w:hAnsi="Palatino Linotype"/>
          <w:sz w:val="18"/>
          <w:szCs w:val="18"/>
        </w:rPr>
        <w:t xml:space="preserve"> 68 del viernes 08 de abril del 2016.</w:t>
      </w:r>
    </w:p>
  </w:footnote>
  <w:footnote w:id="44">
    <w:p w14:paraId="70E18E55"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Código Procesal Civil, Ley n.</w:t>
      </w:r>
      <w:r w:rsidRPr="0045124B">
        <w:rPr>
          <w:rFonts w:ascii="Palatino Linotype" w:hAnsi="Palatino Linotype"/>
          <w:sz w:val="18"/>
          <w:szCs w:val="18"/>
          <w:vertAlign w:val="superscript"/>
        </w:rPr>
        <w:t>o</w:t>
      </w:r>
      <w:r w:rsidRPr="0045124B">
        <w:rPr>
          <w:rFonts w:ascii="Palatino Linotype" w:hAnsi="Palatino Linotype"/>
          <w:sz w:val="18"/>
          <w:szCs w:val="18"/>
        </w:rPr>
        <w:t xml:space="preserve"> 7130 del 22 de julio de 1989.</w:t>
      </w:r>
    </w:p>
  </w:footnote>
  <w:footnote w:id="45">
    <w:p w14:paraId="181E515C"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Los sesgos cognitivos fueron estudiados inicialmente por Kahneman y Tversky quienes refieren que los seres humanos confiamos en ciertas formas de pensamiento – principio heurístico-, los cuales reducen las tareas complejas de asignar probabilidad </w:t>
      </w:r>
      <w:r w:rsidRPr="0045124B">
        <w:rPr>
          <w:rFonts w:ascii="Palatino Linotype" w:hAnsi="Palatino Linotype"/>
          <w:color w:val="000000"/>
          <w:sz w:val="18"/>
          <w:szCs w:val="18"/>
        </w:rPr>
        <w:t>y predecir</w:t>
      </w:r>
      <w:r w:rsidRPr="0045124B">
        <w:rPr>
          <w:rFonts w:ascii="Palatino Linotype" w:hAnsi="Palatino Linotype"/>
          <w:color w:val="FF0000"/>
          <w:sz w:val="18"/>
          <w:szCs w:val="18"/>
        </w:rPr>
        <w:t xml:space="preserve"> </w:t>
      </w:r>
      <w:r w:rsidRPr="0045124B">
        <w:rPr>
          <w:rFonts w:ascii="Palatino Linotype" w:hAnsi="Palatino Linotype"/>
          <w:sz w:val="18"/>
          <w:szCs w:val="18"/>
        </w:rPr>
        <w:t>valores a operaciones de juicio más simples. Entre los sesgos que se identifican está el llamado sesgo de confirmación (</w:t>
      </w:r>
      <w:r w:rsidRPr="0045124B">
        <w:rPr>
          <w:rFonts w:ascii="Palatino Linotype" w:hAnsi="Palatino Linotype"/>
          <w:i/>
          <w:sz w:val="18"/>
          <w:szCs w:val="18"/>
        </w:rPr>
        <w:t xml:space="preserve">confirmation bias), </w:t>
      </w:r>
      <w:r w:rsidRPr="0045124B">
        <w:rPr>
          <w:rFonts w:ascii="Palatino Linotype" w:hAnsi="Palatino Linotype"/>
          <w:sz w:val="18"/>
          <w:szCs w:val="18"/>
        </w:rPr>
        <w:t xml:space="preserve">este consiste en que el sujeto, en este caso el juez, </w:t>
      </w:r>
      <w:r w:rsidRPr="0045124B">
        <w:rPr>
          <w:rFonts w:ascii="Palatino Linotype" w:hAnsi="Palatino Linotype"/>
          <w:i/>
          <w:sz w:val="18"/>
          <w:szCs w:val="18"/>
        </w:rPr>
        <w:t xml:space="preserve">filtra la información que recibe, de manera que, de forma inconsciente, busca y sobrevalora las pruebas y argumentos que confirman su propia posición inicial, e ignora y no valora las pruebas y argumentos que no respaldan la </w:t>
      </w:r>
      <w:r w:rsidRPr="0045124B">
        <w:rPr>
          <w:rFonts w:ascii="Palatino Linotype" w:hAnsi="Palatino Linotype"/>
          <w:i/>
          <w:color w:val="000000"/>
          <w:sz w:val="18"/>
          <w:szCs w:val="18"/>
        </w:rPr>
        <w:t>misma (Muñoz Aranguren, 2011, p.8)</w:t>
      </w:r>
      <w:r w:rsidRPr="0045124B">
        <w:rPr>
          <w:rFonts w:ascii="Palatino Linotype" w:hAnsi="Palatino Linotype"/>
          <w:color w:val="000000"/>
          <w:sz w:val="18"/>
          <w:szCs w:val="18"/>
        </w:rPr>
        <w:t xml:space="preserve"> El sesgo puede presentarse en la reunión, interpretación o recuperación de</w:t>
      </w:r>
      <w:r w:rsidRPr="0045124B">
        <w:rPr>
          <w:rFonts w:ascii="Palatino Linotype" w:hAnsi="Palatino Linotype"/>
          <w:sz w:val="18"/>
          <w:szCs w:val="18"/>
        </w:rPr>
        <w:t xml:space="preserve"> información, que en términos del proceso podemos trasladarlos a la admisión, práctica y valoración de la prueba. </w:t>
      </w:r>
    </w:p>
  </w:footnote>
  <w:footnote w:id="46">
    <w:p w14:paraId="5E240146"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Justicia pronta y cumplida, calidad de la justicia; efectivo cumplimiento de los deberes procesales de las partes y el juez, uso del debido lenguaje procesal, facilidad técnica del código, eficientes facultades del juez director, flexibilización de las normas procesales, con el fin de buscar soluciones efectivas, adecuación de las normas procesales a la perspectiva de género. Así establecidos por la Corte Suprema de Justicia, en oficio n.º SP-44-12 del 21 de febrero de 2012.</w:t>
      </w:r>
    </w:p>
  </w:footnote>
  <w:footnote w:id="47">
    <w:p w14:paraId="2651C5E1" w14:textId="77777777" w:rsidR="00E87246" w:rsidRPr="0045124B" w:rsidRDefault="00E87246" w:rsidP="0045124B">
      <w:pPr>
        <w:pStyle w:val="Textonotapie"/>
        <w:jc w:val="both"/>
        <w:rPr>
          <w:rFonts w:ascii="Palatino Linotype" w:hAnsi="Palatino Linotype"/>
          <w:b/>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La exposición de motivos en este apartado indica: </w:t>
      </w:r>
      <w:r w:rsidRPr="0045124B">
        <w:rPr>
          <w:rFonts w:ascii="Palatino Linotype" w:hAnsi="Palatino Linotype"/>
          <w:b/>
          <w:sz w:val="18"/>
          <w:szCs w:val="18"/>
        </w:rPr>
        <w:t xml:space="preserve">Eficientes facultades del juez director: </w:t>
      </w:r>
      <w:r w:rsidRPr="0045124B">
        <w:rPr>
          <w:rFonts w:ascii="Palatino Linotype" w:hAnsi="Palatino Linotype"/>
          <w:i/>
          <w:sz w:val="18"/>
          <w:szCs w:val="18"/>
          <w:lang w:val="es-ES_tradnl"/>
        </w:rPr>
        <w:t xml:space="preserve">En un sistema procesal moderno </w:t>
      </w:r>
      <w:r w:rsidRPr="0045124B">
        <w:rPr>
          <w:rFonts w:ascii="Palatino Linotype" w:hAnsi="Palatino Linotype"/>
          <w:b/>
          <w:i/>
          <w:sz w:val="18"/>
          <w:szCs w:val="18"/>
          <w:lang w:val="es-ES_tradnl"/>
        </w:rPr>
        <w:t>influenciado por la oralidad, requiere un juez que tenga poderes suficientes para ejercer su función</w:t>
      </w:r>
      <w:r w:rsidRPr="0045124B">
        <w:rPr>
          <w:rFonts w:ascii="Palatino Linotype" w:hAnsi="Palatino Linotype"/>
          <w:i/>
          <w:sz w:val="18"/>
          <w:szCs w:val="18"/>
          <w:lang w:val="es-ES_tradnl"/>
        </w:rPr>
        <w:t>. Al juzgador se le deben dar las herramientas para hacer que las partes cumplan con las reglas de respeto y buena fe. Lógicamente, no se trata de tener un Juez autoritario, ni la normativa procesal podría concebirlo, porque violaría las normas constitucionales; se trata de que la legislación otorgue al tribunal una participación más efectiva en la solución del conflicto, con las armas jurídicas que necesita para ello.</w:t>
      </w:r>
    </w:p>
  </w:footnote>
  <w:footnote w:id="48">
    <w:p w14:paraId="2A210E59"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Este aspecto será analizado con mayor detalle en la siguiente sección.</w:t>
      </w:r>
    </w:p>
  </w:footnote>
  <w:footnote w:id="49">
    <w:p w14:paraId="51303C5B"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Potestades del Tribunal. El tribunal tendrá las siguientes potestades: 1..., 2…; 3…, 4…, 5…, 6. Procurar la búsqueda de la verdad dentro de los límites establecidos por el ordenamiento jurídico.</w:t>
      </w:r>
    </w:p>
  </w:footnote>
  <w:footnote w:id="50">
    <w:p w14:paraId="42884899"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Pues la finalidad del proceso es resolver el conflicto y bajo ese fin la decisión correcta será aquella que satisfaga a las partes</w:t>
      </w:r>
    </w:p>
  </w:footnote>
  <w:footnote w:id="51">
    <w:p w14:paraId="0155F1BF"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Incluso afirma Velloso (2004, pp 96, 97), que ese juez investigador se convierte en un “justiciero”, una mezcla de Robin Hood, Sherlock Holmes y el buen juez Magnaud.</w:t>
      </w:r>
    </w:p>
  </w:footnote>
  <w:footnote w:id="52">
    <w:p w14:paraId="5927EFE5"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Véase Parra Quijano (2004, p. 1). </w:t>
      </w:r>
    </w:p>
  </w:footnote>
  <w:footnote w:id="53">
    <w:p w14:paraId="6C2B1748"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Sobre los aspectos sobre los que se basan quienes niegan la verdad en el proceso civil, ver Taruffo (2009 (b), pp. 28 a 36). </w:t>
      </w:r>
    </w:p>
  </w:footnote>
  <w:footnote w:id="54">
    <w:p w14:paraId="4C290A75" w14:textId="77777777" w:rsidR="00E87246" w:rsidRPr="0045124B" w:rsidRDefault="00E87246" w:rsidP="0045124B">
      <w:pPr>
        <w:pStyle w:val="Textonotapie"/>
        <w:jc w:val="both"/>
        <w:rPr>
          <w:rFonts w:ascii="Palatino Linotype" w:hAnsi="Palatino Linotype"/>
          <w:i/>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Parra Quijano (2004) p. 8., habla de una </w:t>
      </w:r>
      <w:r w:rsidRPr="0045124B">
        <w:rPr>
          <w:rFonts w:ascii="Palatino Linotype" w:hAnsi="Palatino Linotype"/>
          <w:color w:val="212121"/>
          <w:sz w:val="18"/>
          <w:szCs w:val="18"/>
          <w:shd w:val="clear" w:color="auto" w:fill="FFFFFF"/>
        </w:rPr>
        <w:t>verdad relativa no cualitativamente sino cuantitativamente, porque no hay verdades absolutas</w:t>
      </w:r>
      <w:r w:rsidRPr="0045124B">
        <w:rPr>
          <w:rFonts w:ascii="Palatino Linotype" w:hAnsi="Palatino Linotype"/>
          <w:sz w:val="18"/>
          <w:szCs w:val="18"/>
        </w:rPr>
        <w:t>. En el mismo sentido Ferrer (2007, pp. 26- 27). Sobre esto Taruffo señala (2009 (b), p.74) “El segundo sentido en el que puede hablarse de verdad relativa tiene que ver con la relatividad respecto del contexto, entendiendo por contexto no solo los medios cognoscitivos disponibles, sino también el conjunto de las presuposiciones, de los conceptos, de las nociones, de las reglas, es decir, en una palabra, de los marcos de referencia mediante los que se construyen versiones de los hechos. El contexto incluye también el lenguaje y, más específicamente, el vocabulario cultural que se adopta para formular los problemas y para determinar las soluciones”.</w:t>
      </w:r>
    </w:p>
  </w:footnote>
  <w:footnote w:id="55">
    <w:p w14:paraId="5D831A85" w14:textId="77777777" w:rsidR="00E87246" w:rsidRPr="0045124B" w:rsidRDefault="00E87246" w:rsidP="0045124B">
      <w:pPr>
        <w:spacing w:after="0"/>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Señala Taruffo (2008, p. 14, 20) que “los medios de prueba se conectan con los hechos en litigio a través de una relación instrumental: medio de prueba es cualquier elemento que pueda ser usado para establecer la verdad acerca de los hechos de la causa”</w:t>
      </w:r>
      <w:r w:rsidRPr="0045124B">
        <w:rPr>
          <w:rFonts w:ascii="Palatino Linotype" w:hAnsi="Palatino Linotype"/>
          <w:i/>
          <w:sz w:val="18"/>
          <w:szCs w:val="18"/>
        </w:rPr>
        <w:t xml:space="preserve"> </w:t>
      </w:r>
      <w:r w:rsidRPr="0045124B">
        <w:rPr>
          <w:rFonts w:ascii="Palatino Linotype" w:hAnsi="Palatino Linotype"/>
          <w:sz w:val="18"/>
          <w:szCs w:val="18"/>
        </w:rPr>
        <w:t>pero que el problema en definir su función está conectada al concepto de proceso y los objetivos de este “este problema se puede resolver adoptando teorías conforme a las cuales establecer la verdad de los hechos sea uno de los principales propósitos del proceso judicial”</w:t>
      </w:r>
      <w:r w:rsidRPr="0045124B">
        <w:rPr>
          <w:rFonts w:ascii="Palatino Linotype" w:hAnsi="Palatino Linotype"/>
          <w:i/>
          <w:sz w:val="18"/>
          <w:szCs w:val="18"/>
        </w:rPr>
        <w:t xml:space="preserve">. </w:t>
      </w:r>
      <w:r w:rsidRPr="0045124B">
        <w:rPr>
          <w:rFonts w:ascii="Palatino Linotype" w:hAnsi="Palatino Linotype"/>
          <w:sz w:val="18"/>
          <w:szCs w:val="18"/>
        </w:rPr>
        <w:t>Por su parte Ferrer 2007, p.30 y 31 refiere que se puede afirmar que “la averiguación de la verdad es el objetivo fundamental de la actividad probatoria en el proceso judicial”, pero que “también lo es que no es el único”</w:t>
      </w:r>
      <w:r w:rsidRPr="0045124B">
        <w:rPr>
          <w:rFonts w:ascii="Palatino Linotype" w:hAnsi="Palatino Linotype"/>
          <w:i/>
          <w:sz w:val="18"/>
          <w:szCs w:val="18"/>
        </w:rPr>
        <w:t xml:space="preserve">. </w:t>
      </w:r>
      <w:r w:rsidRPr="0045124B">
        <w:rPr>
          <w:rFonts w:ascii="Palatino Linotype" w:hAnsi="Palatino Linotype"/>
          <w:sz w:val="18"/>
          <w:szCs w:val="18"/>
        </w:rPr>
        <w:t xml:space="preserve">Además, agrega que, aunque ese sea el objetivo de la prueba, no necesariamente es el objetivo de las partes. </w:t>
      </w:r>
    </w:p>
  </w:footnote>
  <w:footnote w:id="56">
    <w:p w14:paraId="099D4F5D"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 manera de resumen, indica que en el supuesto en que </w:t>
      </w:r>
      <w:r w:rsidRPr="0045124B">
        <w:rPr>
          <w:rFonts w:ascii="Palatino Linotype" w:hAnsi="Palatino Linotype"/>
          <w:sz w:val="18"/>
          <w:szCs w:val="18"/>
          <w:lang w:val="es-ES_tradnl"/>
        </w:rPr>
        <w:t xml:space="preserve">un juez de primera instancia puede estar seguro de haber alcanzado </w:t>
      </w:r>
      <w:r w:rsidRPr="0045124B">
        <w:rPr>
          <w:rFonts w:ascii="Palatino Linotype" w:hAnsi="Palatino Linotype"/>
          <w:i/>
          <w:sz w:val="18"/>
          <w:szCs w:val="18"/>
          <w:lang w:val="es-ES_tradnl"/>
        </w:rPr>
        <w:t>la verdad</w:t>
      </w:r>
      <w:r w:rsidRPr="0045124B">
        <w:rPr>
          <w:rFonts w:ascii="Palatino Linotype" w:hAnsi="Palatino Linotype"/>
          <w:sz w:val="18"/>
          <w:szCs w:val="18"/>
          <w:lang w:val="es-ES_tradnl"/>
        </w:rPr>
        <w:t xml:space="preserve"> en la sentencia que dictó, pero que ante un recurso de apelación por alguna de las partes provoca que el superior revise dicha sentencia y llegue a </w:t>
      </w:r>
      <w:r w:rsidRPr="0045124B">
        <w:rPr>
          <w:rFonts w:ascii="Palatino Linotype" w:hAnsi="Palatino Linotype"/>
          <w:i/>
          <w:sz w:val="18"/>
          <w:szCs w:val="18"/>
          <w:lang w:val="es-ES_tradnl"/>
        </w:rPr>
        <w:t>su verdad</w:t>
      </w:r>
      <w:r w:rsidRPr="0045124B">
        <w:rPr>
          <w:rFonts w:ascii="Palatino Linotype" w:hAnsi="Palatino Linotype"/>
          <w:sz w:val="18"/>
          <w:szCs w:val="18"/>
          <w:lang w:val="es-ES_tradnl"/>
        </w:rPr>
        <w:t xml:space="preserve"> que resulta ser distinta a la del juez de primera instancia. (Alvarado Velloso, 2004., </w:t>
      </w:r>
      <w:r w:rsidRPr="0045124B">
        <w:rPr>
          <w:rFonts w:ascii="Palatino Linotype" w:hAnsi="Palatino Linotype"/>
          <w:sz w:val="18"/>
          <w:szCs w:val="18"/>
        </w:rPr>
        <w:t>p. 97).</w:t>
      </w:r>
    </w:p>
  </w:footnote>
  <w:footnote w:id="57">
    <w:p w14:paraId="72FA5D9A" w14:textId="77777777" w:rsidR="00E87246" w:rsidRPr="0045124B" w:rsidRDefault="00E87246" w:rsidP="0045124B">
      <w:pPr>
        <w:autoSpaceDE w:val="0"/>
        <w:autoSpaceDN w:val="0"/>
        <w:adjustRightInd w:val="0"/>
        <w:spacing w:after="0"/>
        <w:jc w:val="both"/>
        <w:rPr>
          <w:rFonts w:ascii="Palatino Linotype" w:eastAsia="Calibri" w:hAnsi="Palatino Linotype"/>
          <w:i/>
          <w:sz w:val="18"/>
          <w:szCs w:val="18"/>
          <w:lang w:val="es-ES_tradnl"/>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Sobre este aspecto Taruffo (2008, p. 98), expone que el problema con las pruebas científicas es porque en la experiencia se han encontrado cientos de casos con errores, malentendidos, utilización de datos falsos o poco fiables, lo que ha permitido que incluso las pruebas de ADN estén </w:t>
      </w:r>
      <w:r w:rsidRPr="0045124B">
        <w:rPr>
          <w:rFonts w:ascii="Palatino Linotype" w:hAnsi="Palatino Linotype"/>
          <w:i/>
          <w:sz w:val="18"/>
          <w:szCs w:val="18"/>
        </w:rPr>
        <w:t xml:space="preserve">bajo el escrutinio y su validez pueda ser impugnada. </w:t>
      </w:r>
      <w:r w:rsidRPr="0045124B">
        <w:rPr>
          <w:rFonts w:ascii="Palatino Linotype" w:hAnsi="Palatino Linotype"/>
          <w:sz w:val="18"/>
          <w:szCs w:val="18"/>
        </w:rPr>
        <w:t xml:space="preserve">En ese sentido Kaye y Sensabaugh (2011, p. 151), refieren que entre los aspectos esenciales que deben ser examinados en las pruebas de ADN, se encuentran: la cantidad de ADN presente en la muestra, la medida en que esa muestra se ha degradado, protocoles aplicados para realizar la prueba e incluso para determinar la cantidad de ADN en la muestra; el control y la garantía que deben seguir los laboratorios que realizan las pruebas, para justificar la confianza en la calidad de su producto (la prueba realizada);  estableciendo entonces que </w:t>
      </w:r>
      <w:r w:rsidRPr="0045124B">
        <w:rPr>
          <w:rFonts w:ascii="Palatino Linotype" w:hAnsi="Palatino Linotype"/>
          <w:i/>
          <w:sz w:val="18"/>
          <w:szCs w:val="18"/>
        </w:rPr>
        <w:t>el principal determinante de la calidad del ADN para el análisis forense es la medida en que las moléculas largas de ADN están intactas. Dentro del núcleo celular, cada molécula de ADN se extiende por millones de pares de bases. Fuera de la célula, el ADN se degrada espontáneamente en fragmentos más pequeños a una velocidad que depende de la temperatura, la exposición al oxígeno y, lo que es más importante, la presencia de agua.</w:t>
      </w:r>
      <w:r w:rsidRPr="0045124B">
        <w:rPr>
          <w:rFonts w:ascii="Palatino Linotype" w:hAnsi="Palatino Linotype"/>
          <w:sz w:val="18"/>
          <w:szCs w:val="18"/>
        </w:rPr>
        <w:t xml:space="preserve"> (traducción libre de la autora). En este mismo sentido Vargas Ávila, (2010, p. 132, 133), señala: “</w:t>
      </w:r>
      <w:r w:rsidRPr="0045124B">
        <w:rPr>
          <w:rFonts w:ascii="Palatino Linotype" w:eastAsia="Calibri" w:hAnsi="Palatino Linotype"/>
          <w:sz w:val="18"/>
          <w:szCs w:val="18"/>
          <w:lang w:val="es-ES_tradnl"/>
        </w:rPr>
        <w:t>Sin perder la perspectiva jurídica, existen varias apreciaciones que inciden en la futura valoración probatoria de los resultados obtenidos. Por un lado, las que se relacionan con el método científico empleado en los análisis de ADN y que pueden reducirse a la cuestión de si la investigación genética y más concretamente el análisis de los polimorfismos de ADN como objeto de identificación de personas, ha alcanzado el grado de perfeccionamiento suficiente para atribuir a sus resultados un nivel admisible de incuestionabilidad. Superadas estas primeras deficiencias… puede ocurrir que la aplicación de estas en el supuesto concreto resulte defectuosa, bien porque el método no se ha aplicado correctamente, bien porque el objeto sobre el que ha de recaer el análisis (vestigios biológicos) no lo permite debido a múltiples circunstancias: el mal estado de conservación de la muestra, la insuficiencia de la misma, la contaminación, etc. Finalmente, los resultados científicamente obtenidos serán ‘traducidos’ al lenguaje jurídico al que están destinados ineludiblemente para su comprensión, sin olvidar que se trata de una materia altamente especializada, de cuyo conocimiento suficiente carecen tanto el órgano judicial como las partes intervinientes en el proceso”.</w:t>
      </w:r>
    </w:p>
  </w:footnote>
  <w:footnote w:id="58">
    <w:p w14:paraId="09E5CD57" w14:textId="77777777" w:rsidR="00E87246" w:rsidRPr="0045124B" w:rsidRDefault="00E87246" w:rsidP="0045124B">
      <w:pPr>
        <w:spacing w:after="0"/>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Es lo que refiere Ferrajoli como el verdadero mal “afirmo que lo que es en sí un mal es el poder, en la medida en que sea poder sin reglas, es, poder que carece de los límites y vínculos que el derecho precisamente, le impone...” (2006, p. 37).</w:t>
      </w:r>
    </w:p>
  </w:footnote>
  <w:footnote w:id="59">
    <w:p w14:paraId="500347C3" w14:textId="77777777" w:rsidR="00E87246" w:rsidRPr="0045124B" w:rsidRDefault="00E87246" w:rsidP="0045124B">
      <w:pPr>
        <w:spacing w:after="0"/>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Fernández López (2006, p. 33-34) lo define como </w:t>
      </w:r>
      <w:r w:rsidRPr="0045124B">
        <w:rPr>
          <w:rFonts w:ascii="Palatino Linotype" w:hAnsi="Palatino Linotype"/>
          <w:color w:val="000000"/>
          <w:sz w:val="18"/>
          <w:szCs w:val="18"/>
        </w:rPr>
        <w:t>prueba preponderante o prevaleciente, sea que para tener como probado un hecho, consiste en que aparezca como más probable que su inexistencia. En similar sentido, Ferrer (2007, p. 139-140).</w:t>
      </w:r>
    </w:p>
  </w:footnote>
  <w:footnote w:id="60">
    <w:p w14:paraId="28E4F6C8" w14:textId="77777777" w:rsidR="00E87246" w:rsidRPr="0045124B" w:rsidRDefault="00E87246" w:rsidP="0045124B">
      <w:pPr>
        <w:pStyle w:val="Textonotapie"/>
        <w:jc w:val="both"/>
        <w:rPr>
          <w:rFonts w:ascii="Palatino Linotype" w:hAnsi="Palatino Linotype"/>
          <w:sz w:val="18"/>
          <w:szCs w:val="18"/>
          <w:lang w:val="es-ES"/>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ES"/>
        </w:rPr>
        <w:t xml:space="preserve">La autora advierte que aun y cuando se pueden formular estándares de pruebas con más o menos precisión, no conviene exagerar su valor justificatorio. Primero, porque el EP es una guía de valoración, pero limitada; segundo, porque es un </w:t>
      </w:r>
      <w:r w:rsidRPr="0045124B">
        <w:rPr>
          <w:rFonts w:ascii="Palatino Linotype" w:hAnsi="Palatino Linotype"/>
          <w:i/>
          <w:sz w:val="18"/>
          <w:szCs w:val="18"/>
          <w:lang w:val="es-ES"/>
        </w:rPr>
        <w:t>criterio conforme al cual ha de reconstruir la justificación de la decisión probatoria,</w:t>
      </w:r>
      <w:r w:rsidRPr="0045124B">
        <w:rPr>
          <w:rFonts w:ascii="Palatino Linotype" w:hAnsi="Palatino Linotype"/>
          <w:sz w:val="18"/>
          <w:szCs w:val="18"/>
          <w:lang w:val="es-ES"/>
        </w:rPr>
        <w:t xml:space="preserve"> es decir si no se justifica la concurrencia de los elementos que componen el estándar. (Gascón, 2012, p.86).</w:t>
      </w:r>
    </w:p>
  </w:footnote>
  <w:footnote w:id="61">
    <w:p w14:paraId="72DC228E"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Artículos 65, 66, 67 y 69. La afirmación sobre la eventual alegación del recurso de casación debe tomarse con moderación, es cierto que el artículo 69.2.1 establece como causal la </w:t>
      </w:r>
      <w:r w:rsidRPr="0045124B">
        <w:rPr>
          <w:rFonts w:ascii="Palatino Linotype" w:hAnsi="Palatino Linotype"/>
          <w:i/>
          <w:sz w:val="18"/>
          <w:szCs w:val="18"/>
        </w:rPr>
        <w:t>infracción o errónea aplicación de normas procesales que esenciales para la garantía del debido proceso, siempre que la actividad defectuosa no se haya subsanado conforme a la ley</w:t>
      </w:r>
      <w:r w:rsidRPr="0045124B">
        <w:rPr>
          <w:rFonts w:ascii="Palatino Linotype" w:hAnsi="Palatino Linotype"/>
          <w:sz w:val="18"/>
          <w:szCs w:val="18"/>
        </w:rPr>
        <w:t xml:space="preserve">, pero dependerá en cada caso determinación, el impacto que esa eventual decisión tuvo en el proceso y especialmente en el resultado de este. </w:t>
      </w:r>
    </w:p>
  </w:footnote>
  <w:footnote w:id="62">
    <w:p w14:paraId="0226A1DE" w14:textId="77777777" w:rsidR="00E87246" w:rsidRPr="0045124B" w:rsidRDefault="00E87246" w:rsidP="0045124B">
      <w:pPr>
        <w:spacing w:after="0"/>
        <w:jc w:val="both"/>
        <w:rPr>
          <w:rFonts w:ascii="Palatino Linotype" w:hAnsi="Palatino Linotype"/>
          <w:color w:val="212121"/>
          <w:sz w:val="18"/>
          <w:szCs w:val="18"/>
          <w:shd w:val="clear" w:color="auto" w:fill="FFFFFF"/>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color w:val="212121"/>
          <w:sz w:val="18"/>
          <w:szCs w:val="18"/>
          <w:shd w:val="clear" w:color="auto" w:fill="FFFFFF"/>
        </w:rPr>
        <w:t xml:space="preserve">El principio dispositivo tiene un fundamento constitucional – </w:t>
      </w:r>
      <w:r w:rsidRPr="0045124B">
        <w:rPr>
          <w:rFonts w:ascii="Palatino Linotype" w:hAnsi="Palatino Linotype"/>
          <w:i/>
          <w:sz w:val="18"/>
          <w:szCs w:val="18"/>
        </w:rPr>
        <w:t xml:space="preserve">Constitución Política. Artículo 41.- Ocurriendo a las leyes, todos han de encontrar reparación para las injurias o daños que hayan recibido en su persona, propiedad o intereses morales. Debe hacérseles justicia pronta, cumplida, sin denegación y en estricta conformidad con las leyes </w:t>
      </w:r>
      <w:r w:rsidRPr="0045124B">
        <w:rPr>
          <w:rFonts w:ascii="Palatino Linotype" w:hAnsi="Palatino Linotype"/>
          <w:color w:val="212121"/>
          <w:sz w:val="18"/>
          <w:szCs w:val="18"/>
          <w:shd w:val="clear" w:color="auto" w:fill="FFFFFF"/>
        </w:rPr>
        <w:t xml:space="preserve">y por ello es inviolable en cualquier proceso civil. </w:t>
      </w:r>
    </w:p>
  </w:footnote>
  <w:footnote w:id="63">
    <w:p w14:paraId="1F1C73ED"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En el mismo sentido Picó (2011, p. 118-110) puntualiza que la tesis de que el proceso civil es un negocio particular con un fin privado, está completamente superada. Si bien lo discutido en el proceso civil es de índole disponible o privado, ello no implica que esa misma característica la tenga el proceso, pues el modo en que este se desarrolla no pertenece a los litigantes, pues tan pronto se invoca la intervención del juez, el interés público es la recta y requiere la aplicación correcta de la ley al caso concreto.</w:t>
      </w:r>
    </w:p>
  </w:footnote>
  <w:footnote w:id="64">
    <w:p w14:paraId="2198205F"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Señalan Garberí y Buitrón (2004, p. 120-121), que en el moderno proceso civil algunas afirmaciones no pueden tomarse como absolutas, entre ellas, que lo que se discute en el proceso sólo afecta a las partes del conflicto y no a terceros o a la sociedad misma, o que solo se discuten derechos de libre disposición; estas son válidas, pero no absolutas o excluyentes.</w:t>
      </w:r>
    </w:p>
  </w:footnote>
  <w:footnote w:id="65">
    <w:p w14:paraId="641E9BC0"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Sobre esto Picó (2011, p. 113-114) refiere que bajo el principio dispositivo las partes son absolutamente libres para disponer de sus intereses privados y reclamarlos o no judicialmente y como manifestación, señala: inicio de la actividad jurisdiccional; determinación del objeto del proceso, el requisito de congruencia de las resoluciones con las pretensiones de las partes, finalización de la actividad jurisdiccional. En el mismo sentido De la Oliva, (2012, p. 36), que afirma que este poder tiene otras implicaciones, tales como delimitar los fundamentos fácticos y jurídicos. </w:t>
      </w:r>
    </w:p>
  </w:footnote>
  <w:footnote w:id="66">
    <w:p w14:paraId="0549FA48" w14:textId="77777777" w:rsidR="00E87246" w:rsidRPr="0045124B" w:rsidRDefault="00E87246" w:rsidP="0045124B">
      <w:pPr>
        <w:pStyle w:val="Textonotapie"/>
        <w:jc w:val="both"/>
        <w:rPr>
          <w:rFonts w:ascii="Palatino Linotype" w:hAnsi="Palatino Linotype"/>
          <w:sz w:val="18"/>
          <w:szCs w:val="18"/>
          <w:lang w:val="es-ES"/>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ES"/>
        </w:rPr>
        <w:t xml:space="preserve">Díaz Cabiale (1996, pp 1-8, 48), refiere que este principio se ha marcado en 3 brocardos: a. </w:t>
      </w:r>
      <w:r w:rsidRPr="0045124B">
        <w:rPr>
          <w:rFonts w:ascii="Palatino Linotype" w:hAnsi="Palatino Linotype"/>
          <w:i/>
          <w:sz w:val="18"/>
          <w:szCs w:val="18"/>
          <w:lang w:val="es-ES"/>
        </w:rPr>
        <w:t xml:space="preserve">ne procedat iudex ex officio, o nemo iudex sine actore, b. ne eat iudex ultra vel extra, </w:t>
      </w:r>
      <w:r w:rsidRPr="0045124B">
        <w:rPr>
          <w:rFonts w:ascii="Palatino Linotype" w:hAnsi="Palatino Linotype"/>
          <w:sz w:val="18"/>
          <w:szCs w:val="18"/>
          <w:lang w:val="es-ES"/>
        </w:rPr>
        <w:t>destacando que las dos primeras son necesarias e irrevocables en todo proceso, por su contenido: intereses privados y una desviación de estas implicaría la desaparición de su propio objeto.</w:t>
      </w:r>
    </w:p>
  </w:footnote>
  <w:footnote w:id="67">
    <w:p w14:paraId="0213545B"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Ver la obra del referido autor </w:t>
      </w:r>
      <w:r w:rsidRPr="0045124B">
        <w:rPr>
          <w:rFonts w:ascii="Palatino Linotype" w:hAnsi="Palatino Linotype"/>
          <w:i/>
          <w:sz w:val="18"/>
          <w:szCs w:val="18"/>
        </w:rPr>
        <w:t>El Juez y la Prueba.</w:t>
      </w:r>
      <w:r w:rsidRPr="0045124B">
        <w:rPr>
          <w:rFonts w:ascii="Palatino Linotype" w:hAnsi="Palatino Linotype"/>
          <w:sz w:val="18"/>
          <w:szCs w:val="18"/>
        </w:rPr>
        <w:t xml:space="preserve"> El autor explica que la transcripción del brocardo se hizo de forma errónea, lo correcto es </w:t>
      </w:r>
      <w:r w:rsidRPr="0045124B">
        <w:rPr>
          <w:rFonts w:ascii="Palatino Linotype" w:hAnsi="Palatino Linotype"/>
          <w:i/>
          <w:sz w:val="18"/>
          <w:szCs w:val="18"/>
        </w:rPr>
        <w:t xml:space="preserve">iudex iudicare debet secundum allegata et probata, non secundum conscientiam. </w:t>
      </w:r>
    </w:p>
  </w:footnote>
  <w:footnote w:id="68">
    <w:p w14:paraId="3A97E360" w14:textId="77777777" w:rsidR="00E87246" w:rsidRPr="0045124B" w:rsidRDefault="00E87246" w:rsidP="0045124B">
      <w:pPr>
        <w:pStyle w:val="Textonotapie"/>
        <w:jc w:val="both"/>
        <w:rPr>
          <w:rFonts w:ascii="Palatino Linotype" w:hAnsi="Palatino Linotype"/>
          <w:sz w:val="18"/>
          <w:szCs w:val="18"/>
          <w:lang w:val="es-ES"/>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ES_tradnl"/>
        </w:rPr>
        <w:t>Picó (2011, p. 115- 117) sostiene</w:t>
      </w:r>
      <w:r w:rsidRPr="0045124B">
        <w:rPr>
          <w:rFonts w:ascii="Palatino Linotype" w:hAnsi="Palatino Linotype"/>
          <w:color w:val="212121"/>
          <w:sz w:val="18"/>
          <w:szCs w:val="18"/>
          <w:shd w:val="clear" w:color="auto" w:fill="FFFFFF"/>
          <w:lang w:val="es-ES_tradnl"/>
        </w:rPr>
        <w:t xml:space="preserve"> que son los litigantes quienes tienen que alegar los elementos fácticos del objeto de litigio, así como proponer la prueba de tales elementos.</w:t>
      </w:r>
    </w:p>
  </w:footnote>
  <w:footnote w:id="69">
    <w:p w14:paraId="6FFABC2E"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Sobre esto Díaz Cabiale (1996, p.50-51) señala que el proceso como instrumento para la aplicación del derecho objetivo no puede estar conformado de manera tal que destruya la propia esencia de ese derecho, al igual que el instrumento no puede desvirtuar el fin para el que está previsto, puesto que entonces dejaría ser precisamente instrumento y el proceso perdería su propia identidad.</w:t>
      </w:r>
    </w:p>
  </w:footnote>
  <w:footnote w:id="70">
    <w:p w14:paraId="01122D8C"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Conciliación (art. 51), Transacción (art. 52), Renuncia del derecho (art. 53), Satisfacción extraprocesal (art. 54), todos del NCPC.</w:t>
      </w:r>
    </w:p>
  </w:footnote>
  <w:footnote w:id="71">
    <w:p w14:paraId="3169F8A6" w14:textId="77777777" w:rsidR="00E87246" w:rsidRPr="0045124B" w:rsidRDefault="00E87246" w:rsidP="0045124B">
      <w:pPr>
        <w:pStyle w:val="Textonotapie"/>
        <w:jc w:val="both"/>
        <w:rPr>
          <w:rFonts w:ascii="Palatino Linotype" w:hAnsi="Palatino Linotype"/>
          <w:sz w:val="18"/>
          <w:szCs w:val="18"/>
          <w:lang w:val="es-ES"/>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De Paula (2018, p. 51-53) explica las dos funciones de la carga de la prueba: a) como regla de juicio, ligada al juez, a ser utilizada cuando, después de la producción de las pruebas por las partes y después de la determinación de oficio por el juez, permaneciera estado llamado por la doctrina de "duda", o de "imposible esclarecimiento", conocida como su función objetiva y una regla de instrucción para las partes, como una especie de estímulo, dado a ellas para que trajeran al proceso pruebas. Sería el intento más claro del sistema, a través de tal estímulo, de hacer que el material probatorio fuese enriquecido, conocida como función subjetiva. </w:t>
      </w:r>
      <w:r w:rsidRPr="0045124B">
        <w:rPr>
          <w:rFonts w:ascii="Palatino Linotype" w:hAnsi="Palatino Linotype"/>
          <w:color w:val="212121"/>
          <w:sz w:val="18"/>
          <w:szCs w:val="18"/>
          <w:shd w:val="clear" w:color="auto" w:fill="FFFFFF"/>
        </w:rPr>
        <w:t xml:space="preserve">En ese sentido, terminada la actividad </w:t>
      </w:r>
      <w:r w:rsidRPr="0045124B">
        <w:rPr>
          <w:rFonts w:ascii="Palatino Linotype" w:hAnsi="Palatino Linotype"/>
          <w:sz w:val="18"/>
          <w:szCs w:val="18"/>
          <w:lang w:val="es-ES_tradnl"/>
        </w:rPr>
        <w:t>probatoria de las partes, la carga de la prueba solamente sirve para determinar quién gana y quién pierde el juicio y no cambia la cantidad de prueba con la que se cuenta para decidir; pero el actor y el demandado sabrán con anticipación al proceso - al momento de ofrecer la prueba-, cuál es el riesgo de no cumplir adecuadamente con su carga de la prueba y eso constituye un incentivo para aportar elementos probatorios, que fuerza tiene ese incentivo es lo que ampliamente expone De Paula.</w:t>
      </w:r>
    </w:p>
  </w:footnote>
  <w:footnote w:id="72">
    <w:p w14:paraId="4974D943" w14:textId="77777777" w:rsidR="00E87246" w:rsidRPr="0045124B" w:rsidRDefault="00E87246" w:rsidP="0045124B">
      <w:pPr>
        <w:spacing w:after="0"/>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cs="Calibri"/>
          <w:color w:val="000000"/>
          <w:sz w:val="18"/>
          <w:szCs w:val="18"/>
        </w:rPr>
        <w:t xml:space="preserve">No obstante, como bien afirma Rosenberg (2002, p. 93) a pesar de que la carga de la prueba aplica al final del proceso, en la sentencia, lo cierto es que un juez responsable debe considerar esta situación a lo largo de todo el proceso y estas palabras tienen especial eco tratándose de la tendencia a procesos orales. </w:t>
      </w:r>
    </w:p>
  </w:footnote>
  <w:footnote w:id="73">
    <w:p w14:paraId="22BFC655"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Artículo 41.1. NCPC. Carga de la prueba. Incumbe la carga de la prueba. 1. A quien formule una pretensión, respecto de los hechos constitutivos de su derecho. 2. A quien se oponga a una pretensión, en cuanto a los hechos impeditivos, modificativos o extintivos del derecho del actor. Para la aplicación de lo dispuesto en los incisos anteriores de este artículo, se deberá tener presente la disponibilidad y facilidad probatoria que corresponde a cada una de las partes, de acuerdo con la naturaleza de lo debatido. Las normas precedentes se aplicarán siempre que una disposición legal expresa no distribuya con criterios especiales la carga de la prueba. </w:t>
      </w:r>
    </w:p>
  </w:footnote>
  <w:footnote w:id="74">
    <w:p w14:paraId="322864BA"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En este apartado se hace mención a la carga de la prueba desde su conceptualización subjetiva, como incentivo a las partes para traer al proceso la prueba que acredite sus enunciados fácticos, esto a pesar que actualmente se está replanteando las dos concepciones: subjetiva y objetiva – regla de juicio- para que el juez pueda resolver en caso de duda.</w:t>
      </w:r>
    </w:p>
  </w:footnote>
  <w:footnote w:id="75">
    <w:p w14:paraId="52ACEFBD" w14:textId="77777777" w:rsidR="00E87246" w:rsidRPr="0045124B" w:rsidRDefault="00E87246" w:rsidP="0045124B">
      <w:pPr>
        <w:spacing w:after="0"/>
        <w:jc w:val="both"/>
        <w:rPr>
          <w:rFonts w:ascii="Palatino Linotype" w:hAnsi="Palatino Linotype"/>
          <w:color w:val="212121"/>
          <w:sz w:val="18"/>
          <w:szCs w:val="18"/>
          <w:shd w:val="clear" w:color="auto" w:fill="FFFFFF"/>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Masciotra (2014, p. 292) indica: “</w:t>
      </w:r>
      <w:r w:rsidRPr="0045124B">
        <w:rPr>
          <w:rFonts w:ascii="Palatino Linotype" w:hAnsi="Palatino Linotype"/>
          <w:color w:val="212121"/>
          <w:sz w:val="18"/>
          <w:szCs w:val="18"/>
          <w:shd w:val="clear" w:color="auto" w:fill="FFFFFF"/>
        </w:rPr>
        <w:t>Estimo que el derecho a la prueba de que gozan las partes no implica el monopolio de la prueba a favor de los litigantes. El juez debe pronunciar su fallo sobre la base de la certeza de los hechos litigiosos, y la prueba de éstos, ante la insuficiencia de la aportada por las partes, le corresponde al juez sentenciante”.</w:t>
      </w:r>
    </w:p>
  </w:footnote>
  <w:footnote w:id="76">
    <w:p w14:paraId="4F75FA07" w14:textId="77777777" w:rsidR="00E87246" w:rsidRPr="0045124B" w:rsidRDefault="00E87246" w:rsidP="0045124B">
      <w:pPr>
        <w:pStyle w:val="Textonotapie"/>
        <w:jc w:val="both"/>
        <w:rPr>
          <w:rFonts w:ascii="Palatino Linotype" w:hAnsi="Palatino Linotype"/>
          <w:sz w:val="18"/>
          <w:szCs w:val="18"/>
          <w:lang w:val="es-ES"/>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ES_tradnl"/>
        </w:rPr>
        <w:t>Pico (2001, p. 123) señala que la prueba de oficio no repercute negativamente sobre la diligencia de las partes en el proceso, porque la carga de la prueba opera al momento de sentenciar y no antes.</w:t>
      </w:r>
      <w:r w:rsidRPr="0045124B">
        <w:rPr>
          <w:rFonts w:ascii="Palatino Linotype" w:hAnsi="Palatino Linotype"/>
          <w:color w:val="212121"/>
          <w:sz w:val="18"/>
          <w:szCs w:val="18"/>
          <w:shd w:val="clear" w:color="auto" w:fill="FFFFFF"/>
        </w:rPr>
        <w:t xml:space="preserve"> </w:t>
      </w:r>
      <w:r w:rsidRPr="0045124B">
        <w:rPr>
          <w:rFonts w:ascii="Palatino Linotype" w:hAnsi="Palatino Linotype"/>
          <w:sz w:val="18"/>
          <w:szCs w:val="18"/>
          <w:lang w:val="es-ES_tradnl"/>
        </w:rPr>
        <w:t>Según ese criterio, la carga de la prueba se dirigiría únicamente al juez para determinar cuál de las partes será perjudicada por la inexistencia de ciertos hechos.</w:t>
      </w:r>
    </w:p>
  </w:footnote>
  <w:footnote w:id="77">
    <w:p w14:paraId="7C05CC9C" w14:textId="77777777" w:rsidR="00E87246" w:rsidRPr="0045124B" w:rsidRDefault="00E87246" w:rsidP="0045124B">
      <w:pPr>
        <w:spacing w:after="0"/>
        <w:jc w:val="both"/>
        <w:rPr>
          <w:rFonts w:ascii="Palatino Linotype" w:hAnsi="Palatino Linotype"/>
          <w:i/>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La necesidad de esta garantía es una consecuencia directa del reconocimiento del carácter no mecánico de la función... Los Tribunales son libres para resolver conforme a ordenamiento jurídico. Y, si lo son, sus decisiones implican el ejercicio de un poder del que hay que el peligro de la arbitrariedad. (Fernández – Viagas Bartolomé, 1997, p.2)</w:t>
      </w:r>
    </w:p>
  </w:footnote>
  <w:footnote w:id="78">
    <w:p w14:paraId="0587765C" w14:textId="77777777" w:rsidR="00E87246" w:rsidRPr="0045124B" w:rsidRDefault="00E87246" w:rsidP="0045124B">
      <w:pPr>
        <w:spacing w:after="0"/>
        <w:jc w:val="both"/>
        <w:rPr>
          <w:rFonts w:ascii="Palatino Linotype" w:hAnsi="Palatino Linotype"/>
          <w:i/>
          <w:color w:val="212121"/>
          <w:sz w:val="18"/>
          <w:szCs w:val="18"/>
          <w:shd w:val="clear" w:color="auto" w:fill="FFFFFF"/>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i/>
          <w:color w:val="212121"/>
          <w:sz w:val="18"/>
          <w:szCs w:val="18"/>
          <w:shd w:val="clear" w:color="auto" w:fill="FFFFFF"/>
        </w:rPr>
        <w:t xml:space="preserve">… </w:t>
      </w:r>
      <w:r w:rsidRPr="0045124B">
        <w:rPr>
          <w:rFonts w:ascii="Palatino Linotype" w:hAnsi="Palatino Linotype"/>
          <w:color w:val="212121"/>
          <w:sz w:val="18"/>
          <w:szCs w:val="18"/>
          <w:shd w:val="clear" w:color="auto" w:fill="FFFFFF"/>
        </w:rPr>
        <w:t>juez como persona y uno de los principales determinantes de su actuación es el del desinterés subjetivo o imparcialidad, que se refiere a cada uno de los casos concretos que se someten a su decisión … implica, sobre todo, que el juez no sirve a la finalidad subjetiva de alguna de las partes en un proceso. (Montero Aroca J. 1999, p. 186-187).</w:t>
      </w:r>
    </w:p>
  </w:footnote>
  <w:footnote w:id="79">
    <w:p w14:paraId="38D45A4D"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En el mismo sentido Toscano (</w:t>
      </w:r>
      <w:r w:rsidRPr="0045124B">
        <w:rPr>
          <w:rFonts w:ascii="Palatino Linotype" w:hAnsi="Palatino Linotype"/>
          <w:color w:val="212121"/>
          <w:sz w:val="18"/>
          <w:szCs w:val="18"/>
          <w:shd w:val="clear" w:color="auto" w:fill="FFFFFF"/>
        </w:rPr>
        <w:t>2017, p. 41), al referir que a veces es más sencillo determinar cuándo una actuación es parcializada, señalando para esto casos concretos, por ejemplo, cuando exista una relación de parentesco entre las partes y el juez.</w:t>
      </w:r>
    </w:p>
  </w:footnote>
  <w:footnote w:id="80">
    <w:p w14:paraId="4598FC43" w14:textId="77777777" w:rsidR="00E87246" w:rsidRPr="0045124B" w:rsidRDefault="00E87246" w:rsidP="0045124B">
      <w:pPr>
        <w:pStyle w:val="Textonotapie"/>
        <w:jc w:val="both"/>
        <w:rPr>
          <w:rFonts w:ascii="Palatino Linotype" w:hAnsi="Palatino Linotype"/>
          <w:sz w:val="18"/>
          <w:szCs w:val="18"/>
          <w:lang w:val="es-ES"/>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ES"/>
        </w:rPr>
        <w:t>Artículos 102.3 y 103.</w:t>
      </w:r>
    </w:p>
  </w:footnote>
  <w:footnote w:id="81">
    <w:p w14:paraId="19126A56" w14:textId="77777777" w:rsidR="00E87246" w:rsidRPr="0045124B" w:rsidRDefault="00E87246" w:rsidP="0045124B">
      <w:pPr>
        <w:pStyle w:val="Textonotapie"/>
        <w:jc w:val="both"/>
        <w:rPr>
          <w:rFonts w:ascii="Palatino Linotype" w:hAnsi="Palatino Linotype"/>
          <w:sz w:val="18"/>
          <w:szCs w:val="18"/>
          <w:lang w:val="es-ES"/>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ES"/>
        </w:rPr>
        <w:t xml:space="preserve">Acosta (1999, p. 63) refiere a negligencia como una palabra valorativa que implica una descalificación específica, referida a la conducta de alguna de las partes. </w:t>
      </w:r>
    </w:p>
  </w:footnote>
  <w:footnote w:id="82">
    <w:p w14:paraId="72863078"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color w:val="000000" w:themeColor="text1"/>
          <w:sz w:val="18"/>
          <w:szCs w:val="18"/>
        </w:rPr>
        <w:t xml:space="preserve">Máster en Razonamiento Probatorio, Universidad de Girona España y Universidad Génova. </w:t>
      </w:r>
      <w:r w:rsidRPr="0045124B">
        <w:rPr>
          <w:rFonts w:ascii="Palatino Linotype" w:hAnsi="Palatino Linotype"/>
          <w:color w:val="000000" w:themeColor="text1"/>
          <w:sz w:val="18"/>
          <w:szCs w:val="18"/>
          <w:lang w:val="en-US"/>
        </w:rPr>
        <w:t>Máster en Derecho por la Universidad de Chile/</w:t>
      </w:r>
      <w:r w:rsidRPr="0045124B">
        <w:rPr>
          <w:rFonts w:ascii="Palatino Linotype" w:hAnsi="Palatino Linotype"/>
          <w:bCs/>
          <w:color w:val="000000" w:themeColor="text1"/>
          <w:sz w:val="18"/>
          <w:szCs w:val="18"/>
          <w:lang w:val="en-US"/>
        </w:rPr>
        <w:t xml:space="preserve"> Graduate Certificate in International Contracts and Business Law del </w:t>
      </w:r>
      <w:r w:rsidRPr="0045124B">
        <w:rPr>
          <w:rFonts w:ascii="Palatino Linotype" w:hAnsi="Palatino Linotype"/>
          <w:color w:val="000000" w:themeColor="text1"/>
          <w:sz w:val="18"/>
          <w:szCs w:val="18"/>
          <w:lang w:val="en-US"/>
        </w:rPr>
        <w:t xml:space="preserve">American University Washington College of Law. </w:t>
      </w:r>
      <w:r w:rsidRPr="0045124B">
        <w:rPr>
          <w:rFonts w:ascii="Palatino Linotype" w:hAnsi="Palatino Linotype"/>
          <w:color w:val="000000" w:themeColor="text1"/>
          <w:sz w:val="18"/>
          <w:szCs w:val="18"/>
        </w:rPr>
        <w:t xml:space="preserve">Especialista en Derecho Notarial y Registral, Universidad de Costa Rica. Licenciada en Derecho, Universidad de Costa Rica. Miembro fundador del Instituto Panamericano de Derecho Procesal – Capítulo Costa Rica. Abogada litigante. E-mail: </w:t>
      </w:r>
      <w:hyperlink r:id="rId17" w:history="1">
        <w:r w:rsidRPr="0045124B">
          <w:rPr>
            <w:rStyle w:val="Hipervnculo"/>
            <w:rFonts w:ascii="Palatino Linotype" w:hAnsi="Palatino Linotype"/>
            <w:sz w:val="18"/>
            <w:szCs w:val="18"/>
          </w:rPr>
          <w:t>noheveca@hotmail.com</w:t>
        </w:r>
      </w:hyperlink>
      <w:r w:rsidRPr="0045124B">
        <w:rPr>
          <w:rFonts w:ascii="Palatino Linotype" w:hAnsi="Palatino Linotype"/>
          <w:color w:val="000000" w:themeColor="text1"/>
          <w:sz w:val="18"/>
          <w:szCs w:val="18"/>
        </w:rPr>
        <w:t xml:space="preserve">. </w:t>
      </w:r>
    </w:p>
  </w:footnote>
  <w:footnote w:id="83">
    <w:p w14:paraId="20FE5386" w14:textId="77777777" w:rsidR="00E87246" w:rsidRPr="0045124B" w:rsidRDefault="00E87246" w:rsidP="0045124B">
      <w:pPr>
        <w:pStyle w:val="Textonotapie"/>
        <w:jc w:val="both"/>
        <w:rPr>
          <w:rFonts w:ascii="Palatino Linotype" w:hAnsi="Palatino Linotype"/>
          <w:color w:val="000000" w:themeColor="text1"/>
          <w:sz w:val="18"/>
          <w:szCs w:val="18"/>
          <w:lang w:val="es-ES"/>
        </w:rPr>
      </w:pPr>
      <w:r w:rsidRPr="0045124B">
        <w:rPr>
          <w:rStyle w:val="Refdenotaalpie"/>
          <w:rFonts w:ascii="Palatino Linotype" w:hAnsi="Palatino Linotype"/>
          <w:color w:val="000000" w:themeColor="text1"/>
          <w:sz w:val="18"/>
          <w:szCs w:val="18"/>
        </w:rPr>
        <w:footnoteRef/>
      </w:r>
      <w:r w:rsidRPr="0045124B">
        <w:rPr>
          <w:rFonts w:ascii="Palatino Linotype" w:hAnsi="Palatino Linotype"/>
          <w:color w:val="000000" w:themeColor="text1"/>
          <w:sz w:val="18"/>
          <w:szCs w:val="18"/>
        </w:rPr>
        <w:t xml:space="preserve"> Tal como gran parte de la doctrina señala, los hechos no se incorporan en los procesos judiciales en su realidad material, más aún, los hechos son reconstruidos tomando como base los medios de prueba disponibles. Es por ello que lo correcto es hablar de “enunciados fácticos”, como construcción lingüística para referirse a los hechos. En palabras del profesor Taruffo “la construcción de los enunciados fácticos es una cuestión de elección: formular un enunciado acerca de un hecho significa elegir una descripción de ese hecho entre el número infinito de sus posibles descripciones”. (Taruffo, 2008, p.19-20).</w:t>
      </w:r>
      <w:r w:rsidRPr="0045124B">
        <w:rPr>
          <w:rFonts w:ascii="Palatino Linotype" w:hAnsi="Palatino Linotype"/>
          <w:color w:val="000000" w:themeColor="text1"/>
          <w:sz w:val="18"/>
          <w:szCs w:val="18"/>
          <w:lang w:val="es-ES"/>
        </w:rPr>
        <w:t xml:space="preserve"> No obstante, no ahondaré en el tema por no ser objeto de este trabajo, sin embargo, para una mayor simplicidad me referiré a los mismos con la denominación general de “hechos”.</w:t>
      </w:r>
    </w:p>
  </w:footnote>
  <w:footnote w:id="84">
    <w:p w14:paraId="57D6ECC2" w14:textId="77777777" w:rsidR="00E87246" w:rsidRPr="0045124B" w:rsidRDefault="00E87246" w:rsidP="0045124B">
      <w:pPr>
        <w:pStyle w:val="Textonotapie"/>
        <w:jc w:val="both"/>
        <w:rPr>
          <w:rFonts w:ascii="Palatino Linotype" w:hAnsi="Palatino Linotype"/>
          <w:color w:val="000000" w:themeColor="text1"/>
          <w:sz w:val="18"/>
          <w:szCs w:val="18"/>
          <w:lang w:val="es-ES"/>
        </w:rPr>
      </w:pPr>
      <w:r w:rsidRPr="0045124B">
        <w:rPr>
          <w:rStyle w:val="Refdenotaalpie"/>
          <w:rFonts w:ascii="Palatino Linotype" w:hAnsi="Palatino Linotype"/>
          <w:color w:val="000000" w:themeColor="text1"/>
          <w:sz w:val="18"/>
          <w:szCs w:val="18"/>
        </w:rPr>
        <w:footnoteRef/>
      </w:r>
      <w:r w:rsidRPr="0045124B">
        <w:rPr>
          <w:rFonts w:ascii="Palatino Linotype" w:hAnsi="Palatino Linotype"/>
          <w:color w:val="000000" w:themeColor="text1"/>
          <w:sz w:val="18"/>
          <w:szCs w:val="18"/>
        </w:rPr>
        <w:t xml:space="preserve"> </w:t>
      </w:r>
      <w:r w:rsidRPr="0045124B">
        <w:rPr>
          <w:rFonts w:ascii="Palatino Linotype" w:hAnsi="Palatino Linotype"/>
          <w:color w:val="000000" w:themeColor="text1"/>
          <w:sz w:val="18"/>
          <w:szCs w:val="18"/>
          <w:lang w:val="es-ES"/>
        </w:rPr>
        <w:t>Para la autora Fernández, esta terminología sobre las dimensiones o aspectos de la carga de la prueba no es la más apropiada y genera confusiones. Tratándose de la carga entendida como regla que el juez debe aplicar ante hechos controvertidos y relevantes inciertos, resulta incorrecta la denominación de carga ya que en sentido estricto sobre el juez no pesa ninguna carga. Al respecto, preferirse según la función que cumple la carga de la prueba sea como reglas de distribución de la carga de la prueba y como regla de juicio (Fernández, 2006, p.26).</w:t>
      </w:r>
    </w:p>
  </w:footnote>
  <w:footnote w:id="85">
    <w:p w14:paraId="6B45A757" w14:textId="77777777" w:rsidR="00E87246" w:rsidRPr="0045124B" w:rsidRDefault="00E87246" w:rsidP="0045124B">
      <w:pPr>
        <w:spacing w:after="0"/>
        <w:jc w:val="both"/>
        <w:rPr>
          <w:rFonts w:ascii="Palatino Linotype" w:hAnsi="Palatino Linotype"/>
          <w:color w:val="000000" w:themeColor="text1"/>
          <w:sz w:val="18"/>
          <w:szCs w:val="18"/>
        </w:rPr>
      </w:pPr>
      <w:r w:rsidRPr="0045124B">
        <w:rPr>
          <w:rStyle w:val="Refdenotaalpie"/>
          <w:rFonts w:ascii="Palatino Linotype" w:hAnsi="Palatino Linotype"/>
          <w:color w:val="000000" w:themeColor="text1"/>
          <w:sz w:val="18"/>
          <w:szCs w:val="18"/>
        </w:rPr>
        <w:footnoteRef/>
      </w:r>
      <w:r w:rsidRPr="0045124B">
        <w:rPr>
          <w:rFonts w:ascii="Palatino Linotype" w:hAnsi="Palatino Linotype"/>
          <w:color w:val="000000" w:themeColor="text1"/>
          <w:sz w:val="18"/>
          <w:szCs w:val="18"/>
        </w:rPr>
        <w:t xml:space="preserve"> También ver Fernández (2006, p.56) y Ferrer (2018, p.133-137).</w:t>
      </w:r>
    </w:p>
  </w:footnote>
  <w:footnote w:id="86">
    <w:p w14:paraId="6A319EC7"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ES"/>
        </w:rPr>
        <w:t xml:space="preserve">Cabe señalar que resulta imprecisa la denominación de carga, entendida como situación jurídica, para referir a esta dimensión toda vez que el juez no tiene una carga como tal dentro del proceso, sino deberes. </w:t>
      </w:r>
    </w:p>
  </w:footnote>
  <w:footnote w:id="87">
    <w:p w14:paraId="0CA520F9" w14:textId="77777777" w:rsidR="00E87246" w:rsidRPr="0045124B" w:rsidRDefault="00E87246" w:rsidP="0045124B">
      <w:pPr>
        <w:spacing w:after="0"/>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En Costa Rica el artículo </w:t>
      </w:r>
      <w:r w:rsidRPr="0045124B">
        <w:rPr>
          <w:rFonts w:ascii="Palatino Linotype" w:hAnsi="Palatino Linotype"/>
          <w:bCs/>
          <w:color w:val="000000"/>
          <w:sz w:val="18"/>
          <w:szCs w:val="18"/>
        </w:rPr>
        <w:t>41.3 CPC establece como criterios de</w:t>
      </w:r>
      <w:r w:rsidRPr="0045124B">
        <w:rPr>
          <w:rFonts w:ascii="Palatino Linotype" w:hAnsi="Palatino Linotype"/>
          <w:b/>
          <w:bCs/>
          <w:color w:val="000000"/>
          <w:sz w:val="18"/>
          <w:szCs w:val="18"/>
        </w:rPr>
        <w:t xml:space="preserve"> </w:t>
      </w:r>
      <w:r w:rsidRPr="0045124B">
        <w:rPr>
          <w:rFonts w:ascii="Palatino Linotype" w:hAnsi="Palatino Linotype"/>
          <w:color w:val="000000"/>
          <w:sz w:val="18"/>
          <w:szCs w:val="18"/>
        </w:rPr>
        <w:t>admisibilidad de las pruebas que tengan relación directa con los hechos y la pretensión, siempre que sean controvertidos.</w:t>
      </w:r>
    </w:p>
  </w:footnote>
  <w:footnote w:id="88">
    <w:p w14:paraId="35EE9A6B" w14:textId="77777777" w:rsidR="00E87246" w:rsidRPr="0045124B" w:rsidRDefault="00E87246" w:rsidP="0045124B">
      <w:pPr>
        <w:pStyle w:val="Textonotapie"/>
        <w:jc w:val="both"/>
        <w:rPr>
          <w:rFonts w:ascii="Palatino Linotype" w:hAnsi="Palatino Linotype"/>
          <w:color w:val="000000" w:themeColor="text1"/>
          <w:sz w:val="18"/>
          <w:szCs w:val="18"/>
          <w:lang w:val="es-ES"/>
        </w:rPr>
      </w:pPr>
      <w:r w:rsidRPr="0045124B">
        <w:rPr>
          <w:rStyle w:val="Refdenotaalpie"/>
          <w:rFonts w:ascii="Palatino Linotype" w:hAnsi="Palatino Linotype"/>
          <w:color w:val="000000" w:themeColor="text1"/>
          <w:sz w:val="18"/>
          <w:szCs w:val="18"/>
        </w:rPr>
        <w:footnoteRef/>
      </w:r>
      <w:r w:rsidRPr="0045124B">
        <w:rPr>
          <w:rFonts w:ascii="Palatino Linotype" w:hAnsi="Palatino Linotype"/>
          <w:color w:val="000000" w:themeColor="text1"/>
          <w:sz w:val="18"/>
          <w:szCs w:val="18"/>
        </w:rPr>
        <w:t xml:space="preserve"> Debido a la amplitud de este aspecto y escapar del objeto del presente trabajo, no será desarrollado en el ppresente trabajo, sin embargo, realizaré una breve referencia. Para Fernández, se pueden diferenciar 2 estándares de prueba: a) prueba más allá de toda duda razonable, aplicable en materia penal y b) prueba preponderante o prevaleciente, para materia civil, cuya exigencia es inferior para tener como probado un hecho y consiste en aparecer como más probable su inexistencia. (</w:t>
      </w:r>
      <w:r w:rsidRPr="0045124B">
        <w:rPr>
          <w:rFonts w:ascii="Palatino Linotype" w:hAnsi="Palatino Linotype"/>
          <w:color w:val="000000" w:themeColor="text1"/>
          <w:sz w:val="18"/>
          <w:szCs w:val="18"/>
          <w:lang w:val="es-ES"/>
        </w:rPr>
        <w:t>Fernández, 2006, p.33-34. También puede verse en Ferrer (2007, p.139-140), Escaler (2017, p.64-67) y Ferrer (2016, p.154-159).</w:t>
      </w:r>
    </w:p>
  </w:footnote>
  <w:footnote w:id="89">
    <w:p w14:paraId="1DA6C9EC" w14:textId="77777777" w:rsidR="00E87246" w:rsidRPr="0045124B" w:rsidRDefault="00E87246" w:rsidP="0045124B">
      <w:pPr>
        <w:pStyle w:val="Textonotapie"/>
        <w:jc w:val="both"/>
        <w:rPr>
          <w:rFonts w:ascii="Palatino Linotype" w:hAnsi="Palatino Linotype"/>
          <w:color w:val="000000" w:themeColor="text1"/>
          <w:sz w:val="18"/>
          <w:szCs w:val="18"/>
          <w:lang w:val="es-ES"/>
        </w:rPr>
      </w:pPr>
      <w:r w:rsidRPr="0045124B">
        <w:rPr>
          <w:rStyle w:val="Refdenotaalpie"/>
          <w:rFonts w:ascii="Palatino Linotype" w:hAnsi="Palatino Linotype"/>
          <w:color w:val="000000" w:themeColor="text1"/>
          <w:sz w:val="18"/>
          <w:szCs w:val="18"/>
        </w:rPr>
        <w:footnoteRef/>
      </w:r>
      <w:r w:rsidRPr="0045124B">
        <w:rPr>
          <w:rFonts w:ascii="Palatino Linotype" w:hAnsi="Palatino Linotype"/>
          <w:color w:val="000000" w:themeColor="text1"/>
          <w:sz w:val="18"/>
          <w:szCs w:val="18"/>
        </w:rPr>
        <w:t xml:space="preserve"> </w:t>
      </w:r>
      <w:r w:rsidRPr="0045124B">
        <w:rPr>
          <w:rFonts w:ascii="Palatino Linotype" w:hAnsi="Palatino Linotype"/>
          <w:color w:val="000000" w:themeColor="text1"/>
          <w:sz w:val="18"/>
          <w:szCs w:val="18"/>
          <w:lang w:val="es-ES"/>
        </w:rPr>
        <w:t>No obstante, como bien afirma Rosenberg, a pesar de que la carga de la prueba aplica al final del proceso, en la sentencia, lo cierto es que un juez responsable debe considerar esta situación a lo largo de todo el proceso y estas palabras tienen especial eco tratándose de la tendencia a procesos orales (Rosenberg, 2002, p</w:t>
      </w:r>
      <w:r w:rsidRPr="0045124B">
        <w:rPr>
          <w:rFonts w:ascii="Palatino Linotype" w:hAnsi="Palatino Linotype"/>
          <w:color w:val="000000" w:themeColor="text1"/>
          <w:sz w:val="18"/>
          <w:szCs w:val="18"/>
        </w:rPr>
        <w:t>.93</w:t>
      </w:r>
      <w:r w:rsidRPr="0045124B">
        <w:rPr>
          <w:rFonts w:ascii="Palatino Linotype" w:hAnsi="Palatino Linotype"/>
          <w:color w:val="000000" w:themeColor="text1"/>
          <w:sz w:val="18"/>
          <w:szCs w:val="18"/>
          <w:lang w:val="es-ES"/>
        </w:rPr>
        <w:t>).</w:t>
      </w:r>
    </w:p>
  </w:footnote>
  <w:footnote w:id="90">
    <w:p w14:paraId="229D2E6A" w14:textId="77777777" w:rsidR="00E87246" w:rsidRPr="0045124B" w:rsidRDefault="00E87246" w:rsidP="0045124B">
      <w:pPr>
        <w:spacing w:after="0"/>
        <w:jc w:val="both"/>
        <w:rPr>
          <w:rFonts w:ascii="Palatino Linotype" w:hAnsi="Palatino Linotype"/>
          <w:color w:val="000000" w:themeColor="text1"/>
          <w:sz w:val="18"/>
          <w:szCs w:val="18"/>
        </w:rPr>
      </w:pPr>
      <w:r w:rsidRPr="0045124B">
        <w:rPr>
          <w:rStyle w:val="Refdenotaalpie"/>
          <w:rFonts w:ascii="Palatino Linotype" w:hAnsi="Palatino Linotype"/>
          <w:color w:val="000000" w:themeColor="text1"/>
          <w:sz w:val="18"/>
          <w:szCs w:val="18"/>
        </w:rPr>
        <w:footnoteRef/>
      </w:r>
      <w:r w:rsidRPr="0045124B">
        <w:rPr>
          <w:rFonts w:ascii="Palatino Linotype" w:hAnsi="Palatino Linotype"/>
          <w:color w:val="000000" w:themeColor="text1"/>
          <w:sz w:val="18"/>
          <w:szCs w:val="18"/>
        </w:rPr>
        <w:t xml:space="preserve"> A lo largo del tiempo se han diseñado diversos criterios para distribuir la carga probatoria. Sin ánimo de ser exhaustivos, señalo únicamente 4 criterios para ilustrar el tema: i) Teoría de Chiovenda basa la atribución según el tipo de hechos alegados, sea constitutivos, extintivos, impeditivos; ii) Teoría Normentheorie (Rosenberg) impone a cada parte la carga de probar los presupuestos de hecho de la norma que pretende que sean reconocidos a favor de ella (Rosenberg, 2002, p.27 y 132); iii) Teoría de Micheli considera el efecto jurídico perseguido por las partes (Micheli, 1960, p.59 y 75), y iv) Teoría de Deivis Echandía que combina tanto la teoría de Micheli como Rosenberg, y señala que se debe considerar la posición de las partes, el hecho y el efecto jurídico perseguido. (Lépori, 2008, p.59). También en Peyrano (2018, p.114).</w:t>
      </w:r>
    </w:p>
  </w:footnote>
  <w:footnote w:id="91">
    <w:p w14:paraId="030A5D85" w14:textId="77777777" w:rsidR="00E87246" w:rsidRPr="0045124B" w:rsidRDefault="00E87246" w:rsidP="0045124B">
      <w:pPr>
        <w:pStyle w:val="Textonotapie"/>
        <w:jc w:val="both"/>
        <w:rPr>
          <w:rFonts w:ascii="Palatino Linotype" w:hAnsi="Palatino Linotype"/>
          <w:color w:val="000000" w:themeColor="text1"/>
          <w:sz w:val="18"/>
          <w:szCs w:val="18"/>
        </w:rPr>
      </w:pPr>
      <w:r w:rsidRPr="0045124B">
        <w:rPr>
          <w:rStyle w:val="Refdenotaalpie"/>
          <w:rFonts w:ascii="Palatino Linotype" w:hAnsi="Palatino Linotype"/>
          <w:color w:val="000000" w:themeColor="text1"/>
          <w:sz w:val="18"/>
          <w:szCs w:val="18"/>
        </w:rPr>
        <w:footnoteRef/>
      </w:r>
      <w:r w:rsidRPr="0045124B">
        <w:rPr>
          <w:rFonts w:ascii="Palatino Linotype" w:hAnsi="Palatino Linotype"/>
          <w:color w:val="000000" w:themeColor="text1"/>
          <w:sz w:val="18"/>
          <w:szCs w:val="18"/>
        </w:rPr>
        <w:t xml:space="preserve"> Para la autora Fernández, esta clasificación de los hechos consiste de la siguiente manera: (i) hechos constitutivos aquellos que fundamentan fácticamente la pretensión del actor o que constituyen el presupuesto del derecho que reclaman, (ii) hechos impeditivos los que imposibilitan o impiden el nacimiento de la relación jurídica o del derecho cuya existencia alega el actor, (iii) hechos extintivos evitan que la relación jurídica perdure en el tiempo, es decir, que deje de surtir efectos, (iv) hechos modificativos provocan un cambio en las condiciones de la relación, por lo que afectan los términos en que fue formulada la pretensión, y (v) hechos excluyentes que en virtud de ciertas normas apoyan un derecho del demandado que le permite oponerse a la pretensión del actor, se opone otro derecho al derecho alegado por el actor, que hace que este último ceda (</w:t>
      </w:r>
      <w:r w:rsidRPr="0045124B">
        <w:rPr>
          <w:rFonts w:ascii="Palatino Linotype" w:hAnsi="Palatino Linotype"/>
          <w:color w:val="000000" w:themeColor="text1"/>
          <w:sz w:val="18"/>
          <w:szCs w:val="18"/>
          <w:lang w:val="es-ES"/>
        </w:rPr>
        <w:t>Fernández, 2006, p.90-93</w:t>
      </w:r>
      <w:r w:rsidRPr="0045124B">
        <w:rPr>
          <w:rFonts w:ascii="Palatino Linotype" w:hAnsi="Palatino Linotype"/>
          <w:color w:val="000000" w:themeColor="text1"/>
          <w:sz w:val="18"/>
          <w:szCs w:val="18"/>
        </w:rPr>
        <w:t>).</w:t>
      </w:r>
    </w:p>
  </w:footnote>
  <w:footnote w:id="92">
    <w:p w14:paraId="3FB275F5" w14:textId="77777777" w:rsidR="00E87246" w:rsidRPr="0045124B" w:rsidRDefault="00E87246" w:rsidP="0045124B">
      <w:pPr>
        <w:pStyle w:val="Textonotapie"/>
        <w:jc w:val="both"/>
        <w:rPr>
          <w:rFonts w:ascii="Palatino Linotype" w:hAnsi="Palatino Linotype"/>
          <w:color w:val="000000" w:themeColor="text1"/>
          <w:sz w:val="18"/>
          <w:szCs w:val="18"/>
        </w:rPr>
      </w:pPr>
      <w:r w:rsidRPr="0045124B">
        <w:rPr>
          <w:rStyle w:val="Refdenotaalpie"/>
          <w:rFonts w:ascii="Palatino Linotype" w:hAnsi="Palatino Linotype"/>
          <w:color w:val="000000" w:themeColor="text1"/>
          <w:sz w:val="18"/>
          <w:szCs w:val="18"/>
        </w:rPr>
        <w:footnoteRef/>
      </w:r>
      <w:r w:rsidRPr="0045124B">
        <w:rPr>
          <w:rFonts w:ascii="Palatino Linotype" w:hAnsi="Palatino Linotype"/>
          <w:color w:val="000000" w:themeColor="text1"/>
          <w:sz w:val="18"/>
          <w:szCs w:val="18"/>
        </w:rPr>
        <w:t xml:space="preserve"> En igual sentido, Lluch (2012, p. 391).</w:t>
      </w:r>
    </w:p>
  </w:footnote>
  <w:footnote w:id="93">
    <w:p w14:paraId="3C640C27" w14:textId="77777777" w:rsidR="00E87246" w:rsidRPr="0045124B" w:rsidRDefault="00E87246" w:rsidP="0045124B">
      <w:pPr>
        <w:pStyle w:val="Textonotapie"/>
        <w:jc w:val="both"/>
        <w:rPr>
          <w:rFonts w:ascii="Palatino Linotype" w:hAnsi="Palatino Linotype"/>
          <w:color w:val="000000" w:themeColor="text1"/>
          <w:sz w:val="18"/>
          <w:szCs w:val="18"/>
          <w:lang w:val="es-ES"/>
        </w:rPr>
      </w:pPr>
      <w:r w:rsidRPr="0045124B">
        <w:rPr>
          <w:rStyle w:val="Refdenotaalpie"/>
          <w:rFonts w:ascii="Palatino Linotype" w:hAnsi="Palatino Linotype"/>
          <w:color w:val="000000" w:themeColor="text1"/>
          <w:sz w:val="18"/>
          <w:szCs w:val="18"/>
        </w:rPr>
        <w:footnoteRef/>
      </w:r>
      <w:r w:rsidRPr="0045124B">
        <w:rPr>
          <w:rFonts w:ascii="Palatino Linotype" w:hAnsi="Palatino Linotype"/>
          <w:color w:val="000000" w:themeColor="text1"/>
          <w:sz w:val="18"/>
          <w:szCs w:val="18"/>
        </w:rPr>
        <w:t xml:space="preserve"> </w:t>
      </w:r>
      <w:r w:rsidRPr="0045124B">
        <w:rPr>
          <w:rFonts w:ascii="Palatino Linotype" w:hAnsi="Palatino Linotype"/>
          <w:color w:val="000000" w:themeColor="text1"/>
          <w:sz w:val="18"/>
          <w:szCs w:val="18"/>
          <w:lang w:val="es-ES"/>
        </w:rPr>
        <w:t>Para Morello, como contrapartida de la visión individualista del proceso centrada en una sobrevaloración del principio dispositivo e interés de las partes, debe redireccionarse hacia la cooperación y la buena fe. Así el “principio de solidaridad que “obliga” (…) a aquella parte que se encuentra en mejores condiciones de suministrar la prueba” (Morello, 1991, p.</w:t>
      </w:r>
      <w:r w:rsidRPr="0045124B">
        <w:rPr>
          <w:rStyle w:val="nfasissutil"/>
          <w:rFonts w:ascii="Palatino Linotype" w:hAnsi="Palatino Linotype"/>
          <w:color w:val="000000" w:themeColor="text1"/>
          <w:sz w:val="18"/>
          <w:szCs w:val="18"/>
        </w:rPr>
        <w:t>85-86</w:t>
      </w:r>
      <w:r w:rsidRPr="0045124B">
        <w:rPr>
          <w:rFonts w:ascii="Palatino Linotype" w:hAnsi="Palatino Linotype"/>
          <w:color w:val="000000" w:themeColor="text1"/>
          <w:sz w:val="18"/>
          <w:szCs w:val="18"/>
          <w:lang w:val="es-ES"/>
        </w:rPr>
        <w:t>).</w:t>
      </w:r>
    </w:p>
  </w:footnote>
  <w:footnote w:id="94">
    <w:p w14:paraId="6532FDF8" w14:textId="77777777" w:rsidR="00E87246" w:rsidRPr="0045124B" w:rsidRDefault="00E87246" w:rsidP="0045124B">
      <w:pPr>
        <w:pStyle w:val="Textonotapie"/>
        <w:jc w:val="both"/>
        <w:rPr>
          <w:rFonts w:ascii="Palatino Linotype" w:hAnsi="Palatino Linotype"/>
          <w:color w:val="000000" w:themeColor="text1"/>
          <w:sz w:val="18"/>
          <w:szCs w:val="18"/>
          <w:lang w:val="es-ES"/>
        </w:rPr>
      </w:pPr>
      <w:r w:rsidRPr="0045124B">
        <w:rPr>
          <w:rStyle w:val="Refdenotaalpie"/>
          <w:rFonts w:ascii="Palatino Linotype" w:hAnsi="Palatino Linotype"/>
          <w:color w:val="000000" w:themeColor="text1"/>
          <w:sz w:val="18"/>
          <w:szCs w:val="18"/>
        </w:rPr>
        <w:footnoteRef/>
      </w:r>
      <w:r w:rsidRPr="0045124B">
        <w:rPr>
          <w:rFonts w:ascii="Palatino Linotype" w:hAnsi="Palatino Linotype"/>
          <w:color w:val="000000" w:themeColor="text1"/>
          <w:sz w:val="18"/>
          <w:szCs w:val="18"/>
        </w:rPr>
        <w:t xml:space="preserve"> </w:t>
      </w:r>
      <w:r w:rsidRPr="0045124B">
        <w:rPr>
          <w:rFonts w:ascii="Palatino Linotype" w:hAnsi="Palatino Linotype"/>
          <w:color w:val="000000" w:themeColor="text1"/>
          <w:sz w:val="18"/>
          <w:szCs w:val="18"/>
          <w:lang w:val="es-ES"/>
        </w:rPr>
        <w:t xml:space="preserve">En palabras de Rambaldo “no puede privar que una fuente de prueba arribe al proceso cuando tuvo en sus manos los elementos para hacer surgir a la luz los hechos de la realidad, ni tampoco puede dejar de valorar las circunstancias en que se encontraba cada parte en cuanto a su capacidad real y concreta de proveer a su producción basándose en una rígida (estática) concepción de las reglas de la carga de la prueba” (Rambaldo, </w:t>
      </w:r>
      <w:r w:rsidRPr="0045124B">
        <w:rPr>
          <w:rFonts w:ascii="Palatino Linotype" w:hAnsi="Palatino Linotype"/>
          <w:color w:val="000000" w:themeColor="text1"/>
          <w:sz w:val="18"/>
          <w:szCs w:val="18"/>
        </w:rPr>
        <w:t xml:space="preserve">2008, </w:t>
      </w:r>
      <w:r w:rsidRPr="0045124B">
        <w:rPr>
          <w:rFonts w:ascii="Palatino Linotype" w:hAnsi="Palatino Linotype"/>
          <w:color w:val="000000" w:themeColor="text1"/>
          <w:sz w:val="18"/>
          <w:szCs w:val="18"/>
          <w:lang w:val="es-ES"/>
        </w:rPr>
        <w:t>p.31).</w:t>
      </w:r>
    </w:p>
  </w:footnote>
  <w:footnote w:id="95">
    <w:p w14:paraId="70461012" w14:textId="77777777" w:rsidR="00E87246" w:rsidRPr="0045124B" w:rsidRDefault="00E87246" w:rsidP="0045124B">
      <w:pPr>
        <w:pStyle w:val="Textonotapie"/>
        <w:jc w:val="both"/>
        <w:rPr>
          <w:rFonts w:ascii="Palatino Linotype" w:hAnsi="Palatino Linotype"/>
          <w:color w:val="000000" w:themeColor="text1"/>
          <w:sz w:val="18"/>
          <w:szCs w:val="18"/>
          <w:lang w:val="es-ES"/>
        </w:rPr>
      </w:pPr>
      <w:r w:rsidRPr="0045124B">
        <w:rPr>
          <w:rStyle w:val="Refdenotaalpie"/>
          <w:rFonts w:ascii="Palatino Linotype" w:hAnsi="Palatino Linotype"/>
          <w:color w:val="000000" w:themeColor="text1"/>
          <w:sz w:val="18"/>
          <w:szCs w:val="18"/>
        </w:rPr>
        <w:footnoteRef/>
      </w:r>
      <w:r w:rsidRPr="0045124B">
        <w:rPr>
          <w:rFonts w:ascii="Palatino Linotype" w:hAnsi="Palatino Linotype"/>
          <w:i/>
          <w:color w:val="000000" w:themeColor="text1"/>
          <w:sz w:val="18"/>
          <w:szCs w:val="18"/>
          <w:lang w:val="es-ES"/>
        </w:rPr>
        <w:t xml:space="preserve"> </w:t>
      </w:r>
      <w:r w:rsidRPr="0045124B">
        <w:rPr>
          <w:rFonts w:ascii="Palatino Linotype" w:hAnsi="Palatino Linotype"/>
          <w:color w:val="000000" w:themeColor="text1"/>
          <w:sz w:val="18"/>
          <w:szCs w:val="18"/>
          <w:lang w:val="es-ES"/>
        </w:rPr>
        <w:t xml:space="preserve">Para Barberio, si el sujeto débil se encontraba en condiciones suficientes para producir la prueba, no tiene sentido analizar la “mejor posición” de la parte contraria. En ese sentido, quien pretenda beneficiarse con el desplazamiento de la carga probatoria debe justificar que él no está en condiciones de poder producirla, ya que de lo contrario deberá probar con independencia de que su contraria también pueda o incluso, este en mejores condiciones para hacerlo (Barberio, </w:t>
      </w:r>
      <w:r w:rsidRPr="0045124B">
        <w:rPr>
          <w:rFonts w:ascii="Palatino Linotype" w:hAnsi="Palatino Linotype"/>
          <w:color w:val="000000" w:themeColor="text1"/>
          <w:sz w:val="18"/>
          <w:szCs w:val="18"/>
        </w:rPr>
        <w:t>2008, p</w:t>
      </w:r>
      <w:r w:rsidRPr="0045124B">
        <w:rPr>
          <w:rFonts w:ascii="Palatino Linotype" w:hAnsi="Palatino Linotype"/>
          <w:color w:val="000000" w:themeColor="text1"/>
          <w:sz w:val="18"/>
          <w:szCs w:val="18"/>
          <w:lang w:val="es-ES"/>
        </w:rPr>
        <w:t>.104).</w:t>
      </w:r>
    </w:p>
  </w:footnote>
  <w:footnote w:id="96">
    <w:p w14:paraId="4AE381D8" w14:textId="77777777" w:rsidR="00E87246" w:rsidRPr="0045124B" w:rsidRDefault="00E87246" w:rsidP="0045124B">
      <w:pPr>
        <w:pStyle w:val="Textonotapie"/>
        <w:jc w:val="both"/>
        <w:rPr>
          <w:rFonts w:ascii="Palatino Linotype" w:hAnsi="Palatino Linotype"/>
          <w:color w:val="000000" w:themeColor="text1"/>
          <w:sz w:val="18"/>
          <w:szCs w:val="18"/>
          <w:lang w:val="es-ES"/>
        </w:rPr>
      </w:pPr>
      <w:r w:rsidRPr="0045124B">
        <w:rPr>
          <w:rStyle w:val="Refdenotaalpie"/>
          <w:rFonts w:ascii="Palatino Linotype" w:hAnsi="Palatino Linotype"/>
          <w:color w:val="000000" w:themeColor="text1"/>
          <w:sz w:val="18"/>
          <w:szCs w:val="18"/>
        </w:rPr>
        <w:footnoteRef/>
      </w:r>
      <w:r w:rsidRPr="0045124B">
        <w:rPr>
          <w:rFonts w:ascii="Palatino Linotype" w:hAnsi="Palatino Linotype"/>
          <w:color w:val="000000" w:themeColor="text1"/>
          <w:sz w:val="18"/>
          <w:szCs w:val="18"/>
        </w:rPr>
        <w:t xml:space="preserve"> </w:t>
      </w:r>
      <w:r w:rsidRPr="0045124B">
        <w:rPr>
          <w:rFonts w:ascii="Palatino Linotype" w:hAnsi="Palatino Linotype"/>
          <w:color w:val="000000" w:themeColor="text1"/>
          <w:sz w:val="18"/>
          <w:szCs w:val="18"/>
          <w:lang w:val="es-ES"/>
        </w:rPr>
        <w:t xml:space="preserve">Como se ha indicado, el </w:t>
      </w:r>
      <w:r w:rsidRPr="0045124B">
        <w:rPr>
          <w:rFonts w:ascii="Palatino Linotype" w:hAnsi="Palatino Linotype"/>
          <w:color w:val="000000" w:themeColor="text1"/>
          <w:sz w:val="18"/>
          <w:szCs w:val="18"/>
        </w:rPr>
        <w:t>desplazamiento de la carga probatoria será aceptable sólo si la contraparte se encuentra en mejores condiciones reales para acreditar dichos hechos, sin embargo, cuando las dificultades probatorias afecten a ambas partes, la inversión de la carga procesal no se encuentra justificada (P</w:t>
      </w:r>
      <w:r w:rsidRPr="0045124B">
        <w:rPr>
          <w:rFonts w:ascii="Palatino Linotype" w:hAnsi="Palatino Linotype"/>
          <w:color w:val="000000" w:themeColor="text1"/>
          <w:sz w:val="18"/>
          <w:szCs w:val="18"/>
          <w:lang w:val="es-ES"/>
        </w:rPr>
        <w:t>eyrano, b.</w:t>
      </w:r>
      <w:r w:rsidRPr="0045124B">
        <w:rPr>
          <w:rFonts w:ascii="Palatino Linotype" w:hAnsi="Palatino Linotype"/>
          <w:color w:val="000000" w:themeColor="text1"/>
          <w:sz w:val="18"/>
          <w:szCs w:val="18"/>
        </w:rPr>
        <w:t>2008, p</w:t>
      </w:r>
      <w:r w:rsidRPr="0045124B">
        <w:rPr>
          <w:rFonts w:ascii="Palatino Linotype" w:hAnsi="Palatino Linotype"/>
          <w:color w:val="000000" w:themeColor="text1"/>
          <w:sz w:val="18"/>
          <w:szCs w:val="18"/>
          <w:lang w:val="es-ES"/>
        </w:rPr>
        <w:t>.96).</w:t>
      </w:r>
    </w:p>
  </w:footnote>
  <w:footnote w:id="97">
    <w:p w14:paraId="14F90653" w14:textId="77777777" w:rsidR="00E87246" w:rsidRPr="0045124B" w:rsidRDefault="00E87246" w:rsidP="0045124B">
      <w:pPr>
        <w:pStyle w:val="Textonotapie"/>
        <w:jc w:val="both"/>
        <w:rPr>
          <w:rFonts w:ascii="Palatino Linotype" w:hAnsi="Palatino Linotype"/>
          <w:color w:val="000000" w:themeColor="text1"/>
          <w:sz w:val="18"/>
          <w:szCs w:val="18"/>
          <w:lang w:val="es-ES"/>
        </w:rPr>
      </w:pPr>
      <w:r w:rsidRPr="0045124B">
        <w:rPr>
          <w:rStyle w:val="Refdenotaalpie"/>
          <w:rFonts w:ascii="Palatino Linotype" w:hAnsi="Palatino Linotype"/>
          <w:color w:val="000000" w:themeColor="text1"/>
          <w:sz w:val="18"/>
          <w:szCs w:val="18"/>
        </w:rPr>
        <w:footnoteRef/>
      </w:r>
      <w:r w:rsidRPr="0045124B">
        <w:rPr>
          <w:rFonts w:ascii="Palatino Linotype" w:hAnsi="Palatino Linotype"/>
          <w:color w:val="000000" w:themeColor="text1"/>
          <w:sz w:val="18"/>
          <w:szCs w:val="18"/>
        </w:rPr>
        <w:t xml:space="preserve"> Al respecto, “las reglas vigentes acerca de la distribución de la carga de la prueba, que no obstan a la iniciativa probatoria del tribunal, deben ser preservadas como viga maestra en la materia, sin perjuicio de su prudente flexibilización para mejor adaptarlas a las circunstancias del caso” (</w:t>
      </w:r>
      <w:r w:rsidRPr="0045124B">
        <w:rPr>
          <w:rFonts w:ascii="Palatino Linotype" w:hAnsi="Palatino Linotype"/>
          <w:color w:val="000000" w:themeColor="text1"/>
          <w:sz w:val="18"/>
          <w:szCs w:val="18"/>
          <w:lang w:val="es-ES"/>
        </w:rPr>
        <w:t>Peyrano, b.</w:t>
      </w:r>
      <w:r w:rsidRPr="0045124B">
        <w:rPr>
          <w:rFonts w:ascii="Palatino Linotype" w:hAnsi="Palatino Linotype"/>
          <w:color w:val="000000" w:themeColor="text1"/>
          <w:sz w:val="18"/>
          <w:szCs w:val="18"/>
        </w:rPr>
        <w:t xml:space="preserve">2008, </w:t>
      </w:r>
      <w:r w:rsidRPr="0045124B">
        <w:rPr>
          <w:rFonts w:ascii="Palatino Linotype" w:hAnsi="Palatino Linotype"/>
          <w:color w:val="000000" w:themeColor="text1"/>
          <w:sz w:val="18"/>
          <w:szCs w:val="18"/>
          <w:lang w:val="es-ES"/>
        </w:rPr>
        <w:t>p. 91).</w:t>
      </w:r>
    </w:p>
  </w:footnote>
  <w:footnote w:id="98">
    <w:p w14:paraId="3074633D" w14:textId="77777777" w:rsidR="00E87246" w:rsidRPr="0045124B" w:rsidRDefault="00E87246" w:rsidP="0045124B">
      <w:pPr>
        <w:pStyle w:val="Textonotapie"/>
        <w:jc w:val="both"/>
        <w:rPr>
          <w:rFonts w:ascii="Palatino Linotype" w:hAnsi="Palatino Linotype"/>
          <w:color w:val="000000" w:themeColor="text1"/>
          <w:sz w:val="18"/>
          <w:szCs w:val="18"/>
          <w:lang w:val="es-ES"/>
        </w:rPr>
      </w:pPr>
      <w:r w:rsidRPr="0045124B">
        <w:rPr>
          <w:rStyle w:val="Refdenotaalpie"/>
          <w:rFonts w:ascii="Palatino Linotype" w:hAnsi="Palatino Linotype"/>
          <w:color w:val="000000" w:themeColor="text1"/>
          <w:sz w:val="18"/>
          <w:szCs w:val="18"/>
        </w:rPr>
        <w:footnoteRef/>
      </w:r>
      <w:r w:rsidRPr="0045124B">
        <w:rPr>
          <w:rFonts w:ascii="Palatino Linotype" w:hAnsi="Palatino Linotype"/>
          <w:color w:val="000000" w:themeColor="text1"/>
          <w:sz w:val="18"/>
          <w:szCs w:val="18"/>
        </w:rPr>
        <w:t xml:space="preserve"> </w:t>
      </w:r>
      <w:r w:rsidRPr="0045124B">
        <w:rPr>
          <w:rFonts w:ascii="Palatino Linotype" w:hAnsi="Palatino Linotype"/>
          <w:color w:val="000000" w:themeColor="text1"/>
          <w:sz w:val="18"/>
          <w:szCs w:val="18"/>
          <w:lang w:val="es-ES"/>
        </w:rPr>
        <w:t>Entre ellos podemos destacar Airasca (</w:t>
      </w:r>
      <w:r w:rsidRPr="0045124B">
        <w:rPr>
          <w:rFonts w:ascii="Palatino Linotype" w:hAnsi="Palatino Linotype"/>
          <w:color w:val="000000" w:themeColor="text1"/>
          <w:sz w:val="18"/>
          <w:szCs w:val="18"/>
        </w:rPr>
        <w:t>2008, p</w:t>
      </w:r>
      <w:r w:rsidRPr="0045124B">
        <w:rPr>
          <w:rFonts w:ascii="Palatino Linotype" w:hAnsi="Palatino Linotype"/>
          <w:color w:val="000000" w:themeColor="text1"/>
          <w:sz w:val="18"/>
          <w:szCs w:val="18"/>
          <w:lang w:val="es-ES"/>
        </w:rPr>
        <w:t>.144).</w:t>
      </w:r>
    </w:p>
  </w:footnote>
  <w:footnote w:id="99">
    <w:p w14:paraId="7C0FE0C4" w14:textId="77777777" w:rsidR="00E87246" w:rsidRPr="0045124B" w:rsidRDefault="00E87246" w:rsidP="0045124B">
      <w:pPr>
        <w:pStyle w:val="Textonotapie"/>
        <w:jc w:val="both"/>
        <w:rPr>
          <w:rFonts w:ascii="Palatino Linotype" w:hAnsi="Palatino Linotype"/>
          <w:color w:val="000000" w:themeColor="text1"/>
          <w:sz w:val="18"/>
          <w:szCs w:val="18"/>
          <w:lang w:val="es-ES"/>
        </w:rPr>
      </w:pPr>
      <w:r w:rsidRPr="0045124B">
        <w:rPr>
          <w:rStyle w:val="Refdenotaalpie"/>
          <w:rFonts w:ascii="Palatino Linotype" w:hAnsi="Palatino Linotype"/>
          <w:color w:val="000000" w:themeColor="text1"/>
          <w:sz w:val="18"/>
          <w:szCs w:val="18"/>
        </w:rPr>
        <w:footnoteRef/>
      </w:r>
      <w:r w:rsidRPr="0045124B">
        <w:rPr>
          <w:rFonts w:ascii="Palatino Linotype" w:hAnsi="Palatino Linotype"/>
          <w:color w:val="000000" w:themeColor="text1"/>
          <w:sz w:val="18"/>
          <w:szCs w:val="18"/>
        </w:rPr>
        <w:t xml:space="preserve"> </w:t>
      </w:r>
      <w:r w:rsidRPr="0045124B">
        <w:rPr>
          <w:rFonts w:ascii="Palatino Linotype" w:hAnsi="Palatino Linotype"/>
          <w:color w:val="000000" w:themeColor="text1"/>
          <w:sz w:val="18"/>
          <w:szCs w:val="18"/>
          <w:lang w:val="es-ES"/>
        </w:rPr>
        <w:t xml:space="preserve">Ley </w:t>
      </w:r>
      <w:r w:rsidRPr="0045124B">
        <w:rPr>
          <w:rFonts w:ascii="Palatino Linotype" w:hAnsi="Palatino Linotype"/>
          <w:sz w:val="18"/>
          <w:szCs w:val="18"/>
          <w:lang w:val="es-ES"/>
        </w:rPr>
        <w:t>Nº</w:t>
      </w:r>
      <w:r w:rsidRPr="0045124B">
        <w:rPr>
          <w:rFonts w:ascii="Palatino Linotype" w:hAnsi="Palatino Linotype"/>
          <w:color w:val="000000" w:themeColor="text1"/>
          <w:sz w:val="18"/>
          <w:szCs w:val="18"/>
          <w:lang w:val="es-ES"/>
        </w:rPr>
        <w:t xml:space="preserve"> 9342 del 03 de febrero de 2016, cuya entrada en vigencia fue el 08 de octubre de 2018.</w:t>
      </w:r>
    </w:p>
  </w:footnote>
  <w:footnote w:id="100">
    <w:p w14:paraId="082EB598" w14:textId="77777777" w:rsidR="00E87246" w:rsidRPr="0045124B" w:rsidRDefault="00E87246" w:rsidP="0045124B">
      <w:pPr>
        <w:spacing w:after="0"/>
        <w:jc w:val="both"/>
        <w:rPr>
          <w:rFonts w:ascii="Palatino Linotype" w:hAnsi="Palatino Linotype"/>
          <w:color w:val="000000" w:themeColor="text1"/>
          <w:sz w:val="18"/>
          <w:szCs w:val="18"/>
        </w:rPr>
      </w:pPr>
      <w:r w:rsidRPr="0045124B">
        <w:rPr>
          <w:rStyle w:val="Refdenotaalpie"/>
          <w:rFonts w:ascii="Palatino Linotype" w:hAnsi="Palatino Linotype"/>
          <w:color w:val="000000" w:themeColor="text1"/>
          <w:sz w:val="18"/>
          <w:szCs w:val="18"/>
        </w:rPr>
        <w:footnoteRef/>
      </w:r>
      <w:r w:rsidRPr="0045124B">
        <w:rPr>
          <w:rFonts w:ascii="Palatino Linotype" w:hAnsi="Palatino Linotype"/>
          <w:color w:val="000000" w:themeColor="text1"/>
          <w:sz w:val="18"/>
          <w:szCs w:val="18"/>
        </w:rPr>
        <w:t xml:space="preserve"> El Código Procesal Civil derogado – 1989- regulaba la carga de la prueba en su artículo 317. </w:t>
      </w:r>
    </w:p>
  </w:footnote>
  <w:footnote w:id="101">
    <w:p w14:paraId="02F93B66" w14:textId="77777777" w:rsidR="00E87246" w:rsidRPr="0045124B" w:rsidRDefault="00E87246" w:rsidP="0045124B">
      <w:pPr>
        <w:pStyle w:val="Ttulo1"/>
        <w:spacing w:before="0" w:after="0" w:line="240" w:lineRule="auto"/>
        <w:rPr>
          <w:rFonts w:ascii="Palatino Linotype" w:hAnsi="Palatino Linotype" w:cs="Times New Roman"/>
          <w:b w:val="0"/>
          <w:color w:val="000000" w:themeColor="text1"/>
          <w:sz w:val="18"/>
          <w:szCs w:val="18"/>
        </w:rPr>
      </w:pPr>
      <w:r w:rsidRPr="0045124B">
        <w:rPr>
          <w:rStyle w:val="Refdenotaalpie"/>
          <w:rFonts w:ascii="Palatino Linotype" w:hAnsi="Palatino Linotype"/>
          <w:color w:val="000000" w:themeColor="text1"/>
          <w:sz w:val="18"/>
          <w:szCs w:val="18"/>
        </w:rPr>
        <w:footnoteRef/>
      </w:r>
      <w:r w:rsidRPr="0045124B">
        <w:rPr>
          <w:rFonts w:ascii="Palatino Linotype" w:hAnsi="Palatino Linotype" w:cs="Times New Roman"/>
          <w:color w:val="000000" w:themeColor="text1"/>
          <w:sz w:val="18"/>
          <w:szCs w:val="18"/>
        </w:rPr>
        <w:t xml:space="preserve"> </w:t>
      </w:r>
      <w:r w:rsidRPr="0045124B">
        <w:rPr>
          <w:rFonts w:ascii="Palatino Linotype" w:hAnsi="Palatino Linotype" w:cs="Times New Roman"/>
          <w:b w:val="0"/>
          <w:color w:val="000000" w:themeColor="text1"/>
          <w:sz w:val="18"/>
          <w:szCs w:val="18"/>
        </w:rPr>
        <w:t xml:space="preserve">La Carga de la Prueba en el Proyecto de Reforma del Código Procesal Civil | Jordi Ferrer, minuto 11, segundo31. </w:t>
      </w:r>
      <w:hyperlink r:id="rId18" w:history="1">
        <w:r w:rsidRPr="0045124B">
          <w:rPr>
            <w:rStyle w:val="Hipervnculo"/>
            <w:rFonts w:ascii="Palatino Linotype" w:hAnsi="Palatino Linotype" w:cs="Times New Roman"/>
            <w:b w:val="0"/>
            <w:sz w:val="18"/>
            <w:szCs w:val="18"/>
          </w:rPr>
          <w:t>https://www.youtube.com/watch?v=iXC-6xQKyUI</w:t>
        </w:r>
      </w:hyperlink>
      <w:r w:rsidRPr="0045124B">
        <w:rPr>
          <w:rFonts w:ascii="Palatino Linotype" w:hAnsi="Palatino Linotype" w:cs="Times New Roman"/>
          <w:b w:val="0"/>
          <w:sz w:val="18"/>
          <w:szCs w:val="18"/>
        </w:rPr>
        <w:t xml:space="preserve"> </w:t>
      </w:r>
    </w:p>
  </w:footnote>
  <w:footnote w:id="102">
    <w:p w14:paraId="2E686DDB" w14:textId="77777777" w:rsidR="00E87246" w:rsidRPr="0045124B" w:rsidRDefault="00E87246" w:rsidP="0045124B">
      <w:pPr>
        <w:pStyle w:val="Textonotapie"/>
        <w:jc w:val="both"/>
        <w:rPr>
          <w:rFonts w:ascii="Palatino Linotype" w:hAnsi="Palatino Linotype"/>
          <w:sz w:val="18"/>
          <w:szCs w:val="18"/>
          <w:lang w:val="es-ES"/>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ES"/>
        </w:rPr>
        <w:t xml:space="preserve">Se entiende la prueba como resultado. Al respecto, Taruffo lo define como las conclusiones alcanzadas o resultados generados a través de las inferencias extraídas de los medios de prueba relevantes que permiten generar los enunciados sobre la existencia de los hechos litigiosos y la verdad de tales enunciados. En ese sentido, un hecho sólo está probado cuando se extrae exitosamente de los medios de prueba disponibles alguna inferencia sobre su ocurrencia (Taruffo, 2008, p. 34-35). </w:t>
      </w:r>
    </w:p>
  </w:footnote>
  <w:footnote w:id="103">
    <w:p w14:paraId="303E13B1" w14:textId="77777777" w:rsidR="00E87246" w:rsidRPr="0045124B" w:rsidRDefault="00E87246" w:rsidP="0045124B">
      <w:pPr>
        <w:spacing w:after="0" w:line="240" w:lineRule="auto"/>
        <w:jc w:val="both"/>
        <w:rPr>
          <w:rFonts w:ascii="Palatino Linotype" w:hAnsi="Palatino Linotype" w:cs="Times New Roman"/>
          <w:sz w:val="18"/>
          <w:szCs w:val="18"/>
          <w:lang w:val="es-CR"/>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cstheme="minorHAnsi"/>
          <w:sz w:val="18"/>
          <w:szCs w:val="18"/>
          <w:lang w:val="es-CR"/>
        </w:rPr>
        <w:t>La unificación de procesos arbitrales parece plausible en ciertos ámbitos, pero en otros es mejor que cada uno conserve su propia identidad.</w:t>
      </w:r>
    </w:p>
    <w:p w14:paraId="58863348" w14:textId="77777777" w:rsidR="00E87246" w:rsidRPr="0045124B" w:rsidRDefault="00E87246" w:rsidP="0045124B">
      <w:pPr>
        <w:pStyle w:val="Textonotapie"/>
        <w:jc w:val="both"/>
        <w:rPr>
          <w:rFonts w:ascii="Palatino Linotype" w:hAnsi="Palatino Linotype"/>
          <w:sz w:val="18"/>
          <w:szCs w:val="18"/>
        </w:rPr>
      </w:pPr>
    </w:p>
  </w:footnote>
  <w:footnote w:id="104">
    <w:p w14:paraId="2F6A4406"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cstheme="minorHAnsi"/>
          <w:sz w:val="18"/>
          <w:szCs w:val="18"/>
        </w:rPr>
        <w:t xml:space="preserve"> En la formación en nuestros centros de enseñanza superior se busca defender la certeza procesal a toda costa, con la que se pueden sacrificar otros fines y valores relevantes.</w:t>
      </w:r>
    </w:p>
  </w:footnote>
  <w:footnote w:id="105">
    <w:p w14:paraId="1AC05F1E" w14:textId="77777777" w:rsidR="00E87246" w:rsidRPr="0045124B" w:rsidRDefault="00E87246" w:rsidP="0045124B">
      <w:pPr>
        <w:pStyle w:val="Textonotapie"/>
        <w:jc w:val="both"/>
        <w:rPr>
          <w:rFonts w:ascii="Palatino Linotype" w:hAnsi="Palatino Linotype"/>
          <w:sz w:val="18"/>
          <w:szCs w:val="18"/>
          <w:lang w:val="en-US"/>
        </w:rPr>
      </w:pPr>
      <w:r w:rsidRPr="0045124B">
        <w:rPr>
          <w:rStyle w:val="Refdenotaalpie"/>
          <w:rFonts w:ascii="Palatino Linotype" w:hAnsi="Palatino Linotype"/>
          <w:sz w:val="18"/>
          <w:szCs w:val="18"/>
        </w:rPr>
        <w:footnoteRef/>
      </w:r>
      <w:r w:rsidRPr="0045124B">
        <w:rPr>
          <w:rFonts w:ascii="Palatino Linotype" w:hAnsi="Palatino Linotype"/>
          <w:sz w:val="18"/>
          <w:szCs w:val="18"/>
          <w:lang w:val="en-US"/>
        </w:rPr>
        <w:t xml:space="preserve"> </w:t>
      </w:r>
      <w:r w:rsidRPr="0045124B">
        <w:rPr>
          <w:rFonts w:ascii="Palatino Linotype" w:hAnsi="Palatino Linotype"/>
          <w:i/>
          <w:sz w:val="18"/>
          <w:szCs w:val="18"/>
          <w:lang w:val="en-US"/>
        </w:rPr>
        <w:t>“The study of the principles of Evidence, for a lawyer, falls into two distinct parts. One is Proof in the general sense, - the part concerned with the ratiocinative process of contentious persuasion, - mind to mind, counsel to juror, each partisan seeking to move the mind of the tribunal. The other part is Admissibility, - the procedural rules devised by the law, and based on litigious experience and tradition, to guard the tribunal (particularly the jury) against erroneous persuasion. Hitherto, the latter has loomed largest in our formal studies, - has, in fact, monopolized them; while the former, virtually ignored, has been left to the chances of later acquisition, casual and empiric, in the course of practice.”</w:t>
      </w:r>
    </w:p>
  </w:footnote>
  <w:footnote w:id="106">
    <w:p w14:paraId="610DB992" w14:textId="77777777" w:rsidR="00E87246" w:rsidRPr="0045124B" w:rsidRDefault="00E87246" w:rsidP="0045124B">
      <w:pPr>
        <w:autoSpaceDE w:val="0"/>
        <w:autoSpaceDN w:val="0"/>
        <w:adjustRightInd w:val="0"/>
        <w:spacing w:after="0" w:line="240" w:lineRule="auto"/>
        <w:jc w:val="both"/>
        <w:rPr>
          <w:rFonts w:ascii="Palatino Linotype" w:hAnsi="Palatino Linotype" w:cstheme="minorHAnsi"/>
          <w:i/>
          <w:sz w:val="18"/>
          <w:szCs w:val="18"/>
          <w:lang w:val="en-US"/>
        </w:rPr>
      </w:pPr>
      <w:r w:rsidRPr="0045124B">
        <w:rPr>
          <w:rStyle w:val="Refdenotaalpie"/>
          <w:rFonts w:ascii="Palatino Linotype" w:hAnsi="Palatino Linotype"/>
          <w:sz w:val="18"/>
          <w:szCs w:val="18"/>
        </w:rPr>
        <w:footnoteRef/>
      </w:r>
      <w:r w:rsidRPr="0045124B">
        <w:rPr>
          <w:rFonts w:ascii="Palatino Linotype" w:hAnsi="Palatino Linotype"/>
          <w:sz w:val="18"/>
          <w:szCs w:val="18"/>
          <w:lang w:val="en-US"/>
        </w:rPr>
        <w:t xml:space="preserve"> </w:t>
      </w:r>
      <w:r w:rsidRPr="0045124B">
        <w:rPr>
          <w:rFonts w:ascii="Palatino Linotype" w:hAnsi="Palatino Linotype" w:cstheme="minorHAnsi"/>
          <w:i/>
          <w:sz w:val="18"/>
          <w:szCs w:val="18"/>
          <w:lang w:val="en-US"/>
        </w:rPr>
        <w:t>“It is an intellectual procedure for analyzing and organizing a complex body of evidential data and demonstrating precisely how the inferences from that data can be marshaled in support of and in opposition to the ultimate proposition that must be proved.”</w:t>
      </w:r>
    </w:p>
  </w:footnote>
  <w:footnote w:id="107">
    <w:p w14:paraId="72774170" w14:textId="77777777" w:rsidR="00E87246" w:rsidRPr="0045124B" w:rsidRDefault="00E87246" w:rsidP="0045124B">
      <w:pPr>
        <w:spacing w:after="0"/>
        <w:jc w:val="both"/>
        <w:rPr>
          <w:rFonts w:ascii="Palatino Linotype" w:hAnsi="Palatino Linotype" w:cs="Times New Roman"/>
          <w:color w:val="0000FF"/>
          <w:sz w:val="18"/>
          <w:szCs w:val="18"/>
          <w:u w:val="single"/>
          <w:lang w:eastAsia="es-ES"/>
        </w:rPr>
      </w:pPr>
      <w:r w:rsidRPr="0045124B">
        <w:rPr>
          <w:rStyle w:val="Refdenotaalpie"/>
          <w:rFonts w:ascii="Palatino Linotype" w:hAnsi="Palatino Linotype" w:cs="Times New Roman"/>
          <w:color w:val="000000"/>
          <w:sz w:val="18"/>
          <w:szCs w:val="18"/>
        </w:rPr>
        <w:t>*</w:t>
      </w:r>
      <w:r w:rsidRPr="0045124B">
        <w:rPr>
          <w:rFonts w:ascii="Palatino Linotype" w:hAnsi="Palatino Linotype" w:cs="Times New Roman"/>
          <w:color w:val="000000"/>
          <w:sz w:val="18"/>
          <w:szCs w:val="18"/>
        </w:rPr>
        <w:t xml:space="preserve"> El autor es especialista en Derecho Público, Regulación Económica y Servicios Públicos. Abogado recomendado por </w:t>
      </w:r>
      <w:r w:rsidRPr="0045124B">
        <w:rPr>
          <w:rFonts w:ascii="Palatino Linotype" w:hAnsi="Palatino Linotype" w:cs="Times New Roman"/>
          <w:i/>
          <w:color w:val="000000"/>
          <w:sz w:val="18"/>
          <w:szCs w:val="18"/>
        </w:rPr>
        <w:t>Chambers and Partners</w:t>
      </w:r>
      <w:r w:rsidRPr="0045124B">
        <w:rPr>
          <w:rFonts w:ascii="Palatino Linotype" w:hAnsi="Palatino Linotype" w:cs="Times New Roman"/>
          <w:color w:val="000000"/>
          <w:sz w:val="18"/>
          <w:szCs w:val="18"/>
        </w:rPr>
        <w:t xml:space="preserve"> en las áreas de Derecho Público, Telecomunicaciones y </w:t>
      </w:r>
      <w:r w:rsidRPr="0045124B">
        <w:rPr>
          <w:rFonts w:ascii="Palatino Linotype" w:hAnsi="Palatino Linotype" w:cs="Times New Roman"/>
          <w:i/>
          <w:color w:val="000000"/>
          <w:sz w:val="18"/>
          <w:szCs w:val="18"/>
        </w:rPr>
        <w:t>Project Finance</w:t>
      </w:r>
      <w:r w:rsidRPr="0045124B">
        <w:rPr>
          <w:rFonts w:ascii="Palatino Linotype" w:hAnsi="Palatino Linotype" w:cs="Times New Roman"/>
          <w:color w:val="000000"/>
          <w:sz w:val="18"/>
          <w:szCs w:val="18"/>
        </w:rPr>
        <w:t xml:space="preserve">. Árbitro del Centro Iberoamericano de Arbitraje (CIAR). Profesor de la Universidad Escuela Libre de Derecho y Miembro del Jurado Examinador de la Maestría en Derecho Público del Instituto de Enseñanza de Posgrado e Investigación de la Universidad Autónoma de Centroamérica. Profesor del Curso de Regulación y Competencia de la Universidad de Valladolid, España. Vicepresidente de la Asociación Iberoamericana de Estudios de Regulación (ASIER). Co-coordinador de la Comisión de Derecho Administrativo del Colegio de Abogados y Abogadas de Costa Rica. Socio de BLP Legal. </w:t>
      </w:r>
      <w:hyperlink r:id="rId19" w:history="1">
        <w:r w:rsidRPr="0045124B">
          <w:rPr>
            <w:rStyle w:val="Hipervnculo"/>
            <w:rFonts w:ascii="Palatino Linotype" w:hAnsi="Palatino Linotype" w:cs="Times New Roman"/>
            <w:sz w:val="18"/>
            <w:szCs w:val="18"/>
          </w:rPr>
          <w:t>lortiz@blplegal.com</w:t>
        </w:r>
      </w:hyperlink>
    </w:p>
  </w:footnote>
  <w:footnote w:id="108">
    <w:p w14:paraId="641663DD" w14:textId="77777777" w:rsidR="00E87246" w:rsidRPr="0045124B" w:rsidRDefault="00E87246" w:rsidP="0045124B">
      <w:pPr>
        <w:pStyle w:val="Textonotapie"/>
        <w:jc w:val="both"/>
        <w:rPr>
          <w:rFonts w:ascii="Palatino Linotype" w:hAnsi="Palatino Linotype" w:cs="Times New Roman"/>
          <w:sz w:val="18"/>
          <w:szCs w:val="18"/>
          <w:lang w:val="en-U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González Camacho, Oscar Eduardo. </w:t>
      </w:r>
      <w:r w:rsidRPr="0045124B">
        <w:rPr>
          <w:rFonts w:ascii="Palatino Linotype" w:hAnsi="Palatino Linotype" w:cs="Times New Roman"/>
          <w:i/>
          <w:sz w:val="18"/>
          <w:szCs w:val="18"/>
        </w:rPr>
        <w:t xml:space="preserve">Recursos. </w:t>
      </w:r>
      <w:r w:rsidRPr="0045124B">
        <w:rPr>
          <w:rFonts w:ascii="Palatino Linotype" w:hAnsi="Palatino Linotype" w:cs="Times New Roman"/>
          <w:sz w:val="18"/>
          <w:szCs w:val="18"/>
        </w:rPr>
        <w:t>En la obra colectiva: JIMÉNEZ MEZA, Manrique (</w:t>
      </w:r>
      <w:r w:rsidRPr="0045124B">
        <w:rPr>
          <w:rFonts w:ascii="Palatino Linotype" w:hAnsi="Palatino Linotype" w:cs="Times New Roman"/>
          <w:i/>
          <w:sz w:val="18"/>
          <w:szCs w:val="18"/>
        </w:rPr>
        <w:t>et al</w:t>
      </w:r>
      <w:r w:rsidRPr="0045124B">
        <w:rPr>
          <w:rFonts w:ascii="Palatino Linotype" w:hAnsi="Palatino Linotype" w:cs="Times New Roman"/>
          <w:sz w:val="18"/>
          <w:szCs w:val="18"/>
        </w:rPr>
        <w:t xml:space="preserve">.) </w:t>
      </w:r>
      <w:r w:rsidRPr="0045124B">
        <w:rPr>
          <w:rFonts w:ascii="Palatino Linotype" w:hAnsi="Palatino Linotype" w:cs="Times New Roman"/>
          <w:i/>
          <w:sz w:val="18"/>
          <w:szCs w:val="18"/>
        </w:rPr>
        <w:t xml:space="preserve"> El nuevo proceso contencioso administrativo. </w:t>
      </w:r>
      <w:r w:rsidRPr="0045124B">
        <w:rPr>
          <w:rFonts w:ascii="Palatino Linotype" w:hAnsi="Palatino Linotype" w:cs="Times New Roman"/>
          <w:sz w:val="18"/>
          <w:szCs w:val="18"/>
        </w:rPr>
        <w:t xml:space="preserve">Poder Judicial, San José, 2006, págs. </w:t>
      </w:r>
      <w:r w:rsidRPr="0045124B">
        <w:rPr>
          <w:rFonts w:ascii="Palatino Linotype" w:hAnsi="Palatino Linotype" w:cs="Times New Roman"/>
          <w:sz w:val="18"/>
          <w:szCs w:val="18"/>
          <w:lang w:val="en-US"/>
        </w:rPr>
        <w:t>519-520.</w:t>
      </w:r>
    </w:p>
  </w:footnote>
  <w:footnote w:id="109">
    <w:p w14:paraId="4A0210FE"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lang w:val="en-US"/>
        </w:rPr>
        <w:t xml:space="preserve"> Krugman, Paul.</w:t>
      </w:r>
      <w:r w:rsidRPr="0045124B">
        <w:rPr>
          <w:rFonts w:ascii="Palatino Linotype" w:hAnsi="Palatino Linotype" w:cs="Times New Roman"/>
          <w:i/>
          <w:sz w:val="18"/>
          <w:szCs w:val="18"/>
          <w:lang w:val="en-US"/>
        </w:rPr>
        <w:t xml:space="preserve"> O Canada. A neglected nation gets its Nobel</w:t>
      </w:r>
      <w:r w:rsidRPr="0045124B">
        <w:rPr>
          <w:rFonts w:ascii="Palatino Linotype" w:hAnsi="Palatino Linotype" w:cs="Times New Roman"/>
          <w:sz w:val="18"/>
          <w:szCs w:val="18"/>
          <w:lang w:val="en-US"/>
        </w:rPr>
        <w:t xml:space="preserve">. </w:t>
      </w:r>
      <w:r w:rsidRPr="0045124B">
        <w:rPr>
          <w:rFonts w:ascii="Palatino Linotype" w:hAnsi="Palatino Linotype" w:cs="Times New Roman"/>
          <w:sz w:val="18"/>
          <w:szCs w:val="18"/>
        </w:rPr>
        <w:t>Slate, 10 de octubre de 1999. Consultado el 18 de abril de 2019. https://slate.com/business/1999/10/o-canada.html</w:t>
      </w:r>
    </w:p>
  </w:footnote>
  <w:footnote w:id="110">
    <w:p w14:paraId="4C52B5D7" w14:textId="77777777" w:rsidR="00E87246" w:rsidRPr="0045124B" w:rsidRDefault="00E87246" w:rsidP="0045124B">
      <w:pPr>
        <w:pStyle w:val="Default"/>
        <w:jc w:val="both"/>
        <w:rPr>
          <w:rFonts w:ascii="Palatino Linotype" w:hAnsi="Palatino Linotype" w:cs="Times New Roman"/>
          <w:color w:val="auto"/>
          <w:sz w:val="18"/>
          <w:szCs w:val="18"/>
        </w:rPr>
      </w:pPr>
      <w:r w:rsidRPr="0045124B">
        <w:rPr>
          <w:rFonts w:ascii="Palatino Linotype" w:hAnsi="Palatino Linotype" w:cs="Times New Roman"/>
          <w:color w:val="auto"/>
          <w:sz w:val="18"/>
          <w:szCs w:val="18"/>
        </w:rPr>
        <w:footnoteRef/>
      </w:r>
      <w:r w:rsidRPr="0045124B">
        <w:rPr>
          <w:rFonts w:ascii="Palatino Linotype" w:hAnsi="Palatino Linotype" w:cs="Times New Roman"/>
          <w:color w:val="auto"/>
          <w:sz w:val="18"/>
          <w:szCs w:val="18"/>
          <w:lang w:val="en-US"/>
        </w:rPr>
        <w:t xml:space="preserve"> Cfr. </w:t>
      </w:r>
      <w:r w:rsidRPr="0045124B">
        <w:rPr>
          <w:rFonts w:ascii="Palatino Linotype" w:hAnsi="Palatino Linotype" w:cs="Times New Roman"/>
          <w:i/>
          <w:color w:val="auto"/>
          <w:sz w:val="18"/>
          <w:szCs w:val="18"/>
          <w:lang w:val="en-US"/>
        </w:rPr>
        <w:t>in toto:</w:t>
      </w:r>
      <w:r w:rsidRPr="0045124B">
        <w:rPr>
          <w:rFonts w:ascii="Palatino Linotype" w:hAnsi="Palatino Linotype" w:cs="Times New Roman"/>
          <w:color w:val="auto"/>
          <w:sz w:val="18"/>
          <w:szCs w:val="18"/>
          <w:lang w:val="en-US"/>
        </w:rPr>
        <w:t xml:space="preserve"> Taruffo, Michele. </w:t>
      </w:r>
      <w:r w:rsidRPr="0045124B">
        <w:rPr>
          <w:rFonts w:ascii="Palatino Linotype" w:hAnsi="Palatino Linotype" w:cs="Times New Roman"/>
          <w:i/>
          <w:color w:val="auto"/>
          <w:sz w:val="18"/>
          <w:szCs w:val="18"/>
        </w:rPr>
        <w:t xml:space="preserve">El vértice ambiguo. Ensayos sobre la Casación civil. </w:t>
      </w:r>
      <w:r w:rsidRPr="0045124B">
        <w:rPr>
          <w:rFonts w:ascii="Palatino Linotype" w:hAnsi="Palatino Linotype" w:cs="Times New Roman"/>
          <w:color w:val="auto"/>
          <w:sz w:val="18"/>
          <w:szCs w:val="18"/>
        </w:rPr>
        <w:t>Biblioteca de Derecho Procesal, Directores: Juan Monroy Gálvez y Juan José Monroy Palacios, Editorial Palestra, Perú, 2006.</w:t>
      </w:r>
    </w:p>
  </w:footnote>
  <w:footnote w:id="111">
    <w:p w14:paraId="1C16E395"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Ibid. pág. 144.</w:t>
      </w:r>
    </w:p>
  </w:footnote>
  <w:footnote w:id="112">
    <w:p w14:paraId="352582E0" w14:textId="77777777" w:rsidR="00E87246" w:rsidRPr="0045124B" w:rsidRDefault="00E87246" w:rsidP="0045124B">
      <w:pPr>
        <w:pStyle w:val="Textonotapie"/>
        <w:jc w:val="both"/>
        <w:rPr>
          <w:rFonts w:ascii="Palatino Linotype" w:hAnsi="Palatino Linotype" w:cs="Times New Roman"/>
          <w:sz w:val="18"/>
          <w:szCs w:val="18"/>
          <w:lang w:val="pt-BR"/>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Calamandrei, P. </w:t>
      </w:r>
      <w:r w:rsidRPr="0045124B">
        <w:rPr>
          <w:rFonts w:ascii="Palatino Linotype" w:hAnsi="Palatino Linotype" w:cs="Times New Roman"/>
          <w:i/>
          <w:iCs/>
          <w:sz w:val="18"/>
          <w:szCs w:val="18"/>
        </w:rPr>
        <w:t>La casación civil.</w:t>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pt-BR"/>
        </w:rPr>
        <w:t>T. I, Vol. I, págs. 87 y ss.</w:t>
      </w:r>
    </w:p>
  </w:footnote>
  <w:footnote w:id="113">
    <w:p w14:paraId="7B1AAA9B"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lang w:val="pt-BR"/>
        </w:rPr>
        <w:t xml:space="preserve"> Artavia Barrantes, Sergio. </w:t>
      </w:r>
      <w:r w:rsidRPr="0045124B">
        <w:rPr>
          <w:rFonts w:ascii="Palatino Linotype" w:hAnsi="Palatino Linotype" w:cs="Times New Roman"/>
          <w:i/>
          <w:sz w:val="18"/>
          <w:szCs w:val="18"/>
        </w:rPr>
        <w:t xml:space="preserve">La Casación Civil. </w:t>
      </w:r>
      <w:r w:rsidRPr="0045124B">
        <w:rPr>
          <w:rFonts w:ascii="Palatino Linotype" w:hAnsi="Palatino Linotype" w:cs="Times New Roman"/>
          <w:sz w:val="18"/>
          <w:szCs w:val="18"/>
        </w:rPr>
        <w:t>T.I., San José, Costa Rica: IJSA, 2015, pág. 19.</w:t>
      </w:r>
    </w:p>
  </w:footnote>
  <w:footnote w:id="114">
    <w:p w14:paraId="490FF757"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Bouazaa Ariño, Omar. </w:t>
      </w:r>
      <w:r w:rsidRPr="0045124B">
        <w:rPr>
          <w:rFonts w:ascii="Palatino Linotype" w:hAnsi="Palatino Linotype" w:cs="Times New Roman"/>
          <w:i/>
          <w:sz w:val="18"/>
          <w:szCs w:val="18"/>
        </w:rPr>
        <w:t xml:space="preserve">El recurso de casación contencioso-administrativo común. </w:t>
      </w:r>
      <w:r w:rsidRPr="0045124B">
        <w:rPr>
          <w:rFonts w:ascii="Palatino Linotype" w:hAnsi="Palatino Linotype" w:cs="Times New Roman"/>
          <w:sz w:val="18"/>
          <w:szCs w:val="18"/>
        </w:rPr>
        <w:t xml:space="preserve">Cizur Menor, Thompson Reuters, 2013, pág. 21. </w:t>
      </w:r>
      <w:r w:rsidRPr="0045124B">
        <w:rPr>
          <w:rFonts w:ascii="Palatino Linotype" w:hAnsi="Palatino Linotype" w:cs="Times New Roman"/>
          <w:i/>
          <w:sz w:val="18"/>
          <w:szCs w:val="18"/>
        </w:rPr>
        <w:t xml:space="preserve">Constitución Española. </w:t>
      </w:r>
      <w:r w:rsidRPr="0045124B">
        <w:rPr>
          <w:rFonts w:ascii="Palatino Linotype" w:hAnsi="Palatino Linotype" w:cs="Times New Roman"/>
          <w:sz w:val="18"/>
          <w:szCs w:val="18"/>
        </w:rPr>
        <w:t>Tesis de Doctorado, Facultad de Derecho, Universidad Carlos III de Madrid. 2012.</w:t>
      </w:r>
    </w:p>
  </w:footnote>
  <w:footnote w:id="115">
    <w:p w14:paraId="0490A857"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Parada, Ramón. </w:t>
      </w:r>
      <w:r w:rsidRPr="0045124B">
        <w:rPr>
          <w:rFonts w:ascii="Palatino Linotype" w:hAnsi="Palatino Linotype" w:cs="Times New Roman"/>
          <w:i/>
          <w:sz w:val="18"/>
          <w:szCs w:val="18"/>
        </w:rPr>
        <w:t>Derecho Administrativo I Parte General</w:t>
      </w:r>
      <w:r w:rsidRPr="0045124B">
        <w:rPr>
          <w:rFonts w:ascii="Palatino Linotype" w:hAnsi="Palatino Linotype" w:cs="Times New Roman"/>
          <w:sz w:val="18"/>
          <w:szCs w:val="18"/>
        </w:rPr>
        <w:t>. Marcial Pons, Madrid, 2007, pág. 667.</w:t>
      </w:r>
    </w:p>
  </w:footnote>
  <w:footnote w:id="116">
    <w:p w14:paraId="3C96BC04" w14:textId="77777777" w:rsidR="00E87246" w:rsidRPr="0045124B" w:rsidRDefault="00E87246" w:rsidP="0045124B">
      <w:pPr>
        <w:pStyle w:val="Textonotapie"/>
        <w:jc w:val="both"/>
        <w:rPr>
          <w:rFonts w:ascii="Palatino Linotype" w:hAnsi="Palatino Linotype" w:cs="Times New Roman"/>
          <w:i/>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Cfr. </w:t>
      </w:r>
      <w:r w:rsidRPr="0045124B">
        <w:rPr>
          <w:rFonts w:ascii="Palatino Linotype" w:hAnsi="Palatino Linotype" w:cs="Times New Roman"/>
          <w:i/>
          <w:sz w:val="18"/>
          <w:szCs w:val="18"/>
        </w:rPr>
        <w:t>in toto</w:t>
      </w:r>
      <w:r w:rsidRPr="0045124B">
        <w:rPr>
          <w:rFonts w:ascii="Palatino Linotype" w:hAnsi="Palatino Linotype" w:cs="Times New Roman"/>
          <w:sz w:val="18"/>
          <w:szCs w:val="18"/>
        </w:rPr>
        <w:t xml:space="preserve">: González Alonso, Alicia. </w:t>
      </w:r>
      <w:r w:rsidRPr="0045124B">
        <w:rPr>
          <w:rFonts w:ascii="Palatino Linotype" w:hAnsi="Palatino Linotype" w:cs="Times New Roman"/>
          <w:i/>
          <w:sz w:val="18"/>
          <w:szCs w:val="18"/>
        </w:rPr>
        <w:t xml:space="preserve">La tutela jurisdiccional de los derechos del artículo 24.1 de la Constitución Española. </w:t>
      </w:r>
      <w:r w:rsidRPr="0045124B">
        <w:rPr>
          <w:rFonts w:ascii="Palatino Linotype" w:hAnsi="Palatino Linotype" w:cs="Times New Roman"/>
          <w:sz w:val="18"/>
          <w:szCs w:val="18"/>
        </w:rPr>
        <w:t xml:space="preserve">Tesis de Doctorado, Facultad de Derecho, Universidad Carlos III de Madrid. 2012. </w:t>
      </w:r>
    </w:p>
  </w:footnote>
  <w:footnote w:id="117">
    <w:p w14:paraId="7DB7B7F2"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García De Enterría, Eduardo. </w:t>
      </w:r>
      <w:r w:rsidRPr="0045124B">
        <w:rPr>
          <w:rFonts w:ascii="Palatino Linotype" w:hAnsi="Palatino Linotype" w:cs="Times New Roman"/>
          <w:i/>
          <w:sz w:val="18"/>
          <w:szCs w:val="18"/>
        </w:rPr>
        <w:t xml:space="preserve">La lengua de los derechos. La formación del Derecho público europeo tras la Revolución Francesa. </w:t>
      </w:r>
      <w:r w:rsidRPr="0045124B">
        <w:rPr>
          <w:rFonts w:ascii="Palatino Linotype" w:hAnsi="Palatino Linotype" w:cs="Times New Roman"/>
          <w:sz w:val="18"/>
          <w:szCs w:val="18"/>
        </w:rPr>
        <w:t>Alianza Editorial, Madrid, 2001, pág. 125.</w:t>
      </w:r>
    </w:p>
  </w:footnote>
  <w:footnote w:id="118">
    <w:p w14:paraId="0C18BE98"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De Otto. </w:t>
      </w:r>
      <w:r w:rsidRPr="0045124B">
        <w:rPr>
          <w:rFonts w:ascii="Palatino Linotype" w:hAnsi="Palatino Linotype" w:cs="Times New Roman"/>
          <w:i/>
          <w:sz w:val="18"/>
          <w:szCs w:val="18"/>
        </w:rPr>
        <w:t xml:space="preserve">Sistema de fuentes. </w:t>
      </w:r>
      <w:r w:rsidRPr="0045124B">
        <w:rPr>
          <w:rFonts w:ascii="Palatino Linotype" w:hAnsi="Palatino Linotype" w:cs="Times New Roman"/>
          <w:sz w:val="18"/>
          <w:szCs w:val="18"/>
        </w:rPr>
        <w:t>Ariel, Barcelona, 1993, pág. 293.</w:t>
      </w:r>
    </w:p>
  </w:footnote>
  <w:footnote w:id="119">
    <w:p w14:paraId="2C54947A"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cs="Times New Roman"/>
          <w:sz w:val="18"/>
          <w:szCs w:val="18"/>
        </w:rPr>
        <w:t xml:space="preserve">Hualde López, Hibon. </w:t>
      </w:r>
      <w:r w:rsidRPr="0045124B">
        <w:rPr>
          <w:rFonts w:ascii="Palatino Linotype" w:hAnsi="Palatino Linotype" w:cs="Times New Roman"/>
          <w:i/>
          <w:sz w:val="18"/>
          <w:szCs w:val="18"/>
        </w:rPr>
        <w:t xml:space="preserve">Algunas consideraciones sobre el Tribunal y el recurso de casación francés. </w:t>
      </w:r>
      <w:r w:rsidRPr="0045124B">
        <w:rPr>
          <w:rFonts w:ascii="Palatino Linotype" w:hAnsi="Palatino Linotype" w:cs="Times New Roman"/>
          <w:sz w:val="18"/>
          <w:szCs w:val="18"/>
        </w:rPr>
        <w:t>Cuadernos de Derecho Transnacional (marzo 2017), Vol. 9, Nº 1, pp. 161-214.</w:t>
      </w:r>
    </w:p>
  </w:footnote>
  <w:footnote w:id="120">
    <w:p w14:paraId="43D0DC32"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Cfr: Patricio, Javier y Fernández Barreiro, A. </w:t>
      </w:r>
      <w:r w:rsidRPr="0045124B">
        <w:rPr>
          <w:rFonts w:ascii="Palatino Linotype" w:hAnsi="Palatino Linotype" w:cs="Times New Roman"/>
          <w:i/>
          <w:sz w:val="18"/>
          <w:szCs w:val="18"/>
        </w:rPr>
        <w:t xml:space="preserve">Historia del derecho romano y su recepción europea. </w:t>
      </w:r>
      <w:r w:rsidRPr="0045124B">
        <w:rPr>
          <w:rFonts w:ascii="Palatino Linotype" w:hAnsi="Palatino Linotype" w:cs="Times New Roman"/>
          <w:sz w:val="18"/>
          <w:szCs w:val="18"/>
        </w:rPr>
        <w:t>Marcial Pons, Madrid, 2010, págs. 108-110.</w:t>
      </w:r>
    </w:p>
  </w:footnote>
  <w:footnote w:id="121">
    <w:p w14:paraId="3E9C35C4"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Sobre la evolución del recurso de casación como instrumento y figura jurídica consúltese: Artavia Barrantes, Sergio. Op. cit., págs. 19-70.</w:t>
      </w:r>
    </w:p>
  </w:footnote>
  <w:footnote w:id="122">
    <w:p w14:paraId="09C7849C"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Calamandrei. Op. cit., pág. 92 y ss.</w:t>
      </w:r>
    </w:p>
  </w:footnote>
  <w:footnote w:id="123">
    <w:p w14:paraId="4637176F" w14:textId="77777777" w:rsidR="00E87246" w:rsidRPr="0045124B" w:rsidRDefault="00E87246" w:rsidP="0045124B">
      <w:pPr>
        <w:pStyle w:val="Textonotapie"/>
        <w:jc w:val="both"/>
        <w:rPr>
          <w:rFonts w:ascii="Palatino Linotype" w:hAnsi="Palatino Linotype" w:cs="Times New Roman"/>
          <w:sz w:val="18"/>
          <w:szCs w:val="18"/>
          <w:lang w:val="it-IT"/>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Ibid. págs. </w:t>
      </w:r>
      <w:r w:rsidRPr="0045124B">
        <w:rPr>
          <w:rFonts w:ascii="Palatino Linotype" w:hAnsi="Palatino Linotype" w:cs="Times New Roman"/>
          <w:sz w:val="18"/>
          <w:szCs w:val="18"/>
          <w:lang w:val="it-IT"/>
        </w:rPr>
        <w:t>117-119.</w:t>
      </w:r>
    </w:p>
  </w:footnote>
  <w:footnote w:id="124">
    <w:p w14:paraId="4A8AD118" w14:textId="77777777" w:rsidR="00E87246" w:rsidRPr="0045124B" w:rsidRDefault="00E87246" w:rsidP="0045124B">
      <w:pPr>
        <w:pStyle w:val="Textonotapie"/>
        <w:jc w:val="both"/>
        <w:rPr>
          <w:rFonts w:ascii="Palatino Linotype" w:hAnsi="Palatino Linotype" w:cs="Times New Roman"/>
          <w:sz w:val="18"/>
          <w:szCs w:val="18"/>
          <w:lang w:val="en-U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lang w:val="it-IT"/>
        </w:rPr>
        <w:t xml:space="preserve"> Taruffo, Michele. Op. cit. </w:t>
      </w:r>
      <w:r w:rsidRPr="0045124B">
        <w:rPr>
          <w:rFonts w:ascii="Palatino Linotype" w:hAnsi="Palatino Linotype" w:cs="Times New Roman"/>
          <w:i/>
          <w:sz w:val="18"/>
          <w:szCs w:val="18"/>
          <w:lang w:val="it-IT"/>
        </w:rPr>
        <w:t xml:space="preserve">El vértice ambiguo. </w:t>
      </w:r>
      <w:r w:rsidRPr="0045124B">
        <w:rPr>
          <w:rFonts w:ascii="Palatino Linotype" w:hAnsi="Palatino Linotype" w:cs="Times New Roman"/>
          <w:i/>
          <w:sz w:val="18"/>
          <w:szCs w:val="18"/>
        </w:rPr>
        <w:t xml:space="preserve">Ensayos sobre la Casación civil. </w:t>
      </w:r>
      <w:r w:rsidRPr="0045124B">
        <w:rPr>
          <w:rFonts w:ascii="Palatino Linotype" w:hAnsi="Palatino Linotype" w:cs="Times New Roman"/>
          <w:sz w:val="18"/>
          <w:szCs w:val="18"/>
        </w:rPr>
        <w:t xml:space="preserve">págs. </w:t>
      </w:r>
      <w:r w:rsidRPr="0045124B">
        <w:rPr>
          <w:rFonts w:ascii="Palatino Linotype" w:hAnsi="Palatino Linotype" w:cs="Times New Roman"/>
          <w:sz w:val="18"/>
          <w:szCs w:val="18"/>
          <w:lang w:val="en-US"/>
        </w:rPr>
        <w:t>222-224.</w:t>
      </w:r>
    </w:p>
  </w:footnote>
  <w:footnote w:id="125">
    <w:p w14:paraId="4A846268" w14:textId="77777777" w:rsidR="00E87246" w:rsidRPr="0045124B" w:rsidRDefault="00E87246" w:rsidP="0045124B">
      <w:pPr>
        <w:pStyle w:val="Textonotapie"/>
        <w:jc w:val="both"/>
        <w:rPr>
          <w:rFonts w:ascii="Palatino Linotype" w:hAnsi="Palatino Linotype" w:cs="Times New Roman"/>
          <w:sz w:val="18"/>
          <w:szCs w:val="18"/>
          <w:lang w:val="en-U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lang w:val="en-US"/>
        </w:rPr>
        <w:t xml:space="preserve"> Black's Law Dictionary, West, St. Paul, Minn., 1990, sexta edición, s. v. "stare decisis".  </w:t>
      </w:r>
    </w:p>
  </w:footnote>
  <w:footnote w:id="126">
    <w:p w14:paraId="53BFFDB5"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sz w:val="18"/>
          <w:szCs w:val="18"/>
        </w:rPr>
        <w:t xml:space="preserve"> </w:t>
      </w:r>
      <w:r w:rsidRPr="0045124B">
        <w:rPr>
          <w:rFonts w:ascii="Palatino Linotype" w:hAnsi="Palatino Linotype" w:cs="Times New Roman"/>
          <w:sz w:val="18"/>
          <w:szCs w:val="18"/>
        </w:rPr>
        <w:t xml:space="preserve">Se sigue, para la descripción de los tres modelos a Taruffo, Michele. </w:t>
      </w:r>
      <w:r w:rsidRPr="0045124B">
        <w:rPr>
          <w:rFonts w:ascii="Palatino Linotype" w:hAnsi="Palatino Linotype" w:cs="Times New Roman"/>
          <w:i/>
          <w:sz w:val="18"/>
          <w:szCs w:val="18"/>
        </w:rPr>
        <w:t>Las funciones de las Cortes Supremas</w:t>
      </w:r>
      <w:r w:rsidRPr="0045124B">
        <w:rPr>
          <w:rFonts w:ascii="Palatino Linotype" w:hAnsi="Palatino Linotype" w:cs="Times New Roman"/>
          <w:sz w:val="18"/>
          <w:szCs w:val="18"/>
        </w:rPr>
        <w:t>. Libro de ponencias generales, relatos generales y trabajos seleccionados - XXIV Congreso Nacional de Derecho Procesal</w:t>
      </w:r>
      <w:r w:rsidRPr="0045124B">
        <w:rPr>
          <w:rFonts w:ascii="Palatino Linotype" w:hAnsi="Palatino Linotype"/>
          <w:sz w:val="18"/>
          <w:szCs w:val="18"/>
        </w:rPr>
        <w:t xml:space="preserve"> (</w:t>
      </w:r>
      <w:r w:rsidRPr="0045124B">
        <w:rPr>
          <w:rFonts w:ascii="Palatino Linotype" w:hAnsi="Palatino Linotype" w:cs="Times New Roman"/>
          <w:sz w:val="18"/>
          <w:szCs w:val="18"/>
        </w:rPr>
        <w:t>Traducción a cargo de Eduardo Oteiza y Francisco Verbic). Revista de Derecho Procesal Rubinzal Culzoni 2008-II, págs. 1-4.</w:t>
      </w:r>
    </w:p>
  </w:footnote>
  <w:footnote w:id="127">
    <w:p w14:paraId="0774DF00"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Ibid. págs. 4-5.</w:t>
      </w:r>
    </w:p>
  </w:footnote>
  <w:footnote w:id="128">
    <w:p w14:paraId="299BB91A"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Cfr: Hualde López, Hibon, Op. cit. </w:t>
      </w:r>
    </w:p>
  </w:footnote>
  <w:footnote w:id="129">
    <w:p w14:paraId="5618D377"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Ibid.</w:t>
      </w:r>
      <w:r w:rsidRPr="0045124B">
        <w:rPr>
          <w:rFonts w:ascii="Palatino Linotype" w:hAnsi="Palatino Linotype" w:cs="Times New Roman"/>
          <w:sz w:val="18"/>
          <w:szCs w:val="18"/>
          <w:lang w:val="es-ES"/>
        </w:rPr>
        <w:t>, págs. 6-8.</w:t>
      </w:r>
    </w:p>
  </w:footnote>
  <w:footnote w:id="130">
    <w:p w14:paraId="11755ED7"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También se prevé la posibilidad de que el legislador estatal ordene la revisabilidad en casación federal de normas de su propio ordenamiento.</w:t>
      </w:r>
    </w:p>
  </w:footnote>
  <w:footnote w:id="131">
    <w:p w14:paraId="5EC41314"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Bacigalupo, Mariano. </w:t>
      </w:r>
      <w:r w:rsidRPr="0045124B">
        <w:rPr>
          <w:rFonts w:ascii="Palatino Linotype" w:hAnsi="Palatino Linotype" w:cs="Times New Roman"/>
          <w:i/>
          <w:sz w:val="18"/>
          <w:szCs w:val="18"/>
        </w:rPr>
        <w:t>Casación y Estado Compuesto: El Derecho Sustantivo Revisable en Casación Contencioso-administrativa en el Estado Federal Alemán y en el Estado Autonómico Español</w:t>
      </w:r>
      <w:r w:rsidRPr="0045124B">
        <w:rPr>
          <w:rFonts w:ascii="Palatino Linotype" w:hAnsi="Palatino Linotype" w:cs="Times New Roman"/>
          <w:sz w:val="18"/>
          <w:szCs w:val="18"/>
        </w:rPr>
        <w:t>. Boletín de la Facultad de Derecho UNED, núms. 8-9,1995, págs. 301 y 303.</w:t>
      </w:r>
    </w:p>
  </w:footnote>
  <w:footnote w:id="132">
    <w:p w14:paraId="231CD037"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Para un análisis extenso del nuevo recurso de casación contencioso en España véase: Núñez Jiménez, José Manuel y Pérez García, Manuel Luis. </w:t>
      </w:r>
      <w:r w:rsidRPr="0045124B">
        <w:rPr>
          <w:rFonts w:ascii="Palatino Linotype" w:hAnsi="Palatino Linotype" w:cs="Times New Roman"/>
          <w:i/>
          <w:sz w:val="18"/>
          <w:szCs w:val="18"/>
        </w:rPr>
        <w:t>Estudio sobre el recurso de casación contencioso-administrativo.</w:t>
      </w:r>
      <w:r w:rsidRPr="0045124B">
        <w:rPr>
          <w:rFonts w:ascii="Palatino Linotype" w:hAnsi="Palatino Linotype" w:cs="Times New Roman"/>
          <w:sz w:val="18"/>
          <w:szCs w:val="18"/>
        </w:rPr>
        <w:t xml:space="preserve"> Madrid, Ministerio de Justicia, 2017. </w:t>
      </w:r>
    </w:p>
  </w:footnote>
  <w:footnote w:id="133">
    <w:p w14:paraId="236CA1AD"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Córdoba Castroverde, Diego. </w:t>
      </w:r>
      <w:r w:rsidRPr="0045124B">
        <w:rPr>
          <w:rFonts w:ascii="Palatino Linotype" w:hAnsi="Palatino Linotype" w:cs="Times New Roman"/>
          <w:i/>
          <w:sz w:val="18"/>
          <w:szCs w:val="18"/>
        </w:rPr>
        <w:t>El nuevo recurso de casación contencioso-administrativo.</w:t>
      </w:r>
      <w:r w:rsidRPr="0045124B">
        <w:rPr>
          <w:rFonts w:ascii="Palatino Linotype" w:hAnsi="Palatino Linotype" w:cs="Times New Roman"/>
          <w:sz w:val="18"/>
          <w:szCs w:val="18"/>
        </w:rPr>
        <w:t xml:space="preserve"> 29 de octubre de 2015. Recuperado de https://elderecho.com/el-nuevo-recurso-de-casacion-contencioso-administrativo.</w:t>
      </w:r>
    </w:p>
  </w:footnote>
  <w:footnote w:id="134">
    <w:p w14:paraId="19833F91"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Retana Sandí, Gonzalo. </w:t>
      </w:r>
      <w:r w:rsidRPr="0045124B">
        <w:rPr>
          <w:rFonts w:ascii="Palatino Linotype" w:hAnsi="Palatino Linotype" w:cs="Times New Roman"/>
          <w:i/>
          <w:sz w:val="18"/>
          <w:szCs w:val="18"/>
        </w:rPr>
        <w:t xml:space="preserve">La Jurisdicción Contencioso-Administrativa en Costa Rica y su reforma. </w:t>
      </w:r>
      <w:r w:rsidRPr="0045124B">
        <w:rPr>
          <w:rFonts w:ascii="Palatino Linotype" w:hAnsi="Palatino Linotype" w:cs="Times New Roman"/>
          <w:sz w:val="18"/>
          <w:szCs w:val="18"/>
        </w:rPr>
        <w:t xml:space="preserve">En </w:t>
      </w:r>
      <w:r w:rsidRPr="0045124B">
        <w:rPr>
          <w:rFonts w:ascii="Palatino Linotype" w:hAnsi="Palatino Linotype" w:cs="Times New Roman"/>
          <w:i/>
          <w:sz w:val="18"/>
          <w:szCs w:val="18"/>
        </w:rPr>
        <w:t xml:space="preserve">Revista del Colegio de Abogados, </w:t>
      </w:r>
      <w:r w:rsidRPr="0045124B">
        <w:rPr>
          <w:rFonts w:ascii="Palatino Linotype" w:hAnsi="Palatino Linotype" w:cs="Times New Roman"/>
          <w:sz w:val="18"/>
          <w:szCs w:val="18"/>
        </w:rPr>
        <w:t>Tomo XXI, Número 12, Julio 1966, San José, Costa Rica, pág. 214.</w:t>
      </w:r>
    </w:p>
  </w:footnote>
  <w:footnote w:id="135">
    <w:p w14:paraId="5B2A6FB9"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González Ballar, Rafael y Hines Céspedes, César. </w:t>
      </w:r>
      <w:r w:rsidRPr="0045124B">
        <w:rPr>
          <w:rFonts w:ascii="Palatino Linotype" w:hAnsi="Palatino Linotype" w:cs="Times New Roman"/>
          <w:i/>
          <w:sz w:val="18"/>
          <w:szCs w:val="18"/>
        </w:rPr>
        <w:t xml:space="preserve">Reflexiones para el Recurso de Casación en el proceso contencioso administrativo. </w:t>
      </w:r>
      <w:r w:rsidRPr="0045124B">
        <w:rPr>
          <w:rFonts w:ascii="Palatino Linotype" w:hAnsi="Palatino Linotype" w:cs="Times New Roman"/>
          <w:sz w:val="18"/>
          <w:szCs w:val="18"/>
        </w:rPr>
        <w:t xml:space="preserve">San José, Costa Rica, Instituto de Investigaciones Jurídicas, 2006, págs. 146-175. </w:t>
      </w:r>
    </w:p>
  </w:footnote>
  <w:footnote w:id="136">
    <w:p w14:paraId="060CE214" w14:textId="77777777" w:rsidR="00E87246" w:rsidRPr="0045124B" w:rsidRDefault="00E87246" w:rsidP="0045124B">
      <w:pPr>
        <w:pStyle w:val="Default"/>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Como explica Volio González, Marcelo. </w:t>
      </w:r>
      <w:r w:rsidRPr="0045124B">
        <w:rPr>
          <w:rFonts w:ascii="Palatino Linotype" w:hAnsi="Palatino Linotype" w:cs="Times New Roman"/>
          <w:i/>
          <w:sz w:val="18"/>
          <w:szCs w:val="18"/>
        </w:rPr>
        <w:t xml:space="preserve">Técnica del nuevo recurso de casación en materia civil. </w:t>
      </w:r>
      <w:r w:rsidRPr="0045124B">
        <w:rPr>
          <w:rFonts w:ascii="Palatino Linotype" w:hAnsi="Palatino Linotype" w:cs="Times New Roman"/>
          <w:sz w:val="18"/>
          <w:szCs w:val="18"/>
        </w:rPr>
        <w:t>Revista El Foro, Colegio de Abogados y Abogadas de Costa Rica, febrero de 2019, N°18, págs. 110-129: “En nuestro país, desde el Código de Carrillo de 1842 los recursos extraordinarios, el de casación por antonomasia, han estado provistos requerimientos formales y técnicos cuya inobservancia ha traído aparejado su rechazo, muchas veces de plano. El rechazo de plano por incumplirse la técnica correspondiente ha envuelto a estos recursos en una especie de aura mística, que ha hecho que se conciban como una labor excepcional al proceso y que muchos abogados prefieran no aventurarse en sus territorios.”</w:t>
      </w:r>
    </w:p>
  </w:footnote>
  <w:footnote w:id="137">
    <w:p w14:paraId="3749D2E3" w14:textId="77777777" w:rsidR="00E87246" w:rsidRPr="0045124B" w:rsidRDefault="00E87246" w:rsidP="0045124B">
      <w:pPr>
        <w:pStyle w:val="Textonotapie"/>
        <w:jc w:val="both"/>
        <w:rPr>
          <w:rFonts w:ascii="Palatino Linotype" w:hAnsi="Palatino Linotype" w:cs="Times New Roman"/>
          <w:i/>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Masís Alvarado, Maureen y Avilés García, Henry Mauricio. Op. cit., pág. 165.</w:t>
      </w:r>
    </w:p>
  </w:footnote>
  <w:footnote w:id="138">
    <w:p w14:paraId="262C1C18"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Style w:val="Refdenotaalpie"/>
          <w:rFonts w:ascii="Palatino Linotype" w:hAnsi="Palatino Linotype" w:cs="Times New Roman"/>
          <w:sz w:val="18"/>
          <w:szCs w:val="18"/>
        </w:rPr>
        <w:footnoteRef/>
      </w:r>
      <w:r w:rsidRPr="0045124B">
        <w:rPr>
          <w:rFonts w:ascii="Palatino Linotype" w:eastAsiaTheme="minorEastAsia" w:hAnsi="Palatino Linotype" w:cs="Times New Roman"/>
          <w:snapToGrid w:val="0"/>
          <w:sz w:val="18"/>
          <w:szCs w:val="18"/>
        </w:rPr>
        <w:t xml:space="preserve"> Jefe de redacción de la revista “L`Actualité Juridique. Droit Administratif.” Editorial del número 2 de 20 de febrero de 1988.</w:t>
      </w:r>
    </w:p>
  </w:footnote>
  <w:footnote w:id="139">
    <w:p w14:paraId="053E7F18" w14:textId="77777777" w:rsidR="00E87246" w:rsidRPr="0045124B" w:rsidRDefault="00E87246" w:rsidP="0045124B">
      <w:pPr>
        <w:tabs>
          <w:tab w:val="left" w:pos="0"/>
          <w:tab w:val="left" w:pos="567"/>
          <w:tab w:val="left" w:pos="1134"/>
          <w:tab w:val="left" w:pos="1701"/>
          <w:tab w:val="left" w:pos="6726"/>
        </w:tabs>
        <w:autoSpaceDE w:val="0"/>
        <w:autoSpaceDN w:val="0"/>
        <w:adjustRightInd w:val="0"/>
        <w:spacing w:after="0" w:line="240" w:lineRule="auto"/>
        <w:jc w:val="both"/>
        <w:rPr>
          <w:rFonts w:ascii="Palatino Linotype" w:eastAsiaTheme="minorEastAsia" w:hAnsi="Palatino Linotype" w:cs="Times New Roman"/>
          <w:snapToGrid w:val="0"/>
          <w:sz w:val="18"/>
          <w:szCs w:val="18"/>
        </w:rPr>
      </w:pPr>
      <w:r w:rsidRPr="0045124B">
        <w:rPr>
          <w:rStyle w:val="Refdenotaalpie"/>
          <w:rFonts w:ascii="Palatino Linotype" w:hAnsi="Palatino Linotype" w:cs="Times New Roman"/>
          <w:sz w:val="18"/>
          <w:szCs w:val="18"/>
        </w:rPr>
        <w:footnoteRef/>
      </w:r>
      <w:r w:rsidRPr="0045124B">
        <w:rPr>
          <w:rStyle w:val="Refdenotaalpie"/>
          <w:rFonts w:ascii="Palatino Linotype" w:hAnsi="Palatino Linotype" w:cs="Times New Roman"/>
          <w:sz w:val="18"/>
          <w:szCs w:val="18"/>
        </w:rPr>
        <w:t xml:space="preserve"> </w:t>
      </w:r>
      <w:r w:rsidRPr="0045124B">
        <w:rPr>
          <w:rFonts w:ascii="Palatino Linotype" w:eastAsiaTheme="minorEastAsia" w:hAnsi="Palatino Linotype" w:cs="Times New Roman"/>
          <w:snapToGrid w:val="0"/>
          <w:sz w:val="18"/>
          <w:szCs w:val="18"/>
        </w:rPr>
        <w:t xml:space="preserve">García De Enterría, Eduardo. </w:t>
      </w:r>
      <w:r w:rsidRPr="0045124B">
        <w:rPr>
          <w:rFonts w:ascii="Palatino Linotype" w:eastAsiaTheme="minorEastAsia" w:hAnsi="Palatino Linotype" w:cs="Times New Roman"/>
          <w:i/>
          <w:snapToGrid w:val="0"/>
          <w:sz w:val="18"/>
          <w:szCs w:val="18"/>
        </w:rPr>
        <w:t>Hacia Una Nueva Justicia Administrativa.</w:t>
      </w:r>
      <w:r w:rsidRPr="0045124B">
        <w:rPr>
          <w:rFonts w:ascii="Palatino Linotype" w:eastAsiaTheme="minorEastAsia" w:hAnsi="Palatino Linotype" w:cs="Times New Roman"/>
          <w:snapToGrid w:val="0"/>
          <w:sz w:val="18"/>
          <w:szCs w:val="18"/>
        </w:rPr>
        <w:t xml:space="preserve"> Segunda Edición Ampliada. Editorial Civitas, S.A. 1992. Nos dice el autor: “En un libro que ha pasado a ser un clásico en la epistemología de las ciencias, el físico americano Thomas S. KUHN ha establecido cuál es la estructura de las revoluciones científicas. Todas las ciencias reposan sobre un «paradigma» o un conjunto de ellos, que juegan el papel de una ley básica que va siendo constantemente ajustada y precisada. En el cultivo común de esos paradigmas centrales se alimenta lo que es una verdadera «comunidad científica», sin la cual no hay ciencia y que en su seno dialoga, polemiza, se critica, pero siempre desde la perspectiva de esos paradigmas básicos que en conjunto hace avanzar en su despliegue, constantemente ajustado. Esos paradigmas dan respuesta aparentemente duradera a un grupo de problemas mayores, sin perjuicio de que en la interpretación del paradigma o en su racionalización completa los científicos puedan discrepar. Estos paradigmas, que no pueden reducirse a una interpretación unívoca, pero que presiden todas las que se ofrecen, dirigen el desarrollo acumulativo de una ciencia. Los «descubrimientos científicos», que constituyen el camino de ese desarrollo normal, se suceden dentro de ese cuadro. El progreso de una ciencia continúa de esa forma hasta que la invención de nuevas teorías, con objeto de explicar nuevos hechos o nuevas experiencias, implican ya un cambio de paradigma, el abandono radical de los viejos supuestos y la introducción correlativa de nuevos paradigmas que desplazan a los antiguos. Cuando esto ocurre, se ha producido una «revolución científica».”</w:t>
      </w:r>
    </w:p>
  </w:footnote>
  <w:footnote w:id="140">
    <w:p w14:paraId="499E5BF0"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vertAlign w:val="superscript"/>
        </w:rPr>
        <w:footnoteRef/>
      </w:r>
      <w:r w:rsidRPr="0045124B">
        <w:rPr>
          <w:rFonts w:ascii="Palatino Linotype" w:eastAsiaTheme="minorEastAsia" w:hAnsi="Palatino Linotype" w:cs="Times New Roman"/>
          <w:snapToGrid w:val="0"/>
          <w:sz w:val="18"/>
          <w:szCs w:val="18"/>
          <w:vertAlign w:val="superscript"/>
        </w:rPr>
        <w:t xml:space="preserve"> </w:t>
      </w:r>
      <w:r w:rsidRPr="0045124B">
        <w:rPr>
          <w:rFonts w:ascii="Palatino Linotype" w:eastAsiaTheme="minorEastAsia" w:hAnsi="Palatino Linotype" w:cs="Times New Roman"/>
          <w:snapToGrid w:val="0"/>
          <w:sz w:val="18"/>
          <w:szCs w:val="18"/>
        </w:rPr>
        <w:t xml:space="preserve">Muñoz Machado, Santiago. </w:t>
      </w:r>
      <w:r w:rsidRPr="0045124B">
        <w:rPr>
          <w:rFonts w:ascii="Palatino Linotype" w:eastAsiaTheme="minorEastAsia" w:hAnsi="Palatino Linotype" w:cs="Times New Roman"/>
          <w:i/>
          <w:snapToGrid w:val="0"/>
          <w:sz w:val="18"/>
          <w:szCs w:val="18"/>
        </w:rPr>
        <w:t>Los Poderes de Oficio del Juez Administrativo</w:t>
      </w:r>
      <w:r w:rsidRPr="0045124B">
        <w:rPr>
          <w:rFonts w:ascii="Palatino Linotype" w:eastAsiaTheme="minorEastAsia" w:hAnsi="Palatino Linotype" w:cs="Times New Roman"/>
          <w:snapToGrid w:val="0"/>
          <w:sz w:val="18"/>
          <w:szCs w:val="18"/>
        </w:rPr>
        <w:t xml:space="preserve">. Discurso de incorporación a la Academia Nacional de Derecho y Ciencias Sociales de Buenos Aires. Anales, Segunda Época, Año LVII - Número 50, 2012. </w:t>
      </w:r>
    </w:p>
  </w:footnote>
  <w:footnote w:id="141">
    <w:p w14:paraId="5B39E412"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vertAlign w:val="superscript"/>
        </w:rPr>
        <w:footnoteRef/>
      </w:r>
      <w:r w:rsidRPr="0045124B">
        <w:rPr>
          <w:rFonts w:ascii="Palatino Linotype" w:eastAsiaTheme="minorEastAsia" w:hAnsi="Palatino Linotype" w:cs="Times New Roman"/>
          <w:snapToGrid w:val="0"/>
          <w:sz w:val="18"/>
          <w:szCs w:val="18"/>
          <w:vertAlign w:val="superscript"/>
        </w:rPr>
        <w:t xml:space="preserve"> </w:t>
      </w:r>
      <w:r w:rsidRPr="0045124B">
        <w:rPr>
          <w:rFonts w:ascii="Palatino Linotype" w:eastAsiaTheme="minorEastAsia" w:hAnsi="Palatino Linotype" w:cs="Times New Roman"/>
          <w:snapToGrid w:val="0"/>
          <w:sz w:val="18"/>
          <w:szCs w:val="18"/>
        </w:rPr>
        <w:t xml:space="preserve">Laferrière, Édouard. </w:t>
      </w:r>
      <w:r w:rsidRPr="0045124B">
        <w:rPr>
          <w:rFonts w:ascii="Palatino Linotype" w:eastAsiaTheme="minorEastAsia" w:hAnsi="Palatino Linotype" w:cs="Times New Roman"/>
          <w:i/>
          <w:snapToGrid w:val="0"/>
          <w:sz w:val="18"/>
          <w:szCs w:val="18"/>
        </w:rPr>
        <w:t>Traité de la juridiction administrative et des recours contentieux.</w:t>
      </w:r>
      <w:r w:rsidRPr="0045124B">
        <w:rPr>
          <w:rFonts w:ascii="Palatino Linotype" w:eastAsiaTheme="minorEastAsia" w:hAnsi="Palatino Linotype" w:cs="Times New Roman"/>
          <w:snapToGrid w:val="0"/>
          <w:sz w:val="18"/>
          <w:szCs w:val="18"/>
        </w:rPr>
        <w:t xml:space="preserve"> II vols. Librairie générale de droit et de jurisprudence, Paris, 1989. </w:t>
      </w:r>
    </w:p>
  </w:footnote>
  <w:footnote w:id="142">
    <w:p w14:paraId="56EF773B"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vertAlign w:val="superscript"/>
        </w:rPr>
        <w:footnoteRef/>
      </w:r>
      <w:r w:rsidRPr="0045124B">
        <w:rPr>
          <w:rFonts w:ascii="Palatino Linotype" w:eastAsiaTheme="minorEastAsia" w:hAnsi="Palatino Linotype" w:cs="Times New Roman"/>
          <w:snapToGrid w:val="0"/>
          <w:sz w:val="18"/>
          <w:szCs w:val="18"/>
        </w:rPr>
        <w:t xml:space="preserve"> Moderne, Frank. </w:t>
      </w:r>
      <w:r w:rsidRPr="0045124B">
        <w:rPr>
          <w:rFonts w:ascii="Palatino Linotype" w:eastAsiaTheme="minorEastAsia" w:hAnsi="Palatino Linotype" w:cs="Times New Roman"/>
          <w:i/>
          <w:snapToGrid w:val="0"/>
          <w:sz w:val="18"/>
          <w:szCs w:val="18"/>
        </w:rPr>
        <w:t>La justicia administrativa en Francia (II). Proceso, técnicas de control, ejecución de sentencias</w:t>
      </w:r>
      <w:r w:rsidRPr="0045124B">
        <w:rPr>
          <w:rFonts w:ascii="Palatino Linotype" w:eastAsiaTheme="minorEastAsia" w:hAnsi="Palatino Linotype" w:cs="Times New Roman"/>
          <w:snapToGrid w:val="0"/>
          <w:sz w:val="18"/>
          <w:szCs w:val="18"/>
        </w:rPr>
        <w:t xml:space="preserve">. En: Barnes Vásquez, Javier (Coordinador). </w:t>
      </w:r>
      <w:r w:rsidRPr="0045124B">
        <w:rPr>
          <w:rFonts w:ascii="Palatino Linotype" w:eastAsiaTheme="minorEastAsia" w:hAnsi="Palatino Linotype" w:cs="Times New Roman"/>
          <w:i/>
          <w:snapToGrid w:val="0"/>
          <w:sz w:val="18"/>
          <w:szCs w:val="18"/>
        </w:rPr>
        <w:t>La justicia administrativa en el Derecho Comparado.</w:t>
      </w:r>
      <w:r w:rsidRPr="0045124B">
        <w:rPr>
          <w:rFonts w:ascii="Palatino Linotype" w:eastAsiaTheme="minorEastAsia" w:hAnsi="Palatino Linotype" w:cs="Times New Roman"/>
          <w:snapToGrid w:val="0"/>
          <w:sz w:val="18"/>
          <w:szCs w:val="18"/>
        </w:rPr>
        <w:t xml:space="preserve"> Editorial Civitas, Madrid, 1993.  </w:t>
      </w:r>
    </w:p>
  </w:footnote>
  <w:footnote w:id="143">
    <w:p w14:paraId="3BBDF377"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vertAlign w:val="superscript"/>
        </w:rPr>
        <w:footnoteRef/>
      </w:r>
      <w:r w:rsidRPr="0045124B">
        <w:rPr>
          <w:rFonts w:ascii="Palatino Linotype" w:eastAsiaTheme="minorEastAsia" w:hAnsi="Palatino Linotype" w:cs="Times New Roman"/>
          <w:snapToGrid w:val="0"/>
          <w:sz w:val="18"/>
          <w:szCs w:val="18"/>
          <w:vertAlign w:val="superscript"/>
        </w:rPr>
        <w:t xml:space="preserve"> </w:t>
      </w:r>
      <w:r w:rsidRPr="0045124B">
        <w:rPr>
          <w:rFonts w:ascii="Palatino Linotype" w:eastAsiaTheme="minorEastAsia" w:hAnsi="Palatino Linotype" w:cs="Times New Roman"/>
          <w:snapToGrid w:val="0"/>
          <w:sz w:val="18"/>
          <w:szCs w:val="18"/>
        </w:rPr>
        <w:t xml:space="preserve">Véase de Rivero, Jean: </w:t>
      </w:r>
      <w:r w:rsidRPr="0045124B">
        <w:rPr>
          <w:rFonts w:ascii="Palatino Linotype" w:eastAsiaTheme="minorEastAsia" w:hAnsi="Palatino Linotype" w:cs="Times New Roman"/>
          <w:i/>
          <w:snapToGrid w:val="0"/>
          <w:sz w:val="18"/>
          <w:szCs w:val="18"/>
        </w:rPr>
        <w:t>El hurón en el palacio real o reflexiones ingenuas sobre el recurso de exceso de poder; El juez administrativo: ¿guardián de la legalidad administrativa o guardián administrativo de la legalidad?</w:t>
      </w:r>
      <w:r w:rsidRPr="0045124B">
        <w:rPr>
          <w:rFonts w:ascii="Palatino Linotype" w:eastAsiaTheme="minorEastAsia" w:hAnsi="Palatino Linotype" w:cs="Times New Roman"/>
          <w:snapToGrid w:val="0"/>
          <w:sz w:val="18"/>
          <w:szCs w:val="18"/>
        </w:rPr>
        <w:t xml:space="preserve">; así como también </w:t>
      </w:r>
      <w:r w:rsidRPr="0045124B">
        <w:rPr>
          <w:rFonts w:ascii="Palatino Linotype" w:eastAsiaTheme="minorEastAsia" w:hAnsi="Palatino Linotype" w:cs="Times New Roman"/>
          <w:i/>
          <w:snapToGrid w:val="0"/>
          <w:sz w:val="18"/>
          <w:szCs w:val="18"/>
        </w:rPr>
        <w:t xml:space="preserve">Nuevos comentarios ingenuos de un hurón sobre el contencioso administrativo. </w:t>
      </w:r>
      <w:r w:rsidRPr="0045124B">
        <w:rPr>
          <w:rFonts w:ascii="Palatino Linotype" w:eastAsiaTheme="minorEastAsia" w:hAnsi="Palatino Linotype" w:cs="Times New Roman"/>
          <w:snapToGrid w:val="0"/>
          <w:sz w:val="18"/>
          <w:szCs w:val="18"/>
        </w:rPr>
        <w:t>Todos los anteriores pueden encontrarse compilados en el libro: Páginas de Derecho Administrativo. Editorial Temis, Universidad del Rosario, Maestría en Derecho Administrativo. Santafé de Bogotá, 2002.</w:t>
      </w:r>
    </w:p>
  </w:footnote>
  <w:footnote w:id="144">
    <w:p w14:paraId="0131FEB1"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vertAlign w:val="superscript"/>
        </w:rPr>
        <w:footnoteRef/>
      </w:r>
      <w:r w:rsidRPr="0045124B">
        <w:rPr>
          <w:rFonts w:ascii="Palatino Linotype" w:eastAsiaTheme="minorEastAsia" w:hAnsi="Palatino Linotype" w:cs="Times New Roman"/>
          <w:snapToGrid w:val="0"/>
          <w:sz w:val="18"/>
          <w:szCs w:val="18"/>
          <w:lang w:val="it-IT"/>
        </w:rPr>
        <w:t xml:space="preserve"> Benvenuti, Feliciano. </w:t>
      </w:r>
      <w:r w:rsidRPr="0045124B">
        <w:rPr>
          <w:rFonts w:ascii="Palatino Linotype" w:eastAsiaTheme="minorEastAsia" w:hAnsi="Palatino Linotype" w:cs="Times New Roman"/>
          <w:i/>
          <w:snapToGrid w:val="0"/>
          <w:sz w:val="18"/>
          <w:szCs w:val="18"/>
          <w:lang w:val="it-IT"/>
        </w:rPr>
        <w:t>Giustizia amministrativa</w:t>
      </w:r>
      <w:r w:rsidRPr="0045124B">
        <w:rPr>
          <w:rFonts w:ascii="Palatino Linotype" w:eastAsiaTheme="minorEastAsia" w:hAnsi="Palatino Linotype" w:cs="Times New Roman"/>
          <w:snapToGrid w:val="0"/>
          <w:sz w:val="18"/>
          <w:szCs w:val="18"/>
          <w:lang w:val="it-IT"/>
        </w:rPr>
        <w:t xml:space="preserve">, en Enciclopedia del Diritto, tomo XIX. </w:t>
      </w:r>
      <w:r w:rsidRPr="0045124B">
        <w:rPr>
          <w:rFonts w:ascii="Palatino Linotype" w:eastAsiaTheme="minorEastAsia" w:hAnsi="Palatino Linotype" w:cs="Times New Roman"/>
          <w:snapToGrid w:val="0"/>
          <w:sz w:val="18"/>
          <w:szCs w:val="18"/>
        </w:rPr>
        <w:t xml:space="preserve">Giuffré Editore, Milán, 1970. </w:t>
      </w:r>
    </w:p>
  </w:footnote>
  <w:footnote w:id="145">
    <w:p w14:paraId="76047356"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vertAlign w:val="superscript"/>
        </w:rPr>
        <w:footnoteRef/>
      </w:r>
      <w:r w:rsidRPr="0045124B">
        <w:rPr>
          <w:rFonts w:ascii="Palatino Linotype" w:eastAsiaTheme="minorEastAsia" w:hAnsi="Palatino Linotype" w:cs="Times New Roman"/>
          <w:snapToGrid w:val="0"/>
          <w:sz w:val="18"/>
          <w:szCs w:val="18"/>
          <w:vertAlign w:val="superscript"/>
        </w:rPr>
        <w:t xml:space="preserve"> </w:t>
      </w:r>
      <w:r w:rsidRPr="0045124B">
        <w:rPr>
          <w:rFonts w:ascii="Palatino Linotype" w:eastAsiaTheme="minorEastAsia" w:hAnsi="Palatino Linotype" w:cs="Times New Roman"/>
          <w:snapToGrid w:val="0"/>
          <w:sz w:val="18"/>
          <w:szCs w:val="18"/>
        </w:rPr>
        <w:t xml:space="preserve">Duguit, Leon. </w:t>
      </w:r>
      <w:r w:rsidRPr="0045124B">
        <w:rPr>
          <w:rFonts w:ascii="Palatino Linotype" w:eastAsiaTheme="minorEastAsia" w:hAnsi="Palatino Linotype" w:cs="Times New Roman"/>
          <w:i/>
          <w:snapToGrid w:val="0"/>
          <w:sz w:val="18"/>
          <w:szCs w:val="18"/>
        </w:rPr>
        <w:t>Las transformaciones del Derecho público y privado</w:t>
      </w:r>
      <w:r w:rsidRPr="0045124B">
        <w:rPr>
          <w:rFonts w:ascii="Palatino Linotype" w:eastAsiaTheme="minorEastAsia" w:hAnsi="Palatino Linotype" w:cs="Times New Roman"/>
          <w:snapToGrid w:val="0"/>
          <w:sz w:val="18"/>
          <w:szCs w:val="18"/>
        </w:rPr>
        <w:t xml:space="preserve">. Editorial Comares, 2008. </w:t>
      </w:r>
    </w:p>
  </w:footnote>
  <w:footnote w:id="146">
    <w:p w14:paraId="23C99C70"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vertAlign w:val="superscript"/>
        </w:rPr>
        <w:footnoteRef/>
      </w:r>
      <w:r w:rsidRPr="0045124B">
        <w:rPr>
          <w:rFonts w:ascii="Palatino Linotype" w:eastAsiaTheme="minorEastAsia" w:hAnsi="Palatino Linotype" w:cs="Times New Roman"/>
          <w:snapToGrid w:val="0"/>
          <w:sz w:val="18"/>
          <w:szCs w:val="18"/>
        </w:rPr>
        <w:t xml:space="preserve"> Waline, Marcel. </w:t>
      </w:r>
      <w:r w:rsidRPr="0045124B">
        <w:rPr>
          <w:rFonts w:ascii="Palatino Linotype" w:eastAsiaTheme="minorEastAsia" w:hAnsi="Palatino Linotype" w:cs="Times New Roman"/>
          <w:i/>
          <w:snapToGrid w:val="0"/>
          <w:sz w:val="18"/>
          <w:szCs w:val="18"/>
        </w:rPr>
        <w:t>Droit administratif.</w:t>
      </w:r>
      <w:r w:rsidRPr="0045124B">
        <w:rPr>
          <w:rFonts w:ascii="Palatino Linotype" w:eastAsiaTheme="minorEastAsia" w:hAnsi="Palatino Linotype" w:cs="Times New Roman"/>
          <w:snapToGrid w:val="0"/>
          <w:sz w:val="18"/>
          <w:szCs w:val="18"/>
        </w:rPr>
        <w:t xml:space="preserve"> Paris, 9ª edición, 1963.</w:t>
      </w:r>
    </w:p>
  </w:footnote>
  <w:footnote w:id="147">
    <w:p w14:paraId="08832CD0"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vertAlign w:val="superscript"/>
        </w:rPr>
        <w:footnoteRef/>
      </w:r>
      <w:r w:rsidRPr="0045124B">
        <w:rPr>
          <w:rFonts w:ascii="Palatino Linotype" w:eastAsiaTheme="minorEastAsia" w:hAnsi="Palatino Linotype" w:cs="Times New Roman"/>
          <w:snapToGrid w:val="0"/>
          <w:sz w:val="18"/>
          <w:szCs w:val="18"/>
        </w:rPr>
        <w:t xml:space="preserve"> Hauriou, Maurice. </w:t>
      </w:r>
      <w:r w:rsidRPr="0045124B">
        <w:rPr>
          <w:rFonts w:ascii="Palatino Linotype" w:eastAsiaTheme="minorEastAsia" w:hAnsi="Palatino Linotype" w:cs="Times New Roman"/>
          <w:i/>
          <w:snapToGrid w:val="0"/>
          <w:sz w:val="18"/>
          <w:szCs w:val="18"/>
        </w:rPr>
        <w:t>Précis de droit administratif et de droit public.</w:t>
      </w:r>
      <w:r w:rsidRPr="0045124B">
        <w:rPr>
          <w:rFonts w:ascii="Palatino Linotype" w:eastAsiaTheme="minorEastAsia" w:hAnsi="Palatino Linotype" w:cs="Times New Roman"/>
          <w:snapToGrid w:val="0"/>
          <w:sz w:val="18"/>
          <w:szCs w:val="18"/>
        </w:rPr>
        <w:t xml:space="preserve"> Librairie de la Société du Recueil, Paris, 1907. </w:t>
      </w:r>
    </w:p>
  </w:footnote>
  <w:footnote w:id="148">
    <w:p w14:paraId="2B5ADCEA"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vertAlign w:val="superscript"/>
        </w:rPr>
        <w:footnoteRef/>
      </w:r>
      <w:r w:rsidRPr="0045124B">
        <w:rPr>
          <w:rFonts w:ascii="Palatino Linotype" w:eastAsiaTheme="minorEastAsia" w:hAnsi="Palatino Linotype" w:cs="Times New Roman"/>
          <w:snapToGrid w:val="0"/>
          <w:sz w:val="18"/>
          <w:szCs w:val="18"/>
        </w:rPr>
        <w:t xml:space="preserve"> Laferrière, op. cit. </w:t>
      </w:r>
    </w:p>
  </w:footnote>
  <w:footnote w:id="149">
    <w:p w14:paraId="57D9BD12"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vertAlign w:val="superscript"/>
        </w:rPr>
        <w:footnoteRef/>
      </w:r>
      <w:r w:rsidRPr="0045124B">
        <w:rPr>
          <w:rFonts w:ascii="Palatino Linotype" w:eastAsiaTheme="minorEastAsia" w:hAnsi="Palatino Linotype" w:cs="Times New Roman"/>
          <w:snapToGrid w:val="0"/>
          <w:sz w:val="18"/>
          <w:szCs w:val="18"/>
        </w:rPr>
        <w:t xml:space="preserve"> Huapaya Tapia, Ramón. </w:t>
      </w:r>
      <w:r w:rsidRPr="0045124B">
        <w:rPr>
          <w:rFonts w:ascii="Palatino Linotype" w:eastAsiaTheme="minorEastAsia" w:hAnsi="Palatino Linotype" w:cs="Times New Roman"/>
          <w:i/>
          <w:snapToGrid w:val="0"/>
          <w:sz w:val="18"/>
          <w:szCs w:val="18"/>
        </w:rPr>
        <w:t>Tratado del Proceso Contencioso Administrativo</w:t>
      </w:r>
      <w:r w:rsidRPr="0045124B">
        <w:rPr>
          <w:rFonts w:ascii="Palatino Linotype" w:eastAsiaTheme="minorEastAsia" w:hAnsi="Palatino Linotype" w:cs="Times New Roman"/>
          <w:snapToGrid w:val="0"/>
          <w:sz w:val="18"/>
          <w:szCs w:val="18"/>
        </w:rPr>
        <w:t>. Jurista Editores, Lima, 2006.</w:t>
      </w:r>
    </w:p>
  </w:footnote>
  <w:footnote w:id="150">
    <w:p w14:paraId="573740FE"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vertAlign w:val="superscript"/>
        </w:rPr>
        <w:footnoteRef/>
      </w:r>
      <w:r w:rsidRPr="0045124B">
        <w:rPr>
          <w:rFonts w:ascii="Palatino Linotype" w:eastAsiaTheme="minorEastAsia" w:hAnsi="Palatino Linotype" w:cs="Times New Roman"/>
          <w:snapToGrid w:val="0"/>
          <w:sz w:val="18"/>
          <w:szCs w:val="18"/>
          <w:vertAlign w:val="superscript"/>
        </w:rPr>
        <w:t xml:space="preserve"> </w:t>
      </w:r>
      <w:r w:rsidRPr="0045124B">
        <w:rPr>
          <w:rFonts w:ascii="Palatino Linotype" w:eastAsiaTheme="minorEastAsia" w:hAnsi="Palatino Linotype" w:cs="Times New Roman"/>
          <w:snapToGrid w:val="0"/>
          <w:sz w:val="18"/>
          <w:szCs w:val="18"/>
        </w:rPr>
        <w:t xml:space="preserve">Bullinger, Martin. Catedrático de la Universidad de Friburgo de Brisgovia, Alemania, en el prólogo a la obra de Santiago González-Varas Ibañez: </w:t>
      </w:r>
      <w:r w:rsidRPr="0045124B">
        <w:rPr>
          <w:rFonts w:ascii="Palatino Linotype" w:eastAsiaTheme="minorEastAsia" w:hAnsi="Palatino Linotype" w:cs="Times New Roman"/>
          <w:i/>
          <w:snapToGrid w:val="0"/>
          <w:sz w:val="18"/>
          <w:szCs w:val="18"/>
        </w:rPr>
        <w:t>La jurisdicción contencioso-administrativa en Alemania.</w:t>
      </w:r>
      <w:r w:rsidRPr="0045124B">
        <w:rPr>
          <w:rFonts w:ascii="Palatino Linotype" w:eastAsiaTheme="minorEastAsia" w:hAnsi="Palatino Linotype" w:cs="Times New Roman"/>
          <w:snapToGrid w:val="0"/>
          <w:sz w:val="18"/>
          <w:szCs w:val="18"/>
        </w:rPr>
        <w:t xml:space="preserve"> Editorial Civitas – Centro de Publicaciones del Ministerio de Justicia, Madrid, 1993. </w:t>
      </w:r>
    </w:p>
  </w:footnote>
  <w:footnote w:id="151">
    <w:p w14:paraId="7DC527DC"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vertAlign w:val="superscript"/>
        </w:rPr>
        <w:footnoteRef/>
      </w:r>
      <w:r w:rsidRPr="0045124B">
        <w:rPr>
          <w:rFonts w:ascii="Palatino Linotype" w:eastAsiaTheme="minorEastAsia" w:hAnsi="Palatino Linotype" w:cs="Times New Roman"/>
          <w:snapToGrid w:val="0"/>
          <w:sz w:val="18"/>
          <w:szCs w:val="18"/>
        </w:rPr>
        <w:t xml:space="preserve"> Las reformas se realizaron conforme con las siguientes leyes:</w:t>
      </w:r>
    </w:p>
    <w:p w14:paraId="0F973017"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rPr>
        <w:t xml:space="preserve"> Ley de 31 de diciembre de 1987: Se introdujeron reformas sobre la organización administrativa de la justicia administrativa, con la creación de los Tribunales Administrativos de Apelación y con la asignación de un rol estrictamente casacional (salvo excepciones) al Consejo de Estado.</w:t>
      </w:r>
    </w:p>
    <w:p w14:paraId="361C9DED" w14:textId="77777777" w:rsidR="00E87246" w:rsidRPr="0045124B" w:rsidRDefault="00E87246" w:rsidP="0045124B">
      <w:pPr>
        <w:pStyle w:val="Textonotapie"/>
        <w:numPr>
          <w:ilvl w:val="0"/>
          <w:numId w:val="2"/>
        </w:numPr>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rPr>
        <w:t xml:space="preserve">Decreto de 2 de setiembre de 1988: Se introduce un novedoso elenco de medidas cautelares positivas u órdenes provisionales: a) </w:t>
      </w:r>
      <w:r w:rsidRPr="0045124B">
        <w:rPr>
          <w:rFonts w:ascii="Palatino Linotype" w:eastAsiaTheme="minorEastAsia" w:hAnsi="Palatino Linotype" w:cs="Times New Roman"/>
          <w:i/>
          <w:snapToGrid w:val="0"/>
          <w:sz w:val="18"/>
          <w:szCs w:val="18"/>
        </w:rPr>
        <w:t>referé expertise</w:t>
      </w:r>
      <w:r w:rsidRPr="0045124B">
        <w:rPr>
          <w:rFonts w:ascii="Palatino Linotype" w:eastAsiaTheme="minorEastAsia" w:hAnsi="Palatino Linotype" w:cs="Times New Roman"/>
          <w:snapToGrid w:val="0"/>
          <w:sz w:val="18"/>
          <w:szCs w:val="18"/>
        </w:rPr>
        <w:t xml:space="preserve">: para acordar cualquier medida útil de estimación pericial, de instrucción, o de comprobación al interior del proceso; b) </w:t>
      </w:r>
      <w:r w:rsidRPr="0045124B">
        <w:rPr>
          <w:rFonts w:ascii="Palatino Linotype" w:eastAsiaTheme="minorEastAsia" w:hAnsi="Palatino Linotype" w:cs="Times New Roman"/>
          <w:i/>
          <w:snapToGrid w:val="0"/>
          <w:sz w:val="18"/>
          <w:szCs w:val="18"/>
        </w:rPr>
        <w:t>referé provision</w:t>
      </w:r>
      <w:r w:rsidRPr="0045124B">
        <w:rPr>
          <w:rFonts w:ascii="Palatino Linotype" w:eastAsiaTheme="minorEastAsia" w:hAnsi="Palatino Linotype" w:cs="Times New Roman"/>
          <w:snapToGrid w:val="0"/>
          <w:sz w:val="18"/>
          <w:szCs w:val="18"/>
        </w:rPr>
        <w:t xml:space="preserve">: anticipación de tutela sobre el fondo que permite evitar que la Administración trate de dilatar, mediante un largo proceso, el pago de deudas líquidas o ilíquidas; c) medida cautelar genérica. </w:t>
      </w:r>
    </w:p>
    <w:p w14:paraId="02E35016" w14:textId="77777777" w:rsidR="00E87246" w:rsidRPr="0045124B" w:rsidRDefault="00E87246" w:rsidP="0045124B">
      <w:pPr>
        <w:pStyle w:val="Textonotapie"/>
        <w:numPr>
          <w:ilvl w:val="0"/>
          <w:numId w:val="2"/>
        </w:numPr>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rPr>
        <w:t xml:space="preserve">Decreto de misma fecha: se establecen una serie de medidas relativas a agilizar y efectuar una compulsa definitiva a las Administraciones renuentes a cumplir con los mandatos establecidos por los tribunales administrativos. </w:t>
      </w:r>
    </w:p>
    <w:p w14:paraId="65841E4D" w14:textId="77777777" w:rsidR="00E87246" w:rsidRPr="0045124B" w:rsidRDefault="00E87246" w:rsidP="0045124B">
      <w:pPr>
        <w:pStyle w:val="Textonotapie"/>
        <w:numPr>
          <w:ilvl w:val="0"/>
          <w:numId w:val="2"/>
        </w:numPr>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rPr>
        <w:t xml:space="preserve">Decretos 90-400 y 90-416, ambos de 1989: se reformó el sistema de ejecución de sentencias, otorgándose un poder implícito condenatorio a los jueces. </w:t>
      </w:r>
    </w:p>
    <w:p w14:paraId="188B66AA" w14:textId="77777777" w:rsidR="00E87246" w:rsidRPr="0045124B" w:rsidRDefault="00E87246" w:rsidP="0045124B">
      <w:pPr>
        <w:pStyle w:val="Textonotapie"/>
        <w:numPr>
          <w:ilvl w:val="0"/>
          <w:numId w:val="2"/>
        </w:numPr>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rPr>
        <w:t xml:space="preserve">Ley de 8 de febrero de 1995: se confiere potestades a los jueces de lo contencioso administrativo para el dictado de </w:t>
      </w:r>
      <w:r w:rsidRPr="0045124B">
        <w:rPr>
          <w:rFonts w:ascii="Palatino Linotype" w:eastAsiaTheme="minorEastAsia" w:hAnsi="Palatino Linotype" w:cs="Times New Roman"/>
          <w:i/>
          <w:snapToGrid w:val="0"/>
          <w:sz w:val="18"/>
          <w:szCs w:val="18"/>
        </w:rPr>
        <w:t>injonctions</w:t>
      </w:r>
      <w:r w:rsidRPr="0045124B">
        <w:rPr>
          <w:rFonts w:ascii="Palatino Linotype" w:eastAsiaTheme="minorEastAsia" w:hAnsi="Palatino Linotype" w:cs="Times New Roman"/>
          <w:snapToGrid w:val="0"/>
          <w:sz w:val="18"/>
          <w:szCs w:val="18"/>
        </w:rPr>
        <w:t xml:space="preserve"> (condenas de hacer y no hacer a la Administración). </w:t>
      </w:r>
    </w:p>
    <w:p w14:paraId="36EE4773" w14:textId="77777777" w:rsidR="00E87246" w:rsidRPr="0045124B" w:rsidRDefault="00E87246" w:rsidP="0045124B">
      <w:pPr>
        <w:pStyle w:val="Textonotapie"/>
        <w:numPr>
          <w:ilvl w:val="0"/>
          <w:numId w:val="2"/>
        </w:numPr>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rPr>
        <w:t>Ley de 30 de junio de 2000: se refuerza el régimen de medidas cautelares, posibilitando el acogimiento de la suspensión precautoria del acto administrativo (</w:t>
      </w:r>
      <w:r w:rsidRPr="0045124B">
        <w:rPr>
          <w:rFonts w:ascii="Palatino Linotype" w:eastAsiaTheme="minorEastAsia" w:hAnsi="Palatino Linotype" w:cs="Times New Roman"/>
          <w:i/>
          <w:snapToGrid w:val="0"/>
          <w:sz w:val="18"/>
          <w:szCs w:val="18"/>
        </w:rPr>
        <w:t>sursis a execution</w:t>
      </w:r>
      <w:r w:rsidRPr="0045124B">
        <w:rPr>
          <w:rFonts w:ascii="Palatino Linotype" w:eastAsiaTheme="minorEastAsia" w:hAnsi="Palatino Linotype" w:cs="Times New Roman"/>
          <w:snapToGrid w:val="0"/>
          <w:sz w:val="18"/>
          <w:szCs w:val="18"/>
        </w:rPr>
        <w:t xml:space="preserve">) por un solo juez y ya no por un colegio de jueces. </w:t>
      </w:r>
    </w:p>
    <w:p w14:paraId="6E37C963" w14:textId="77777777" w:rsidR="00E87246" w:rsidRPr="0045124B" w:rsidRDefault="00E87246" w:rsidP="0045124B">
      <w:pPr>
        <w:pStyle w:val="Textonotapie"/>
        <w:numPr>
          <w:ilvl w:val="0"/>
          <w:numId w:val="2"/>
        </w:numPr>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i/>
          <w:snapToGrid w:val="0"/>
          <w:sz w:val="18"/>
          <w:szCs w:val="18"/>
        </w:rPr>
        <w:t>Code de la Justice Administratif</w:t>
      </w:r>
      <w:r w:rsidRPr="0045124B">
        <w:rPr>
          <w:rFonts w:ascii="Palatino Linotype" w:eastAsiaTheme="minorEastAsia" w:hAnsi="Palatino Linotype" w:cs="Times New Roman"/>
          <w:snapToGrid w:val="0"/>
          <w:sz w:val="18"/>
          <w:szCs w:val="18"/>
        </w:rPr>
        <w:t xml:space="preserve"> de 1 de enero de 2001: constituye una suerte de compilación o codificación del Derecho vigente aplicable a los procesos contenciosos administrativos. </w:t>
      </w:r>
    </w:p>
  </w:footnote>
  <w:footnote w:id="152">
    <w:p w14:paraId="6D35C729"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vertAlign w:val="superscript"/>
        </w:rPr>
        <w:footnoteRef/>
      </w:r>
      <w:r w:rsidRPr="0045124B">
        <w:rPr>
          <w:rFonts w:ascii="Palatino Linotype" w:eastAsiaTheme="minorEastAsia" w:hAnsi="Palatino Linotype" w:cs="Times New Roman"/>
          <w:snapToGrid w:val="0"/>
          <w:sz w:val="18"/>
          <w:szCs w:val="18"/>
          <w:lang w:val="it-IT"/>
        </w:rPr>
        <w:t xml:space="preserve"> Giacchetti, Salvatore. </w:t>
      </w:r>
      <w:r w:rsidRPr="0045124B">
        <w:rPr>
          <w:rFonts w:ascii="Palatino Linotype" w:eastAsiaTheme="minorEastAsia" w:hAnsi="Palatino Linotype" w:cs="Times New Roman"/>
          <w:i/>
          <w:snapToGrid w:val="0"/>
          <w:sz w:val="18"/>
          <w:szCs w:val="18"/>
          <w:lang w:val="it-IT"/>
        </w:rPr>
        <w:t>Morte e Trasfigurazione del Diritto Admministrativo</w:t>
      </w:r>
      <w:r w:rsidRPr="0045124B">
        <w:rPr>
          <w:rFonts w:ascii="Palatino Linotype" w:eastAsiaTheme="minorEastAsia" w:hAnsi="Palatino Linotype" w:cs="Times New Roman"/>
          <w:snapToGrid w:val="0"/>
          <w:sz w:val="18"/>
          <w:szCs w:val="18"/>
          <w:lang w:val="it-IT"/>
        </w:rPr>
        <w:t xml:space="preserve">. En la obra </w:t>
      </w:r>
      <w:r w:rsidRPr="0045124B">
        <w:rPr>
          <w:rFonts w:ascii="Palatino Linotype" w:eastAsiaTheme="minorEastAsia" w:hAnsi="Palatino Linotype" w:cs="Times New Roman"/>
          <w:i/>
          <w:snapToGrid w:val="0"/>
          <w:sz w:val="18"/>
          <w:szCs w:val="18"/>
          <w:lang w:val="it-IT"/>
        </w:rPr>
        <w:t>“Evoluzione della Giustizia Amministrativa (Integrazione Europea e Prospettive di Reforma</w:t>
      </w:r>
      <w:r w:rsidRPr="0045124B">
        <w:rPr>
          <w:rFonts w:ascii="Palatino Linotype" w:eastAsiaTheme="minorEastAsia" w:hAnsi="Palatino Linotype" w:cs="Times New Roman"/>
          <w:snapToGrid w:val="0"/>
          <w:sz w:val="18"/>
          <w:szCs w:val="18"/>
          <w:lang w:val="it-IT"/>
        </w:rPr>
        <w:t xml:space="preserve">) – Atti del Convengo, Lecce, 21-22 noviembre 1997. </w:t>
      </w:r>
      <w:r w:rsidRPr="0045124B">
        <w:rPr>
          <w:rFonts w:ascii="Palatino Linotype" w:eastAsiaTheme="minorEastAsia" w:hAnsi="Palatino Linotype" w:cs="Times New Roman"/>
          <w:snapToGrid w:val="0"/>
          <w:sz w:val="18"/>
          <w:szCs w:val="18"/>
        </w:rPr>
        <w:t xml:space="preserve">Giuffré Editore, Milán, 1998. </w:t>
      </w:r>
    </w:p>
  </w:footnote>
  <w:footnote w:id="153">
    <w:p w14:paraId="432654D3"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vertAlign w:val="superscript"/>
        </w:rPr>
        <w:footnoteRef/>
      </w:r>
      <w:r w:rsidRPr="0045124B">
        <w:rPr>
          <w:rFonts w:ascii="Palatino Linotype" w:eastAsiaTheme="minorEastAsia" w:hAnsi="Palatino Linotype" w:cs="Times New Roman"/>
          <w:snapToGrid w:val="0"/>
          <w:sz w:val="18"/>
          <w:szCs w:val="18"/>
          <w:vertAlign w:val="superscript"/>
        </w:rPr>
        <w:t xml:space="preserve"> </w:t>
      </w:r>
      <w:r w:rsidRPr="0045124B">
        <w:rPr>
          <w:rFonts w:ascii="Palatino Linotype" w:eastAsiaTheme="minorEastAsia" w:hAnsi="Palatino Linotype" w:cs="Times New Roman"/>
          <w:snapToGrid w:val="0"/>
          <w:sz w:val="18"/>
          <w:szCs w:val="18"/>
        </w:rPr>
        <w:t xml:space="preserve">Jinesta Lobo, Ernesto. </w:t>
      </w:r>
      <w:r w:rsidRPr="0045124B">
        <w:rPr>
          <w:rFonts w:ascii="Palatino Linotype" w:eastAsiaTheme="minorEastAsia" w:hAnsi="Palatino Linotype" w:cs="Times New Roman"/>
          <w:i/>
          <w:snapToGrid w:val="0"/>
          <w:sz w:val="18"/>
          <w:szCs w:val="18"/>
        </w:rPr>
        <w:t>La nueva justicia administrativa en Costa Rica.</w:t>
      </w:r>
      <w:r w:rsidRPr="0045124B">
        <w:rPr>
          <w:rFonts w:ascii="Palatino Linotype" w:eastAsiaTheme="minorEastAsia" w:hAnsi="Palatino Linotype" w:cs="Times New Roman"/>
          <w:snapToGrid w:val="0"/>
          <w:sz w:val="18"/>
          <w:szCs w:val="18"/>
        </w:rPr>
        <w:t xml:space="preserve"> Revista de Administración Pública, núm. 179, Madrid, mayo-agosto 2009.</w:t>
      </w:r>
    </w:p>
  </w:footnote>
  <w:footnote w:id="154">
    <w:p w14:paraId="3090EFE8"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vertAlign w:val="superscript"/>
        </w:rPr>
        <w:footnoteRef/>
      </w:r>
      <w:r w:rsidRPr="0045124B">
        <w:rPr>
          <w:rFonts w:ascii="Palatino Linotype" w:eastAsiaTheme="minorEastAsia" w:hAnsi="Palatino Linotype" w:cs="Times New Roman"/>
          <w:snapToGrid w:val="0"/>
          <w:sz w:val="18"/>
          <w:szCs w:val="18"/>
          <w:vertAlign w:val="superscript"/>
        </w:rPr>
        <w:t xml:space="preserve"> </w:t>
      </w:r>
      <w:r w:rsidRPr="0045124B">
        <w:rPr>
          <w:rFonts w:ascii="Palatino Linotype" w:eastAsiaTheme="minorEastAsia" w:hAnsi="Palatino Linotype" w:cs="Times New Roman"/>
          <w:snapToGrid w:val="0"/>
          <w:sz w:val="18"/>
          <w:szCs w:val="18"/>
        </w:rPr>
        <w:t xml:space="preserve">Muñoz Machado, op.cit. </w:t>
      </w:r>
    </w:p>
  </w:footnote>
  <w:footnote w:id="155">
    <w:p w14:paraId="4350552C"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vertAlign w:val="superscript"/>
        </w:rPr>
        <w:footnoteRef/>
      </w:r>
      <w:r w:rsidRPr="0045124B">
        <w:rPr>
          <w:rFonts w:ascii="Palatino Linotype" w:eastAsiaTheme="minorEastAsia" w:hAnsi="Palatino Linotype" w:cs="Times New Roman"/>
          <w:snapToGrid w:val="0"/>
          <w:sz w:val="18"/>
          <w:szCs w:val="18"/>
          <w:vertAlign w:val="superscript"/>
        </w:rPr>
        <w:t xml:space="preserve"> </w:t>
      </w:r>
      <w:r w:rsidRPr="0045124B">
        <w:rPr>
          <w:rFonts w:ascii="Palatino Linotype" w:eastAsiaTheme="minorEastAsia" w:hAnsi="Palatino Linotype" w:cs="Times New Roman"/>
          <w:snapToGrid w:val="0"/>
          <w:sz w:val="18"/>
          <w:szCs w:val="18"/>
        </w:rPr>
        <w:t xml:space="preserve">Sobre este tema consúltense: Jiménez Meza, Manrique. </w:t>
      </w:r>
      <w:r w:rsidRPr="0045124B">
        <w:rPr>
          <w:rFonts w:ascii="Palatino Linotype" w:eastAsiaTheme="minorEastAsia" w:hAnsi="Palatino Linotype" w:cs="Times New Roman"/>
          <w:i/>
          <w:snapToGrid w:val="0"/>
          <w:sz w:val="18"/>
          <w:szCs w:val="18"/>
        </w:rPr>
        <w:t>La legitimación administrativa.</w:t>
      </w:r>
      <w:r w:rsidRPr="0045124B">
        <w:rPr>
          <w:rFonts w:ascii="Palatino Linotype" w:eastAsiaTheme="minorEastAsia" w:hAnsi="Palatino Linotype" w:cs="Times New Roman"/>
          <w:snapToGrid w:val="0"/>
          <w:sz w:val="18"/>
          <w:szCs w:val="18"/>
        </w:rPr>
        <w:t xml:space="preserve"> San José, Costa Rica, Investigaciones Jurídicas, 1998. Ortiz Ortiz, Eduardo. </w:t>
      </w:r>
      <w:r w:rsidRPr="0045124B">
        <w:rPr>
          <w:rFonts w:ascii="Palatino Linotype" w:eastAsiaTheme="minorEastAsia" w:hAnsi="Palatino Linotype" w:cs="Times New Roman"/>
          <w:i/>
          <w:snapToGrid w:val="0"/>
          <w:sz w:val="18"/>
          <w:szCs w:val="18"/>
        </w:rPr>
        <w:t>Situaciones jurídicas administrativas</w:t>
      </w:r>
      <w:r w:rsidRPr="0045124B">
        <w:rPr>
          <w:rFonts w:ascii="Palatino Linotype" w:eastAsiaTheme="minorEastAsia" w:hAnsi="Palatino Linotype" w:cs="Times New Roman"/>
          <w:snapToGrid w:val="0"/>
          <w:sz w:val="18"/>
          <w:szCs w:val="18"/>
        </w:rPr>
        <w:t xml:space="preserve">. Revista de Ciencias Jurídicas N° 18, diciembre 1971 y del mismo autor Interés legítimo, derecho subjetivos y reforma al contencioso administrativo. Revista de Ciencias Jurídicas, N° 2, noviembre 1963. </w:t>
      </w:r>
    </w:p>
  </w:footnote>
  <w:footnote w:id="156">
    <w:p w14:paraId="7BE0542B"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vertAlign w:val="superscript"/>
        </w:rPr>
        <w:footnoteRef/>
      </w:r>
      <w:r w:rsidRPr="0045124B">
        <w:rPr>
          <w:rFonts w:ascii="Palatino Linotype" w:eastAsiaTheme="minorEastAsia" w:hAnsi="Palatino Linotype" w:cs="Times New Roman"/>
          <w:snapToGrid w:val="0"/>
          <w:sz w:val="18"/>
          <w:szCs w:val="18"/>
          <w:vertAlign w:val="superscript"/>
        </w:rPr>
        <w:t xml:space="preserve"> </w:t>
      </w:r>
      <w:r w:rsidRPr="0045124B">
        <w:rPr>
          <w:rFonts w:ascii="Palatino Linotype" w:eastAsiaTheme="minorEastAsia" w:hAnsi="Palatino Linotype" w:cs="Times New Roman"/>
          <w:snapToGrid w:val="0"/>
          <w:sz w:val="18"/>
          <w:szCs w:val="18"/>
        </w:rPr>
        <w:t xml:space="preserve">Cfr.: Hernández G., José Ignacio. </w:t>
      </w:r>
      <w:r w:rsidRPr="0045124B">
        <w:rPr>
          <w:rFonts w:ascii="Palatino Linotype" w:eastAsiaTheme="minorEastAsia" w:hAnsi="Palatino Linotype" w:cs="Times New Roman"/>
          <w:i/>
          <w:snapToGrid w:val="0"/>
          <w:sz w:val="18"/>
          <w:szCs w:val="18"/>
        </w:rPr>
        <w:t>Eduardo García de Enterría y la renovación del Derecho administrativo</w:t>
      </w:r>
      <w:r w:rsidRPr="0045124B">
        <w:rPr>
          <w:rFonts w:ascii="Palatino Linotype" w:eastAsiaTheme="minorEastAsia" w:hAnsi="Palatino Linotype" w:cs="Times New Roman"/>
          <w:snapToGrid w:val="0"/>
          <w:sz w:val="18"/>
          <w:szCs w:val="18"/>
        </w:rPr>
        <w:t xml:space="preserve">. En la obra colectiva: </w:t>
      </w:r>
      <w:r w:rsidRPr="0045124B">
        <w:rPr>
          <w:rFonts w:ascii="Palatino Linotype" w:eastAsiaTheme="minorEastAsia" w:hAnsi="Palatino Linotype" w:cs="Times New Roman"/>
          <w:i/>
          <w:snapToGrid w:val="0"/>
          <w:sz w:val="18"/>
          <w:szCs w:val="18"/>
        </w:rPr>
        <w:t>La protección de los derechos frente al poder de la administración. Libro homenaje al profesor Eduardo García de Enterría</w:t>
      </w:r>
      <w:r w:rsidRPr="0045124B">
        <w:rPr>
          <w:rFonts w:ascii="Palatino Linotype" w:eastAsiaTheme="minorEastAsia" w:hAnsi="Palatino Linotype" w:cs="Times New Roman"/>
          <w:snapToGrid w:val="0"/>
          <w:sz w:val="18"/>
          <w:szCs w:val="18"/>
        </w:rPr>
        <w:t>. Bogotá-Colombia, Editorial Temis S.A., 2014, pág. 53-76.</w:t>
      </w:r>
    </w:p>
  </w:footnote>
  <w:footnote w:id="157">
    <w:p w14:paraId="6809F7FF" w14:textId="77777777" w:rsidR="00E87246" w:rsidRPr="0045124B" w:rsidRDefault="00E87246" w:rsidP="0045124B">
      <w:pPr>
        <w:pStyle w:val="Textonotapie"/>
        <w:jc w:val="both"/>
        <w:rPr>
          <w:rFonts w:ascii="Palatino Linotype" w:eastAsiaTheme="minorEastAsia" w:hAnsi="Palatino Linotype" w:cs="Times New Roman"/>
          <w:snapToGrid w:val="0"/>
          <w:sz w:val="18"/>
          <w:szCs w:val="18"/>
        </w:rPr>
      </w:pPr>
      <w:r w:rsidRPr="0045124B">
        <w:rPr>
          <w:rFonts w:ascii="Palatino Linotype" w:eastAsiaTheme="minorEastAsia" w:hAnsi="Palatino Linotype" w:cs="Times New Roman"/>
          <w:snapToGrid w:val="0"/>
          <w:sz w:val="18"/>
          <w:szCs w:val="18"/>
          <w:vertAlign w:val="superscript"/>
        </w:rPr>
        <w:footnoteRef/>
      </w:r>
      <w:r w:rsidRPr="0045124B">
        <w:rPr>
          <w:rFonts w:ascii="Palatino Linotype" w:eastAsiaTheme="minorEastAsia" w:hAnsi="Palatino Linotype" w:cs="Times New Roman"/>
          <w:snapToGrid w:val="0"/>
          <w:sz w:val="18"/>
          <w:szCs w:val="18"/>
        </w:rPr>
        <w:t xml:space="preserve"> García De Enterría, Eduardo. </w:t>
      </w:r>
      <w:r w:rsidRPr="0045124B">
        <w:rPr>
          <w:rFonts w:ascii="Palatino Linotype" w:eastAsiaTheme="minorEastAsia" w:hAnsi="Palatino Linotype" w:cs="Times New Roman"/>
          <w:i/>
          <w:snapToGrid w:val="0"/>
          <w:sz w:val="18"/>
          <w:szCs w:val="18"/>
        </w:rPr>
        <w:t>Sobre los derechos públicos subjetivos</w:t>
      </w:r>
      <w:r w:rsidRPr="0045124B">
        <w:rPr>
          <w:rFonts w:ascii="Palatino Linotype" w:eastAsiaTheme="minorEastAsia" w:hAnsi="Palatino Linotype" w:cs="Times New Roman"/>
          <w:snapToGrid w:val="0"/>
          <w:sz w:val="18"/>
          <w:szCs w:val="18"/>
        </w:rPr>
        <w:t>. Revista Española de Derecho Administrativo, Número VI, Madrid, 1975, págs. 427-448.</w:t>
      </w:r>
    </w:p>
  </w:footnote>
  <w:footnote w:id="158">
    <w:p w14:paraId="617BCD92" w14:textId="77777777" w:rsidR="00E87246" w:rsidRPr="0045124B" w:rsidRDefault="00E87246" w:rsidP="0045124B">
      <w:pPr>
        <w:pStyle w:val="Textonotapie"/>
        <w:jc w:val="both"/>
        <w:rPr>
          <w:rFonts w:ascii="Palatino Linotype" w:hAnsi="Palatino Linotype" w:cs="Times New Roman"/>
          <w:sz w:val="18"/>
          <w:szCs w:val="18"/>
        </w:rPr>
      </w:pPr>
      <w:r w:rsidRPr="0045124B">
        <w:rPr>
          <w:rFonts w:ascii="Palatino Linotype" w:eastAsiaTheme="minorEastAsia" w:hAnsi="Palatino Linotype" w:cs="Times New Roman"/>
          <w:snapToGrid w:val="0"/>
          <w:sz w:val="18"/>
          <w:szCs w:val="18"/>
          <w:vertAlign w:val="superscript"/>
        </w:rPr>
        <w:footnoteRef/>
      </w:r>
      <w:r w:rsidRPr="0045124B">
        <w:rPr>
          <w:rFonts w:ascii="Palatino Linotype" w:eastAsiaTheme="minorEastAsia" w:hAnsi="Palatino Linotype" w:cs="Times New Roman"/>
          <w:snapToGrid w:val="0"/>
          <w:sz w:val="18"/>
          <w:szCs w:val="18"/>
          <w:vertAlign w:val="superscript"/>
        </w:rPr>
        <w:t xml:space="preserve"> </w:t>
      </w:r>
      <w:r w:rsidRPr="0045124B">
        <w:rPr>
          <w:rFonts w:ascii="Palatino Linotype" w:eastAsiaTheme="minorEastAsia" w:hAnsi="Palatino Linotype" w:cs="Times New Roman"/>
          <w:snapToGrid w:val="0"/>
          <w:sz w:val="18"/>
          <w:szCs w:val="18"/>
        </w:rPr>
        <w:t xml:space="preserve">Salamero Teixidó, Laura. </w:t>
      </w:r>
      <w:r w:rsidRPr="0045124B">
        <w:rPr>
          <w:rFonts w:ascii="Palatino Linotype" w:eastAsiaTheme="minorEastAsia" w:hAnsi="Palatino Linotype" w:cs="Times New Roman"/>
          <w:i/>
          <w:snapToGrid w:val="0"/>
          <w:sz w:val="18"/>
          <w:szCs w:val="18"/>
        </w:rPr>
        <w:t>Principio de congruencia, prohibición de la reformatio in peius y deber judicial</w:t>
      </w:r>
      <w:r w:rsidRPr="0045124B">
        <w:rPr>
          <w:rFonts w:ascii="Palatino Linotype" w:hAnsi="Palatino Linotype" w:cs="Times New Roman"/>
          <w:i/>
          <w:sz w:val="18"/>
          <w:szCs w:val="18"/>
        </w:rPr>
        <w:t xml:space="preserve"> de resolver con arreglo a la motivación jurídica correcta. </w:t>
      </w:r>
      <w:r w:rsidRPr="0045124B">
        <w:rPr>
          <w:rFonts w:ascii="Palatino Linotype" w:hAnsi="Palatino Linotype" w:cs="Times New Roman"/>
          <w:sz w:val="18"/>
          <w:szCs w:val="18"/>
        </w:rPr>
        <w:t>Revista de Administración Pública, núm. 189, Madrid, setiembre-diciembre (2012), págs. 203-243.</w:t>
      </w:r>
    </w:p>
  </w:footnote>
  <w:footnote w:id="159">
    <w:p w14:paraId="658A555E"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González Camacho, Oscar Eduardo. Op. cit., pág. 519.</w:t>
      </w:r>
    </w:p>
  </w:footnote>
  <w:footnote w:id="160">
    <w:p w14:paraId="06F9F69B" w14:textId="77777777" w:rsidR="00E87246" w:rsidRPr="0045124B" w:rsidRDefault="00E87246" w:rsidP="0045124B">
      <w:pPr>
        <w:spacing w:after="0"/>
        <w:jc w:val="both"/>
        <w:rPr>
          <w:rFonts w:ascii="Palatino Linotype" w:eastAsia="Times New Roman" w:hAnsi="Palatino Linotype" w:cs="Times New Roman"/>
          <w:sz w:val="18"/>
          <w:szCs w:val="18"/>
          <w:lang w:eastAsia="es-CR"/>
        </w:rPr>
      </w:pPr>
      <w:r w:rsidRPr="0045124B">
        <w:rPr>
          <w:rFonts w:ascii="Palatino Linotype" w:hAnsi="Palatino Linotype" w:cs="Times New Roman"/>
          <w:sz w:val="18"/>
          <w:szCs w:val="18"/>
          <w:vertAlign w:val="superscript"/>
        </w:rPr>
        <w:footnoteRef/>
      </w:r>
      <w:r w:rsidRPr="0045124B">
        <w:rPr>
          <w:rFonts w:ascii="Palatino Linotype" w:hAnsi="Palatino Linotype" w:cs="Times New Roman"/>
          <w:sz w:val="18"/>
          <w:szCs w:val="18"/>
        </w:rPr>
        <w:t xml:space="preserve"> Jinesta Lobo, Ernesto. </w:t>
      </w:r>
      <w:r w:rsidRPr="0045124B">
        <w:rPr>
          <w:rFonts w:ascii="Palatino Linotype" w:hAnsi="Palatino Linotype" w:cs="Times New Roman"/>
          <w:i/>
          <w:sz w:val="18"/>
          <w:szCs w:val="18"/>
        </w:rPr>
        <w:t xml:space="preserve">Perspectiva Constitucional de la Casación Contencioso-Administrativa. </w:t>
      </w:r>
      <w:r w:rsidRPr="0045124B">
        <w:rPr>
          <w:rFonts w:ascii="Palatino Linotype" w:eastAsia="Times New Roman" w:hAnsi="Palatino Linotype" w:cs="Times New Roman"/>
          <w:sz w:val="18"/>
          <w:szCs w:val="18"/>
          <w:lang w:eastAsia="es-CR"/>
        </w:rPr>
        <w:t xml:space="preserve">En </w:t>
      </w:r>
      <w:r w:rsidRPr="0045124B">
        <w:rPr>
          <w:rFonts w:ascii="Palatino Linotype" w:eastAsia="Times New Roman" w:hAnsi="Palatino Linotype" w:cs="Times New Roman"/>
          <w:i/>
          <w:sz w:val="18"/>
          <w:szCs w:val="18"/>
          <w:lang w:eastAsia="es-CR"/>
        </w:rPr>
        <w:t>El recurso de casación (en materia contencioso-administrativa, penal, civil, agrario y familia)</w:t>
      </w:r>
      <w:r w:rsidRPr="0045124B">
        <w:rPr>
          <w:rFonts w:ascii="Palatino Linotype" w:eastAsia="Times New Roman" w:hAnsi="Palatino Linotype" w:cs="Times New Roman"/>
          <w:sz w:val="18"/>
          <w:szCs w:val="18"/>
          <w:lang w:eastAsia="es-CR"/>
        </w:rPr>
        <w:t xml:space="preserve"> –coord. Sergio Artavia y Xiomara Hidalgo-, Memorias II Congreso de Derecho Procesal, Instituto Costarricense de Derecho Procesal Científico, San José, Investigaciones Jurídicas S.A., 2014, pp. 51-62.</w:t>
      </w:r>
    </w:p>
  </w:footnote>
  <w:footnote w:id="161">
    <w:p w14:paraId="3E764AA9"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Sobre esta distinción y las modalidades de casación en general véase: Artavia Barrantes, Sergio. Op. cit. páginas 407-605.</w:t>
      </w:r>
    </w:p>
  </w:footnote>
  <w:footnote w:id="162">
    <w:p w14:paraId="5B1B11A1"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Resulta esclarecedor lo que al respecto señaló el co-redactor Dr. Aldo Milano Sánchez en el Acta N° 30 de 22 de junio de 2005: “Esa moda de cláusula residual, es decir, si queremos ampliar los motivos de casación pues tiene que haber una válvula de escape en el sentido, de una especie de esponja jurídica que recoja todos aquellos supuestos que no están expresamente normados.”</w:t>
      </w:r>
    </w:p>
  </w:footnote>
  <w:footnote w:id="163">
    <w:p w14:paraId="38803E55"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González Camacho, Oscar. Op. cit., págs. 519-520.</w:t>
      </w:r>
    </w:p>
  </w:footnote>
  <w:footnote w:id="164">
    <w:p w14:paraId="2AE40B7C"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Consúltese Informe estadístico de la Sala Primera – 2017. Recuperado de </w:t>
      </w:r>
      <w:hyperlink r:id="rId20" w:history="1">
        <w:r w:rsidRPr="0045124B">
          <w:rPr>
            <w:rStyle w:val="Hipervnculo"/>
            <w:rFonts w:ascii="Palatino Linotype" w:hAnsi="Palatino Linotype" w:cs="Times New Roman"/>
            <w:sz w:val="18"/>
            <w:szCs w:val="18"/>
          </w:rPr>
          <w:t>https://salaprimera.poder-judicial.go.cr/phocadownload/Informes_Planificacion/854-PLA-2018.pdf</w:t>
        </w:r>
      </w:hyperlink>
      <w:r w:rsidRPr="0045124B">
        <w:rPr>
          <w:rStyle w:val="Hipervnculo"/>
          <w:rFonts w:ascii="Palatino Linotype" w:hAnsi="Palatino Linotype" w:cs="Times New Roman"/>
          <w:sz w:val="18"/>
          <w:szCs w:val="18"/>
        </w:rPr>
        <w:t xml:space="preserve">                </w:t>
      </w:r>
    </w:p>
    <w:p w14:paraId="09996E44" w14:textId="77777777" w:rsidR="00E87246" w:rsidRPr="0045124B" w:rsidRDefault="00E87246" w:rsidP="0045124B">
      <w:pPr>
        <w:pStyle w:val="Textonotapie"/>
        <w:jc w:val="both"/>
        <w:rPr>
          <w:rFonts w:ascii="Palatino Linotype" w:hAnsi="Palatino Linotype" w:cs="Times New Roman"/>
          <w:sz w:val="18"/>
          <w:szCs w:val="18"/>
        </w:rPr>
      </w:pPr>
    </w:p>
  </w:footnote>
  <w:footnote w:id="165">
    <w:p w14:paraId="5E27CE7D" w14:textId="77777777" w:rsidR="00E87246" w:rsidRPr="0045124B" w:rsidRDefault="00E87246" w:rsidP="0045124B">
      <w:pPr>
        <w:pStyle w:val="Textonotapie"/>
        <w:jc w:val="both"/>
        <w:rPr>
          <w:rFonts w:ascii="Palatino Linotype" w:hAnsi="Palatino Linotype"/>
          <w:sz w:val="18"/>
          <w:szCs w:val="18"/>
        </w:rPr>
      </w:pPr>
      <w:r w:rsidRPr="0045124B">
        <w:rPr>
          <w:rFonts w:ascii="Palatino Linotype" w:hAnsi="Palatino Linotype" w:cs="Times New Roman"/>
          <w:sz w:val="18"/>
          <w:szCs w:val="18"/>
          <w:vertAlign w:val="superscript"/>
        </w:rPr>
        <w:footnoteRef/>
      </w:r>
      <w:r w:rsidRPr="0045124B">
        <w:rPr>
          <w:rFonts w:ascii="Palatino Linotype" w:hAnsi="Palatino Linotype" w:cs="Times New Roman"/>
          <w:sz w:val="18"/>
          <w:szCs w:val="18"/>
        </w:rPr>
        <w:t xml:space="preserve"> Solana Rio, Emilio. </w:t>
      </w:r>
      <w:r w:rsidRPr="0045124B">
        <w:rPr>
          <w:rFonts w:ascii="Palatino Linotype" w:hAnsi="Palatino Linotype" w:cs="Times New Roman"/>
          <w:i/>
          <w:sz w:val="18"/>
          <w:szCs w:val="18"/>
        </w:rPr>
        <w:t>Análisis y estadísticas en materias Contencioso Administrativa, Laboral y Penal relacionadas con sus respectivas reformas procesales.</w:t>
      </w:r>
      <w:r w:rsidRPr="0045124B">
        <w:rPr>
          <w:rFonts w:ascii="Palatino Linotype" w:hAnsi="Palatino Linotype" w:cs="Times New Roman"/>
          <w:sz w:val="18"/>
          <w:szCs w:val="18"/>
        </w:rPr>
        <w:t xml:space="preserve"> En </w:t>
      </w:r>
      <w:r w:rsidRPr="0045124B">
        <w:rPr>
          <w:rFonts w:ascii="Palatino Linotype" w:hAnsi="Palatino Linotype" w:cs="Times New Roman"/>
          <w:i/>
          <w:sz w:val="18"/>
          <w:szCs w:val="18"/>
        </w:rPr>
        <w:t>Programa Estado de la Nación</w:t>
      </w:r>
      <w:r w:rsidRPr="0045124B">
        <w:rPr>
          <w:rFonts w:ascii="Palatino Linotype" w:hAnsi="Palatino Linotype" w:cs="Times New Roman"/>
          <w:sz w:val="18"/>
          <w:szCs w:val="18"/>
        </w:rPr>
        <w:t xml:space="preserve">, San José, Costa Rica: noviembre, 2018. </w:t>
      </w:r>
    </w:p>
  </w:footnote>
  <w:footnote w:id="166">
    <w:p w14:paraId="38297C8F"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Resolución N° 000646-F-2001.</w:t>
      </w:r>
    </w:p>
  </w:footnote>
  <w:footnote w:id="167">
    <w:p w14:paraId="2A9C4A0D"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eastAsiaTheme="minorEastAsia" w:hAnsi="Palatino Linotype" w:cs="Times New Roman"/>
          <w:snapToGrid w:val="0"/>
          <w:sz w:val="18"/>
          <w:szCs w:val="18"/>
        </w:rPr>
        <w:t>Resolución N° 318-A-2008.</w:t>
      </w:r>
    </w:p>
  </w:footnote>
  <w:footnote w:id="168">
    <w:p w14:paraId="48D18EDE"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Resolución N° 000132-A-S1-2011.</w:t>
      </w:r>
    </w:p>
  </w:footnote>
  <w:footnote w:id="169">
    <w:p w14:paraId="2A62B2B1" w14:textId="77777777" w:rsidR="00E87246" w:rsidRPr="0045124B" w:rsidRDefault="00E87246" w:rsidP="0045124B">
      <w:pPr>
        <w:spacing w:after="0" w:line="240" w:lineRule="auto"/>
        <w:jc w:val="both"/>
        <w:rPr>
          <w:rFonts w:ascii="Palatino Linotype" w:eastAsiaTheme="minorEastAsia" w:hAnsi="Palatino Linotype" w:cs="Times New Roman"/>
          <w:snapToGrid w:val="0"/>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eastAsiaTheme="minorEastAsia" w:hAnsi="Palatino Linotype" w:cs="Times New Roman"/>
          <w:snapToGrid w:val="0"/>
          <w:sz w:val="18"/>
          <w:szCs w:val="18"/>
        </w:rPr>
        <w:t>Durante los años 2013 a 2017, los porcentajes de casos terminados correspondientes a la materia contenciosa fueron los siguientes respectivamente: 66,4%, 73,9%, 65,7%, 67,3% y 72,9%.</w:t>
      </w:r>
    </w:p>
  </w:footnote>
  <w:footnote w:id="170">
    <w:p w14:paraId="276DF430"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Informe estadístico de la Sala Primera – 2017. Op. cit.</w:t>
      </w:r>
    </w:p>
  </w:footnote>
  <w:footnote w:id="171">
    <w:p w14:paraId="403D9EA5"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Milano Sánchez, Aldo. </w:t>
      </w:r>
      <w:r w:rsidRPr="0045124B">
        <w:rPr>
          <w:rFonts w:ascii="Palatino Linotype" w:hAnsi="Palatino Linotype" w:cs="Times New Roman"/>
          <w:i/>
          <w:sz w:val="18"/>
          <w:szCs w:val="18"/>
        </w:rPr>
        <w:t xml:space="preserve">Informe preliminar: A diez años del Código Procesal Contencioso Administrativo. Tercer Informe Estado de la Justicia. </w:t>
      </w:r>
      <w:r w:rsidRPr="0045124B">
        <w:rPr>
          <w:rFonts w:ascii="Palatino Linotype" w:hAnsi="Palatino Linotype" w:cs="Times New Roman"/>
          <w:sz w:val="18"/>
          <w:szCs w:val="18"/>
        </w:rPr>
        <w:t>Consejo Nacional de Rectores-Defensoría de los Habitantes, enero de 2019.</w:t>
      </w:r>
    </w:p>
  </w:footnote>
  <w:footnote w:id="172">
    <w:p w14:paraId="16FBE52E"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Ibid.</w:t>
      </w:r>
    </w:p>
  </w:footnote>
  <w:footnote w:id="173">
    <w:p w14:paraId="5893C2E4"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Volio González, Marcelo. Op. cit., pág. 111.</w:t>
      </w:r>
    </w:p>
  </w:footnote>
  <w:footnote w:id="174">
    <w:p w14:paraId="37A892F9"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Denominación atribuida al Dr. Manrique Jiménez Meza. Actas de la Asamblea Legislativa N° 8 del 16 de febrero del 2005. Citada en el Código Procesal Contencioso Administrativo, Colegio de Abogados de Costa Rica y Procuraduría General de la República. p. 131</w:t>
      </w:r>
    </w:p>
  </w:footnote>
  <w:footnote w:id="175">
    <w:p w14:paraId="591B34BF"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lang w:val="it-IT"/>
        </w:rPr>
        <w:t xml:space="preserve"> Taruffo, Michele. </w:t>
      </w:r>
      <w:r w:rsidRPr="0045124B">
        <w:rPr>
          <w:rFonts w:ascii="Palatino Linotype" w:hAnsi="Palatino Linotype" w:cs="Times New Roman"/>
          <w:i/>
          <w:sz w:val="18"/>
          <w:szCs w:val="18"/>
          <w:lang w:val="it-IT"/>
        </w:rPr>
        <w:t>El vértice ambiguo.</w:t>
      </w:r>
      <w:r w:rsidRPr="0045124B">
        <w:rPr>
          <w:rFonts w:ascii="Palatino Linotype" w:hAnsi="Palatino Linotype" w:cs="Times New Roman"/>
          <w:sz w:val="18"/>
          <w:szCs w:val="18"/>
          <w:lang w:val="it-IT"/>
        </w:rPr>
        <w:t xml:space="preserve"> </w:t>
      </w:r>
      <w:r w:rsidRPr="0045124B">
        <w:rPr>
          <w:rFonts w:ascii="Palatino Linotype" w:hAnsi="Palatino Linotype" w:cs="Times New Roman"/>
          <w:sz w:val="18"/>
          <w:szCs w:val="18"/>
        </w:rPr>
        <w:t>Op. cit. Pág. 144.</w:t>
      </w:r>
    </w:p>
  </w:footnote>
  <w:footnote w:id="176">
    <w:p w14:paraId="59DF60E1" w14:textId="77777777" w:rsidR="00E87246" w:rsidRPr="0045124B" w:rsidRDefault="00E87246" w:rsidP="0045124B">
      <w:pPr>
        <w:pStyle w:val="Textonotapie"/>
        <w:jc w:val="both"/>
        <w:rPr>
          <w:rFonts w:ascii="Palatino Linotype" w:hAnsi="Palatino Linotype"/>
          <w:sz w:val="18"/>
          <w:szCs w:val="18"/>
          <w:lang w:val="es-MX"/>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Costarricense. Abogado. Correo </w:t>
      </w:r>
      <w:hyperlink r:id="rId21" w:history="1">
        <w:r w:rsidRPr="0045124B">
          <w:rPr>
            <w:rStyle w:val="Hipervnculo"/>
            <w:rFonts w:ascii="Palatino Linotype" w:hAnsi="Palatino Linotype"/>
            <w:sz w:val="18"/>
            <w:szCs w:val="18"/>
          </w:rPr>
          <w:t>hubert.fdz@gmail.com</w:t>
        </w:r>
      </w:hyperlink>
      <w:r w:rsidRPr="0045124B">
        <w:rPr>
          <w:rFonts w:ascii="Palatino Linotype" w:hAnsi="Palatino Linotype"/>
          <w:sz w:val="18"/>
          <w:szCs w:val="18"/>
        </w:rPr>
        <w:t xml:space="preserve">. Máster en Derecho Público, candidato al Doctorado en Gobierno y Políticas Públicas, ambos de la Universidad de Costa Rica. Especialista en Justicia Constitucional y protección Jurisdiccional de los Derechos, por la Universidad de Pisa, Italia. El autor es Juez titular del Tribunal de Apelaciones lo Contencioso Administrativo y Civil de Hacienda en el II Circuito Judicial de San José y Magistrado Suplente de la Sala Constitucional de la Corte Suprema de Justicia de Costa Rica. Es además, Profesor Asociado de la Cátedra de Derecho Administrativo, de la Facultad de Derecho de la Universidad de Costa Rica.-   </w:t>
      </w:r>
    </w:p>
  </w:footnote>
  <w:footnote w:id="177">
    <w:p w14:paraId="69948A14" w14:textId="77777777" w:rsidR="00E87246" w:rsidRPr="0045124B" w:rsidRDefault="00E87246" w:rsidP="0045124B">
      <w:pPr>
        <w:pStyle w:val="Textonotapie"/>
        <w:jc w:val="both"/>
        <w:rPr>
          <w:rFonts w:ascii="Palatino Linotype" w:hAnsi="Palatino Linotype"/>
          <w:sz w:val="18"/>
          <w:szCs w:val="18"/>
          <w:lang w:val="es-MX"/>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Jiménez Meza y otros. El nuevo proceso contencioso administrativo. San José, Poder Judicial. Depto de Artes Gráficas. 2006, p.18).</w:t>
      </w:r>
    </w:p>
  </w:footnote>
  <w:footnote w:id="178">
    <w:p w14:paraId="02820227" w14:textId="77777777" w:rsidR="00E87246" w:rsidRPr="0045124B" w:rsidRDefault="00E87246" w:rsidP="0045124B">
      <w:pPr>
        <w:pStyle w:val="Textonotapie"/>
        <w:jc w:val="both"/>
        <w:rPr>
          <w:rFonts w:ascii="Palatino Linotype" w:hAnsi="Palatino Linotype"/>
          <w:sz w:val="18"/>
          <w:szCs w:val="18"/>
          <w:lang w:val="es-MX"/>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MX"/>
        </w:rPr>
        <w:t>Véase en ese sentido, Córdoba O. Jorge y Fernández A. Hubert. Ley Reguladora de la Jurisdicción Contencioso Administrativa (con jurisprudencia contencioso administrativa y constitucional) . 572 p.</w:t>
      </w:r>
    </w:p>
  </w:footnote>
  <w:footnote w:id="179">
    <w:p w14:paraId="50994053" w14:textId="77777777" w:rsidR="00E87246" w:rsidRPr="0045124B" w:rsidRDefault="00E87246" w:rsidP="0045124B">
      <w:pPr>
        <w:pStyle w:val="Textonotapie"/>
        <w:jc w:val="both"/>
        <w:rPr>
          <w:rFonts w:ascii="Palatino Linotype" w:hAnsi="Palatino Linotype"/>
          <w:sz w:val="18"/>
          <w:szCs w:val="18"/>
          <w:lang w:val="es-MX"/>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MX"/>
        </w:rPr>
        <w:t xml:space="preserve">López González, Jorge Alberto. Curso de Derecho Procesal Civil Costarricense: según el nuevo código (parte general). 1ª. Ed. San José, C.R. EDINexo, 2017, pág. 418. </w:t>
      </w:r>
    </w:p>
  </w:footnote>
  <w:footnote w:id="180">
    <w:p w14:paraId="224585CD" w14:textId="77777777" w:rsidR="00E87246" w:rsidRPr="0045124B" w:rsidRDefault="00E87246" w:rsidP="0045124B">
      <w:pPr>
        <w:pStyle w:val="Textonotapie"/>
        <w:jc w:val="both"/>
        <w:rPr>
          <w:rFonts w:ascii="Palatino Linotype" w:hAnsi="Palatino Linotype"/>
          <w:sz w:val="18"/>
          <w:szCs w:val="18"/>
          <w:lang w:val="es-MX"/>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MX"/>
        </w:rPr>
        <w:t xml:space="preserve">Al respecto, véase López González. Ídem, pag.413. </w:t>
      </w:r>
    </w:p>
  </w:footnote>
  <w:footnote w:id="181">
    <w:p w14:paraId="602AC530" w14:textId="77777777" w:rsidR="00E87246" w:rsidRPr="0045124B" w:rsidRDefault="00E87246" w:rsidP="0045124B">
      <w:pPr>
        <w:pStyle w:val="Textonotapie"/>
        <w:jc w:val="both"/>
        <w:rPr>
          <w:rFonts w:ascii="Palatino Linotype" w:hAnsi="Palatino Linotype"/>
          <w:sz w:val="18"/>
          <w:szCs w:val="18"/>
          <w:lang w:val="es-MX"/>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MX"/>
        </w:rPr>
        <w:t>Tribunal de Casación de lo Contencioso Administrativo y Civil de Hacienda. Resolución N°</w:t>
      </w:r>
      <w:r w:rsidRPr="0045124B">
        <w:rPr>
          <w:rFonts w:ascii="Palatino Linotype" w:hAnsi="Palatino Linotype"/>
          <w:sz w:val="18"/>
          <w:szCs w:val="18"/>
        </w:rPr>
        <w:t xml:space="preserve"> 105-A-TC-09 de 10:00 h. de 04-06-2009</w:t>
      </w:r>
      <w:r w:rsidRPr="0045124B">
        <w:rPr>
          <w:rFonts w:ascii="Palatino Linotype" w:hAnsi="Palatino Linotype"/>
          <w:sz w:val="18"/>
          <w:szCs w:val="18"/>
          <w:lang w:val="es-MX"/>
        </w:rPr>
        <w:t>.-</w:t>
      </w:r>
    </w:p>
  </w:footnote>
  <w:footnote w:id="182">
    <w:p w14:paraId="63DBB9B9" w14:textId="77777777" w:rsidR="00E87246" w:rsidRPr="0045124B" w:rsidRDefault="00E87246" w:rsidP="0045124B">
      <w:pPr>
        <w:pStyle w:val="Textonotapie"/>
        <w:jc w:val="both"/>
        <w:rPr>
          <w:rFonts w:ascii="Palatino Linotype" w:hAnsi="Palatino Linotype"/>
          <w:sz w:val="18"/>
          <w:szCs w:val="18"/>
          <w:lang w:val="es-MX"/>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MX"/>
        </w:rPr>
        <w:t xml:space="preserve">Sala Primera de la Corte Suprema de Justicia, N°585-A-S1-2017 de las 11:13 horas del 17 de mayo de 2017. </w:t>
      </w:r>
    </w:p>
  </w:footnote>
  <w:footnote w:id="183">
    <w:p w14:paraId="7F70CEA3" w14:textId="77777777" w:rsidR="00E87246" w:rsidRPr="0045124B" w:rsidRDefault="00E87246" w:rsidP="0045124B">
      <w:pPr>
        <w:pStyle w:val="Textonotapie"/>
        <w:jc w:val="both"/>
        <w:rPr>
          <w:rFonts w:ascii="Palatino Linotype" w:hAnsi="Palatino Linotype"/>
          <w:sz w:val="18"/>
          <w:szCs w:val="18"/>
          <w:lang w:val="es-MX"/>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MX"/>
        </w:rPr>
        <w:t>Sala Primera de la Corte Suprema de Justicia, N° 649-A-S1-2015 de las 09:42 horas del 04-06-2015</w:t>
      </w:r>
    </w:p>
  </w:footnote>
  <w:footnote w:id="184">
    <w:p w14:paraId="25B43AA7" w14:textId="77777777" w:rsidR="00E87246" w:rsidRPr="0045124B" w:rsidRDefault="00E87246" w:rsidP="0045124B">
      <w:pPr>
        <w:pStyle w:val="Textonotapie"/>
        <w:jc w:val="both"/>
        <w:rPr>
          <w:rFonts w:ascii="Palatino Linotype" w:hAnsi="Palatino Linotype"/>
          <w:sz w:val="18"/>
          <w:szCs w:val="18"/>
          <w:lang w:val="es-MX"/>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MX"/>
        </w:rPr>
        <w:t xml:space="preserve">Sala Primera de la Corte Suprema de Justicia, N° 76-S1-2016 de las 11:26 horas del 05-02-2016. </w:t>
      </w:r>
    </w:p>
  </w:footnote>
  <w:footnote w:id="185">
    <w:p w14:paraId="0E3AE0D4" w14:textId="77777777" w:rsidR="00E87246" w:rsidRPr="0045124B" w:rsidRDefault="00E87246" w:rsidP="0045124B">
      <w:pPr>
        <w:autoSpaceDE w:val="0"/>
        <w:autoSpaceDN w:val="0"/>
        <w:adjustRightInd w:val="0"/>
        <w:spacing w:after="0" w:line="240" w:lineRule="auto"/>
        <w:jc w:val="both"/>
        <w:rPr>
          <w:rFonts w:ascii="Palatino Linotype" w:hAnsi="Palatino Linotype"/>
          <w:sz w:val="18"/>
          <w:szCs w:val="18"/>
          <w:lang w:val="es-MX"/>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MX"/>
        </w:rPr>
        <w:t>Sala Primera de la Corte Suprema de Justicia, N°</w:t>
      </w:r>
      <w:r w:rsidRPr="0045124B">
        <w:rPr>
          <w:rFonts w:ascii="Palatino Linotype" w:hAnsi="Palatino Linotype" w:cs="ArialNegrita"/>
          <w:sz w:val="18"/>
          <w:szCs w:val="18"/>
          <w:lang w:val="es-MX" w:eastAsia="es-MX"/>
        </w:rPr>
        <w:t xml:space="preserve"> 1278-A-S1-2016 de las 15:57 horas del 02-12-2016.</w:t>
      </w:r>
    </w:p>
  </w:footnote>
  <w:footnote w:id="186">
    <w:p w14:paraId="03CFD56C" w14:textId="77777777" w:rsidR="00E87246" w:rsidRPr="0045124B" w:rsidRDefault="00E87246" w:rsidP="0045124B">
      <w:pPr>
        <w:pStyle w:val="Textonotapie"/>
        <w:jc w:val="both"/>
        <w:rPr>
          <w:rFonts w:ascii="Palatino Linotype" w:hAnsi="Palatino Linotype"/>
          <w:sz w:val="18"/>
          <w:szCs w:val="18"/>
          <w:lang w:val="es-MX"/>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MX"/>
        </w:rPr>
        <w:t xml:space="preserve">Sala Primera de la Corte Suprema de Justicia, N°223-A-S1-2017 de las 11:00 del 02-03-2017. </w:t>
      </w:r>
    </w:p>
  </w:footnote>
  <w:footnote w:id="187">
    <w:p w14:paraId="573B50BF" w14:textId="77777777" w:rsidR="00E87246" w:rsidRPr="0045124B" w:rsidRDefault="00E87246" w:rsidP="0045124B">
      <w:pPr>
        <w:pStyle w:val="Textonotapie"/>
        <w:jc w:val="both"/>
        <w:rPr>
          <w:rFonts w:ascii="Palatino Linotype" w:hAnsi="Palatino Linotype"/>
          <w:sz w:val="18"/>
          <w:szCs w:val="18"/>
          <w:lang w:val="es-MX"/>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Tribunal de Apelaciones de lo Contencioso Administrativo. Sección I. </w:t>
      </w:r>
      <w:r w:rsidRPr="0045124B">
        <w:rPr>
          <w:rFonts w:ascii="Palatino Linotype" w:hAnsi="Palatino Linotype"/>
          <w:sz w:val="18"/>
          <w:szCs w:val="18"/>
          <w:lang w:val="es-MX"/>
        </w:rPr>
        <w:t xml:space="preserve">N° 574-2011 de las 11:00 horas del 08-12-2011 y N°057-2013 de las 15:00 horas del 30-01-2013. </w:t>
      </w:r>
    </w:p>
  </w:footnote>
  <w:footnote w:id="188">
    <w:p w14:paraId="1995984A" w14:textId="77777777" w:rsidR="00E87246" w:rsidRPr="0045124B" w:rsidRDefault="00E87246" w:rsidP="0045124B">
      <w:pPr>
        <w:pStyle w:val="Textonotapie"/>
        <w:jc w:val="both"/>
        <w:rPr>
          <w:rFonts w:ascii="Palatino Linotype" w:hAnsi="Palatino Linotype"/>
          <w:sz w:val="18"/>
          <w:szCs w:val="18"/>
          <w:lang w:val="es-MX"/>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MX"/>
        </w:rPr>
        <w:t>En ese sentido López. Op cit. P. 427-429.</w:t>
      </w:r>
    </w:p>
  </w:footnote>
  <w:footnote w:id="189">
    <w:p w14:paraId="1D5E2076" w14:textId="77777777" w:rsidR="00E87246" w:rsidRPr="0045124B" w:rsidRDefault="00E87246" w:rsidP="0045124B">
      <w:pPr>
        <w:pStyle w:val="Textonotapie"/>
        <w:jc w:val="both"/>
        <w:rPr>
          <w:rFonts w:ascii="Palatino Linotype" w:hAnsi="Palatino Linotype" w:cs="Tahoma"/>
          <w:sz w:val="18"/>
          <w:szCs w:val="18"/>
          <w:lang w:val="es-ES"/>
        </w:rPr>
      </w:pPr>
      <w:r w:rsidRPr="0045124B">
        <w:rPr>
          <w:rStyle w:val="Refdenotaalpie"/>
          <w:rFonts w:ascii="Palatino Linotype" w:hAnsi="Palatino Linotype" w:cs="Tahoma"/>
          <w:sz w:val="18"/>
          <w:szCs w:val="18"/>
        </w:rPr>
        <w:footnoteRef/>
      </w:r>
      <w:r w:rsidRPr="0045124B">
        <w:rPr>
          <w:rFonts w:ascii="Palatino Linotype" w:hAnsi="Palatino Linotype" w:cs="Tahoma"/>
          <w:sz w:val="18"/>
          <w:szCs w:val="18"/>
          <w:lang w:val="es-ES"/>
        </w:rPr>
        <w:t xml:space="preserve"> Juez Contencioso Administrativo, docente Universitario Universidad de Costa Rica, Universidad Internacional de las Américas. </w:t>
      </w:r>
    </w:p>
  </w:footnote>
  <w:footnote w:id="190">
    <w:p w14:paraId="3F1002DE" w14:textId="77777777" w:rsidR="00E87246" w:rsidRPr="0045124B" w:rsidRDefault="00E87246" w:rsidP="0045124B">
      <w:pPr>
        <w:pStyle w:val="Textonotapie"/>
        <w:jc w:val="both"/>
        <w:rPr>
          <w:rFonts w:ascii="Palatino Linotype" w:hAnsi="Palatino Linotype" w:cs="Tahoma"/>
          <w:sz w:val="18"/>
          <w:szCs w:val="18"/>
          <w:lang w:val="es-ES"/>
        </w:rPr>
      </w:pPr>
      <w:r w:rsidRPr="0045124B">
        <w:rPr>
          <w:rStyle w:val="Refdenotaalpie"/>
          <w:rFonts w:ascii="Palatino Linotype" w:hAnsi="Palatino Linotype" w:cs="Tahoma"/>
          <w:sz w:val="18"/>
          <w:szCs w:val="18"/>
        </w:rPr>
        <w:footnoteRef/>
      </w:r>
      <w:r w:rsidRPr="0045124B">
        <w:rPr>
          <w:rStyle w:val="Refdenotaalpie"/>
          <w:rFonts w:ascii="Palatino Linotype" w:hAnsi="Palatino Linotype" w:cs="Tahoma"/>
          <w:sz w:val="18"/>
          <w:szCs w:val="18"/>
          <w:lang w:val="es-ES"/>
        </w:rPr>
        <w:tab/>
      </w:r>
      <w:r w:rsidRPr="0045124B">
        <w:rPr>
          <w:rFonts w:ascii="Palatino Linotype" w:hAnsi="Palatino Linotype" w:cs="Tahoma"/>
          <w:sz w:val="18"/>
          <w:szCs w:val="18"/>
          <w:lang w:val="es-ES"/>
        </w:rPr>
        <w:t xml:space="preserve"> Art. 85. 2) En el curso de estas, deberá promoverse el contradictorio como instrumento para la verificación de la verdad real de los hechos y velar por la concentración de los distintos actos procesales que corresponda celebrar.</w:t>
      </w:r>
    </w:p>
  </w:footnote>
  <w:footnote w:id="191">
    <w:p w14:paraId="644ADABC" w14:textId="77777777" w:rsidR="00E87246" w:rsidRPr="0045124B" w:rsidRDefault="00E87246" w:rsidP="0045124B">
      <w:pPr>
        <w:autoSpaceDE w:val="0"/>
        <w:autoSpaceDN w:val="0"/>
        <w:adjustRightInd w:val="0"/>
        <w:spacing w:after="0" w:line="240" w:lineRule="auto"/>
        <w:jc w:val="both"/>
        <w:rPr>
          <w:rFonts w:ascii="Palatino Linotype" w:hAnsi="Palatino Linotype" w:cs="Tahoma"/>
          <w:sz w:val="18"/>
          <w:szCs w:val="18"/>
        </w:rPr>
      </w:pPr>
      <w:r w:rsidRPr="0045124B">
        <w:rPr>
          <w:rStyle w:val="Refdenotaalpie"/>
          <w:rFonts w:ascii="Palatino Linotype" w:hAnsi="Palatino Linotype" w:cs="Tahoma"/>
          <w:sz w:val="18"/>
          <w:szCs w:val="18"/>
        </w:rPr>
        <w:footnoteRef/>
      </w:r>
      <w:r w:rsidRPr="0045124B">
        <w:rPr>
          <w:rFonts w:ascii="Palatino Linotype" w:hAnsi="Palatino Linotype" w:cs="Tahoma"/>
          <w:sz w:val="18"/>
          <w:szCs w:val="18"/>
        </w:rPr>
        <w:t xml:space="preserve"> Indica el precepto 52 mencionado: </w:t>
      </w:r>
      <w:r w:rsidRPr="0045124B">
        <w:rPr>
          <w:rFonts w:ascii="Palatino Linotype" w:hAnsi="Palatino Linotype" w:cs="Tahoma"/>
          <w:i/>
          <w:sz w:val="18"/>
          <w:szCs w:val="18"/>
        </w:rPr>
        <w:t>“</w:t>
      </w:r>
      <w:r w:rsidRPr="0045124B">
        <w:rPr>
          <w:rFonts w:ascii="Palatino Linotype" w:hAnsi="Palatino Linotype" w:cs="Tahoma"/>
          <w:b/>
          <w:bCs/>
          <w:i/>
          <w:sz w:val="18"/>
          <w:szCs w:val="18"/>
        </w:rPr>
        <w:t xml:space="preserve">ARTÍCULO 52.- 1) </w:t>
      </w:r>
      <w:r w:rsidRPr="0045124B">
        <w:rPr>
          <w:rFonts w:ascii="Palatino Linotype" w:hAnsi="Palatino Linotype" w:cs="Tahoma"/>
          <w:i/>
          <w:sz w:val="18"/>
          <w:szCs w:val="18"/>
        </w:rPr>
        <w:t xml:space="preserve">La Administración accionante, cuando así corresponda jurídicamente, deberá aportar la copia del expediente administrativo junto con la demanda, sin lo cual no se le dará curso. </w:t>
      </w:r>
      <w:r w:rsidRPr="0045124B">
        <w:rPr>
          <w:rFonts w:ascii="Palatino Linotype" w:hAnsi="Palatino Linotype" w:cs="Tahoma"/>
          <w:b/>
          <w:bCs/>
          <w:i/>
          <w:sz w:val="18"/>
          <w:szCs w:val="18"/>
        </w:rPr>
        <w:t xml:space="preserve">2) </w:t>
      </w:r>
      <w:r w:rsidRPr="0045124B">
        <w:rPr>
          <w:rFonts w:ascii="Palatino Linotype" w:hAnsi="Palatino Linotype" w:cs="Tahoma"/>
          <w:i/>
          <w:sz w:val="18"/>
          <w:szCs w:val="18"/>
        </w:rPr>
        <w:t>En los casos en que la Administración sea demandada, la copia del expediente administrativo será remitida al tribunal, con la contestación de la demanda.</w:t>
      </w:r>
    </w:p>
  </w:footnote>
  <w:footnote w:id="192">
    <w:p w14:paraId="26B64134" w14:textId="77777777" w:rsidR="00E87246" w:rsidRPr="0045124B" w:rsidRDefault="00E87246" w:rsidP="0045124B">
      <w:pPr>
        <w:pStyle w:val="Textonotapie"/>
        <w:jc w:val="both"/>
        <w:rPr>
          <w:rFonts w:ascii="Palatino Linotype" w:hAnsi="Palatino Linotype" w:cs="Tahoma"/>
          <w:sz w:val="18"/>
          <w:szCs w:val="18"/>
          <w:lang w:val="es-ES"/>
        </w:rPr>
      </w:pPr>
      <w:r w:rsidRPr="0045124B">
        <w:rPr>
          <w:rStyle w:val="Refdenotaalpie"/>
          <w:rFonts w:ascii="Palatino Linotype" w:hAnsi="Palatino Linotype" w:cs="Tahoma"/>
          <w:sz w:val="18"/>
          <w:szCs w:val="18"/>
        </w:rPr>
        <w:footnoteRef/>
      </w:r>
      <w:r w:rsidRPr="0045124B">
        <w:rPr>
          <w:rFonts w:ascii="Palatino Linotype" w:hAnsi="Palatino Linotype" w:cs="Tahoma"/>
          <w:sz w:val="18"/>
          <w:szCs w:val="18"/>
          <w:lang w:val="es-ES"/>
        </w:rPr>
        <w:t xml:space="preserve"> En el fallo citado, sobre la carga de la prueba en materia tributaria, ese Tribunal señaló en lo medular: “</w:t>
      </w:r>
      <w:r w:rsidRPr="0045124B">
        <w:rPr>
          <w:rFonts w:ascii="Palatino Linotype" w:eastAsia="Times New Roman" w:hAnsi="Palatino Linotype" w:cs="Tahoma"/>
          <w:b/>
          <w:bCs/>
          <w:i/>
          <w:sz w:val="18"/>
          <w:szCs w:val="18"/>
          <w:lang w:val="es-ES"/>
        </w:rPr>
        <w:t xml:space="preserve">VII.- </w:t>
      </w:r>
      <w:r w:rsidRPr="0045124B">
        <w:rPr>
          <w:rFonts w:ascii="Palatino Linotype" w:eastAsia="Times New Roman" w:hAnsi="Palatino Linotype" w:cs="Tahoma"/>
          <w:i/>
          <w:sz w:val="18"/>
          <w:szCs w:val="18"/>
          <w:lang w:val="es-ES"/>
        </w:rPr>
        <w:t xml:space="preserve">Para efectos de lo anterior, ha de tenerse en claro, cómo aplica la dinámica probatoria en materia tributaria. En este sentido, atrás ha quedado ya el alegato de la máxima in dubio pro fisco, que en si visión clásica llevaba a concluir que, en la materia fiscal, la carga de la prueba recaía, en todo caso, sobre el contribuyente. Es claro que tal posición no encuentra sustento en las normas que regulan esta materia, en la medida en que atenta contra la carga dinámica de la prueba. En menesteres tributarios, el numeral 19 del Reglamento General de Gestión Fiscalización y Recaudación Tributaria señala que la carga probatoria incumbe al Fisco en lo que atañe a los hechos constitutivos de la obligación tributaria material y al sujeto pasivo respecto de los hechos impeditivos, modificativos o extintivos de ese deber contributivo. Este tratamiento, de manera reciente, se ha reconocido legalmente, mediante la reforma realizada por la Ley de Fortalecimiento de la Gestión Tributaria, No. 9069, entre otras normas, al numeral 140 del Código Tributario, incorporando un párrafo segundo en el siguiente sentido: </w:t>
      </w:r>
      <w:r w:rsidRPr="0045124B">
        <w:rPr>
          <w:rFonts w:ascii="Palatino Linotype" w:eastAsia="Times New Roman" w:hAnsi="Palatino Linotype" w:cs="Tahoma"/>
          <w:i/>
          <w:iCs/>
          <w:sz w:val="18"/>
          <w:szCs w:val="18"/>
          <w:lang w:val="es-ES"/>
        </w:rPr>
        <w:t>"La carga de la prueba incumbe a la Administración Tributaria respecto de los hechos constitutivos de la obligación tributaria material, mientras que incumbe al contribuyente respecto de los hechos impeditivos, modificativos o extintivos de la obligación tributaria. En ese sentido, corresponderá a este último, según el caso, demostrar los hechos o actos que configuren sus costos, gastos, pasivos, créditos fiscales, exenciones, no sujeciones, descuentos y, en general, los beneficios fiscales que alega existentes en su favor."</w:t>
      </w:r>
      <w:r w:rsidRPr="0045124B">
        <w:rPr>
          <w:rFonts w:ascii="Palatino Linotype" w:eastAsia="Times New Roman" w:hAnsi="Palatino Linotype" w:cs="Tahoma"/>
          <w:i/>
          <w:sz w:val="18"/>
          <w:szCs w:val="18"/>
          <w:lang w:val="es-ES"/>
        </w:rPr>
        <w:t xml:space="preserve"> Por su parte, ante la remisión general que en materia de procedimiento hacen los ordinales 77 y 155 del Código de Normas y Procedimientos Tributarios a la Ley General de la Administración Pública y el Código Procesal Civil, resultan aplicable el precepto 317 de ese último cuerpo normativo, así como de los ordinales 214, 221, 297, 298 de la citada Ley No. 6227/78 y de modo más reciente, lo preceptuado por los cánones 58, 82 y 85 del Código Procesal Contencioso Administrativo. Esto implica en cada caso, un análisis de la atribución del deber demostrativo, que no en todos los conflictos ha de trasladarse al sujeto pasivo. Dentro de un marco casuístico (como todo en el derecho), la carga probatoria debe distribuirse entre las partes en conflicto, de manera tal que el denominado “</w:t>
      </w:r>
      <w:r w:rsidRPr="0045124B">
        <w:rPr>
          <w:rFonts w:ascii="Palatino Linotype" w:eastAsia="Times New Roman" w:hAnsi="Palatino Linotype" w:cs="Tahoma"/>
          <w:i/>
          <w:iCs/>
          <w:sz w:val="18"/>
          <w:szCs w:val="18"/>
          <w:lang w:val="es-ES"/>
        </w:rPr>
        <w:t>onus probandi”</w:t>
      </w:r>
      <w:r w:rsidRPr="0045124B">
        <w:rPr>
          <w:rFonts w:ascii="Palatino Linotype" w:eastAsia="Times New Roman" w:hAnsi="Palatino Linotype" w:cs="Tahoma"/>
          <w:i/>
          <w:sz w:val="18"/>
          <w:szCs w:val="18"/>
          <w:lang w:val="es-ES"/>
        </w:rPr>
        <w:t>, corresponde a quien se encuentre en posibilidad más próxima y en mejores condiciones para ofrecer las probanzas al procedimiento. En este sentido puede verse el fallo 212 de las 08:15 horas del 25 de marzo del 2008 y número 300 de las 11:25 horas del 26 de marzo del 2009, ambos de la Sala Primera de la Corte Suprema de Justicia. Ergo, no debe asignarse el deber de acreditación en todos los casos al contribuyente, cuando sea la Administración quien está en posición más favorable para aportar los elementos que permitan determinar un aspecto fáctico relevante. (…)”</w:t>
      </w:r>
    </w:p>
  </w:footnote>
  <w:footnote w:id="193">
    <w:p w14:paraId="38F038BD" w14:textId="77777777" w:rsidR="00E87246" w:rsidRPr="0045124B" w:rsidRDefault="00E87246" w:rsidP="0045124B">
      <w:pPr>
        <w:pStyle w:val="Textonotapie"/>
        <w:jc w:val="both"/>
        <w:rPr>
          <w:rFonts w:ascii="Palatino Linotype" w:hAnsi="Palatino Linotype" w:cs="Tahoma"/>
          <w:sz w:val="18"/>
          <w:szCs w:val="18"/>
          <w:lang w:val="es-ES"/>
        </w:rPr>
      </w:pPr>
      <w:r w:rsidRPr="0045124B">
        <w:rPr>
          <w:rStyle w:val="Refdenotaalpie"/>
          <w:rFonts w:ascii="Palatino Linotype" w:hAnsi="Palatino Linotype" w:cs="Tahoma"/>
          <w:sz w:val="18"/>
          <w:szCs w:val="18"/>
        </w:rPr>
        <w:footnoteRef/>
      </w:r>
      <w:r w:rsidRPr="0045124B">
        <w:rPr>
          <w:rFonts w:ascii="Palatino Linotype" w:hAnsi="Palatino Linotype" w:cs="Tahoma"/>
          <w:sz w:val="18"/>
          <w:szCs w:val="18"/>
          <w:lang w:val="es-ES"/>
        </w:rPr>
        <w:t xml:space="preserve"> Entendemos las bondades y finalidad de la liberación en costas cuando la Administración Pública cumple con la conducta omitida dentro de los plazos señalados en los ordinales 35 y 118 del CPCA; sin embargo, a nuestro modo de ver, constituye un premio indebido, a la postre, una ventaja injustificada para la Administración. Si bien se mira, ciertamente se corrige la omisión, formal o material, pero en todo caso, ese cumplimiento se hace dentro de una causa judicial a la que el administrado afectado con la dejadez del ente público, se ha visto forzado a interponer para obtener la tutela de su situación jurídica mediante la satisfacción de la prestación. La preexistencia de un deber jurídico de actuar y su desatención, que obligan a activar el proceso, al cual, solamente puede accederse mediante patrocinio letrado, supone que el administrado debe afrontar gastos propios de la representación judicial, a fin de que se corrija la disfunción administrativa. De ahí que la liberación de costas constituye un premio indebido a la Administración por el desconocimiento o negación de las acciones que ha debido emprender una persona para que se corrija a su favor una omisión. </w:t>
      </w:r>
    </w:p>
  </w:footnote>
  <w:footnote w:id="194">
    <w:p w14:paraId="72BD841F" w14:textId="77777777" w:rsidR="00E87246" w:rsidRPr="0045124B" w:rsidRDefault="00E87246" w:rsidP="0045124B">
      <w:pPr>
        <w:pStyle w:val="Textonotapie"/>
        <w:jc w:val="both"/>
        <w:rPr>
          <w:rFonts w:ascii="Palatino Linotype" w:hAnsi="Palatino Linotype" w:cs="Tahoma"/>
          <w:sz w:val="18"/>
          <w:szCs w:val="18"/>
          <w:lang w:val="es-ES"/>
        </w:rPr>
      </w:pPr>
      <w:r w:rsidRPr="0045124B">
        <w:rPr>
          <w:rStyle w:val="Refdenotaalpie"/>
          <w:rFonts w:ascii="Palatino Linotype" w:hAnsi="Palatino Linotype" w:cs="Tahoma"/>
          <w:sz w:val="18"/>
          <w:szCs w:val="18"/>
        </w:rPr>
        <w:footnoteRef/>
      </w:r>
      <w:r w:rsidRPr="0045124B">
        <w:rPr>
          <w:rFonts w:ascii="Palatino Linotype" w:hAnsi="Palatino Linotype" w:cs="Tahoma"/>
          <w:sz w:val="18"/>
          <w:szCs w:val="18"/>
          <w:lang w:val="es-ES"/>
        </w:rPr>
        <w:t xml:space="preserve"> El citado precepto permite que la sentencia condene en abstracto a la Administración accionada a indemnizar una eventual lesión cuando pese a no constar su existencia ni su cuantía, se estime que es consecuencia de la conducta administrativa o relación jurídico-administrativa objeto de la demanda. </w:t>
      </w:r>
    </w:p>
  </w:footnote>
  <w:footnote w:id="195">
    <w:p w14:paraId="6B8294D1" w14:textId="77777777" w:rsidR="00E87246" w:rsidRPr="0045124B" w:rsidRDefault="00E87246" w:rsidP="0045124B">
      <w:pPr>
        <w:pStyle w:val="Textonotapie"/>
        <w:jc w:val="both"/>
        <w:rPr>
          <w:rFonts w:ascii="Palatino Linotype" w:hAnsi="Palatino Linotype" w:cs="Tahoma"/>
          <w:sz w:val="18"/>
          <w:szCs w:val="18"/>
          <w:lang w:val="es-ES"/>
        </w:rPr>
      </w:pPr>
      <w:r w:rsidRPr="0045124B">
        <w:rPr>
          <w:rStyle w:val="Refdenotaalpie"/>
          <w:rFonts w:ascii="Palatino Linotype" w:hAnsi="Palatino Linotype" w:cs="Tahoma"/>
          <w:sz w:val="18"/>
          <w:szCs w:val="18"/>
        </w:rPr>
        <w:footnoteRef/>
      </w:r>
      <w:r w:rsidRPr="0045124B">
        <w:rPr>
          <w:rFonts w:ascii="Palatino Linotype" w:hAnsi="Palatino Linotype" w:cs="Tahoma"/>
          <w:sz w:val="18"/>
          <w:szCs w:val="18"/>
          <w:lang w:val="es-ES"/>
        </w:rPr>
        <w:t xml:space="preserve"> De conformidad con el artículo 50.2 del CPCA, la prueba documental ofrecida luego de la demanda y su contestación, así como de la réplica, sobre su admisibilidad se resuelve en sentencia. Se trata de un análisis de admisibilidad conferido al Tribunal Sentenciador, de manera excepcional. De igual modo, la praxis cotidiana del proceso contencioso, ha dado pie a que, en determinados supuestos, a fin de corregir eventuales deficiencias procesales, se haya posibilitado la admisión de probanzas dentro de la fase de juicio oral y público, tratamiento que ha de ser excepcional y cauteloso.  </w:t>
      </w:r>
    </w:p>
  </w:footnote>
  <w:footnote w:id="196">
    <w:p w14:paraId="0B940400" w14:textId="77777777" w:rsidR="00E87246" w:rsidRPr="0045124B" w:rsidRDefault="00E87246" w:rsidP="0045124B">
      <w:pPr>
        <w:spacing w:after="0" w:line="240" w:lineRule="auto"/>
        <w:jc w:val="both"/>
        <w:rPr>
          <w:rFonts w:ascii="Palatino Linotype" w:eastAsia="Times New Roman" w:hAnsi="Palatino Linotype" w:cs="Tahoma"/>
          <w:i/>
          <w:sz w:val="18"/>
          <w:szCs w:val="18"/>
          <w:lang w:val="es-CR"/>
        </w:rPr>
      </w:pPr>
      <w:r w:rsidRPr="0045124B">
        <w:rPr>
          <w:rStyle w:val="Refdenotaalpie"/>
          <w:rFonts w:ascii="Palatino Linotype" w:hAnsi="Palatino Linotype" w:cs="Tahoma"/>
          <w:sz w:val="18"/>
          <w:szCs w:val="18"/>
        </w:rPr>
        <w:footnoteRef/>
      </w:r>
      <w:r w:rsidRPr="0045124B">
        <w:rPr>
          <w:rFonts w:ascii="Palatino Linotype" w:hAnsi="Palatino Linotype" w:cs="Tahoma"/>
          <w:sz w:val="18"/>
          <w:szCs w:val="18"/>
        </w:rPr>
        <w:t xml:space="preserve"> En este sentido puede verse de este autor el ensayo titulado “</w:t>
      </w:r>
      <w:r w:rsidRPr="0045124B">
        <w:rPr>
          <w:rFonts w:ascii="Palatino Linotype" w:eastAsia="Times New Roman" w:hAnsi="Palatino Linotype" w:cs="Tahoma"/>
          <w:b/>
          <w:i/>
          <w:sz w:val="18"/>
          <w:szCs w:val="18"/>
          <w:lang w:val="es-CR"/>
        </w:rPr>
        <w:t xml:space="preserve">ALGUNOS DILEMAS PRÁCTICOS EN LA DINÁMICA PROBATORIA DEL PROCESO CONTENCIOSO ADMINISTRATIVO Y CIVIL DE HACIENDA. Un enfoque crítico. “, </w:t>
      </w:r>
      <w:r w:rsidRPr="0045124B">
        <w:rPr>
          <w:rFonts w:ascii="Palatino Linotype" w:eastAsia="Times New Roman" w:hAnsi="Palatino Linotype" w:cs="Tahoma"/>
          <w:i/>
          <w:sz w:val="18"/>
          <w:szCs w:val="18"/>
          <w:lang w:val="es-CR"/>
        </w:rPr>
        <w:t xml:space="preserve">en concreto ítem C.1. </w:t>
      </w:r>
      <w:r w:rsidRPr="0045124B">
        <w:rPr>
          <w:rFonts w:ascii="Palatino Linotype" w:eastAsia="Times New Roman" w:hAnsi="Palatino Linotype" w:cs="Tahoma"/>
          <w:color w:val="000000"/>
          <w:sz w:val="18"/>
          <w:szCs w:val="18"/>
          <w:lang w:val="es-CR"/>
        </w:rPr>
        <w:t xml:space="preserve">DILEMA 1. La sanción procesal de la contestación afirmativa de los hechos., dentro de las Memorias VII Congreso Internacional de Derecho Procesal, 2016, organizado por el Instituto Costarricense de Derecho Procesal Científico, pp. 393 y ss.  </w:t>
      </w:r>
    </w:p>
    <w:p w14:paraId="486A2108" w14:textId="77777777" w:rsidR="00E87246" w:rsidRPr="0045124B" w:rsidRDefault="00E87246" w:rsidP="0045124B">
      <w:pPr>
        <w:pStyle w:val="Textonotapie"/>
        <w:jc w:val="both"/>
        <w:rPr>
          <w:rFonts w:ascii="Palatino Linotype" w:hAnsi="Palatino Linotype" w:cs="Tahoma"/>
          <w:sz w:val="18"/>
          <w:szCs w:val="18"/>
          <w:lang w:val="es-ES"/>
        </w:rPr>
      </w:pPr>
    </w:p>
  </w:footnote>
  <w:footnote w:id="197">
    <w:p w14:paraId="2A82101E" w14:textId="77777777" w:rsidR="00E87246" w:rsidRPr="0045124B" w:rsidRDefault="00E87246" w:rsidP="0045124B">
      <w:pPr>
        <w:autoSpaceDE w:val="0"/>
        <w:autoSpaceDN w:val="0"/>
        <w:adjustRightInd w:val="0"/>
        <w:spacing w:after="0" w:line="240" w:lineRule="auto"/>
        <w:jc w:val="both"/>
        <w:rPr>
          <w:rFonts w:ascii="Palatino Linotype" w:hAnsi="Palatino Linotype" w:cs="Tahoma"/>
          <w:sz w:val="18"/>
          <w:szCs w:val="18"/>
        </w:rPr>
      </w:pPr>
      <w:r w:rsidRPr="0045124B">
        <w:rPr>
          <w:rStyle w:val="Refdenotaalpie"/>
          <w:rFonts w:ascii="Palatino Linotype" w:hAnsi="Palatino Linotype" w:cs="Tahoma"/>
          <w:sz w:val="18"/>
          <w:szCs w:val="18"/>
        </w:rPr>
        <w:footnoteRef/>
      </w:r>
      <w:r w:rsidRPr="0045124B">
        <w:rPr>
          <w:rFonts w:ascii="Palatino Linotype" w:hAnsi="Palatino Linotype" w:cs="Tahoma"/>
          <w:sz w:val="18"/>
          <w:szCs w:val="18"/>
        </w:rPr>
        <w:t xml:space="preserve"> Indica el inciso tercero del citado ordinal 90 del CPCA: “</w:t>
      </w:r>
      <w:r w:rsidRPr="0045124B">
        <w:rPr>
          <w:rFonts w:ascii="Palatino Linotype" w:hAnsi="Palatino Linotype" w:cs="Tahoma"/>
          <w:b/>
          <w:bCs/>
          <w:i/>
          <w:sz w:val="18"/>
          <w:szCs w:val="18"/>
        </w:rPr>
        <w:t xml:space="preserve">3) </w:t>
      </w:r>
      <w:r w:rsidRPr="0045124B">
        <w:rPr>
          <w:rFonts w:ascii="Palatino Linotype" w:hAnsi="Palatino Linotype" w:cs="Tahoma"/>
          <w:i/>
          <w:sz w:val="18"/>
          <w:szCs w:val="18"/>
        </w:rPr>
        <w:t>También se resolverá la admisión de los elementos probatorios ofrecidos, cuando así proceda, se rechazarán los que sean evidentemente impertinentes o inconducentes, y se dispondrá el señalamiento y diligenciamiento de los que correspondan.</w:t>
      </w:r>
      <w:r w:rsidRPr="0045124B">
        <w:rPr>
          <w:rFonts w:ascii="Palatino Linotype" w:hAnsi="Palatino Linotype" w:cs="Tahoma"/>
          <w:sz w:val="18"/>
          <w:szCs w:val="18"/>
        </w:rPr>
        <w:t>”</w:t>
      </w:r>
    </w:p>
  </w:footnote>
  <w:footnote w:id="198">
    <w:p w14:paraId="5AB10B11" w14:textId="77777777" w:rsidR="00E87246" w:rsidRPr="0045124B" w:rsidRDefault="00E87246" w:rsidP="0045124B">
      <w:pPr>
        <w:pStyle w:val="Textonotapie"/>
        <w:jc w:val="both"/>
        <w:rPr>
          <w:rFonts w:ascii="Palatino Linotype" w:hAnsi="Palatino Linotype" w:cs="Tahoma"/>
          <w:sz w:val="18"/>
          <w:szCs w:val="18"/>
          <w:lang w:val="es-ES"/>
        </w:rPr>
      </w:pPr>
      <w:r w:rsidRPr="0045124B">
        <w:rPr>
          <w:rStyle w:val="Refdenotaalpie"/>
          <w:rFonts w:ascii="Palatino Linotype" w:hAnsi="Palatino Linotype" w:cs="Tahoma"/>
          <w:sz w:val="18"/>
          <w:szCs w:val="18"/>
        </w:rPr>
        <w:footnoteRef/>
      </w:r>
      <w:r w:rsidRPr="0045124B">
        <w:rPr>
          <w:rFonts w:ascii="Palatino Linotype" w:hAnsi="Palatino Linotype" w:cs="Tahoma"/>
          <w:sz w:val="18"/>
          <w:szCs w:val="18"/>
          <w:lang w:val="es-ES"/>
        </w:rPr>
        <w:t xml:space="preserve"> Sobre este tema, entre muchas, en la sentencia No. 4116-2010 de las 14 horas 51 minutos del 01 de noviembre del 2010, de la Sección VI del Tribunal Contencioso Administrativo, se expuso: </w:t>
      </w:r>
    </w:p>
    <w:p w14:paraId="55025F8B" w14:textId="77777777" w:rsidR="00E87246" w:rsidRPr="0045124B" w:rsidRDefault="00E87246" w:rsidP="0045124B">
      <w:pPr>
        <w:pStyle w:val="Textonotapie"/>
        <w:jc w:val="both"/>
        <w:rPr>
          <w:rFonts w:ascii="Palatino Linotype" w:hAnsi="Palatino Linotype" w:cs="Tahoma"/>
          <w:sz w:val="18"/>
          <w:szCs w:val="18"/>
          <w:lang w:val="es-ES"/>
        </w:rPr>
      </w:pPr>
      <w:r w:rsidRPr="0045124B">
        <w:rPr>
          <w:rFonts w:ascii="Palatino Linotype" w:hAnsi="Palatino Linotype" w:cs="Tahoma"/>
          <w:sz w:val="18"/>
          <w:szCs w:val="18"/>
          <w:lang w:val="es-ES"/>
        </w:rPr>
        <w:t>“</w:t>
      </w:r>
      <w:r w:rsidRPr="0045124B">
        <w:rPr>
          <w:rFonts w:ascii="Palatino Linotype" w:eastAsia="Times New Roman" w:hAnsi="Palatino Linotype" w:cs="Tahoma"/>
          <w:b/>
          <w:i/>
          <w:color w:val="000000"/>
          <w:sz w:val="18"/>
          <w:szCs w:val="18"/>
        </w:rPr>
        <w:t xml:space="preserve">I.- Sobre los efectos de la rebeldía de la Municipalidad de Aguirre. </w:t>
      </w:r>
      <w:r w:rsidRPr="0045124B">
        <w:rPr>
          <w:rFonts w:ascii="Palatino Linotype" w:eastAsia="Times New Roman" w:hAnsi="Palatino Linotype" w:cs="Tahoma"/>
          <w:b/>
          <w:i/>
          <w:color w:val="000000"/>
          <w:spacing w:val="-3"/>
          <w:sz w:val="18"/>
          <w:szCs w:val="18"/>
          <w:lang w:val="es-ES"/>
        </w:rPr>
        <w:t>Deber del Tribunal de analizar el derecho y pretensión del actor pese a declaratoria de rebeldía.</w:t>
      </w:r>
      <w:r w:rsidRPr="0045124B">
        <w:rPr>
          <w:rFonts w:ascii="Palatino Linotype" w:eastAsia="Times New Roman" w:hAnsi="Palatino Linotype" w:cs="Tahoma"/>
          <w:i/>
          <w:color w:val="000000"/>
          <w:spacing w:val="-3"/>
          <w:sz w:val="18"/>
          <w:szCs w:val="18"/>
          <w:lang w:val="es-ES"/>
        </w:rPr>
        <w:t xml:space="preserve"> </w:t>
      </w:r>
      <w:r w:rsidRPr="0045124B">
        <w:rPr>
          <w:rFonts w:ascii="Palatino Linotype" w:eastAsia="Times New Roman" w:hAnsi="Palatino Linotype" w:cs="Tahoma"/>
          <w:i/>
          <w:color w:val="000000"/>
          <w:spacing w:val="-3"/>
          <w:sz w:val="18"/>
          <w:szCs w:val="18"/>
        </w:rPr>
        <w:t xml:space="preserve">Es importante, de previo al análisis de fondo de la presente resolución, establecer que este Tribunal, como órgano jurisdiccional qué es, tiene la obligación de revisar, analizar y de determinar si el derecho y las pretensiones alegadas por la parte actora tienen sustento jurídico, aunque exista, como en el presente caso, una declaratoria de rebeldía merced de la falta de contestación de la demanda por parte de la Municipalidad de Aguirre. </w:t>
      </w:r>
      <w:r w:rsidRPr="0045124B">
        <w:rPr>
          <w:rFonts w:ascii="Palatino Linotype" w:hAnsi="Palatino Linotype" w:cs="Tahoma"/>
          <w:i/>
          <w:sz w:val="18"/>
          <w:szCs w:val="18"/>
          <w:lang w:val="es-ES"/>
        </w:rPr>
        <w:t xml:space="preserve"> </w:t>
      </w:r>
      <w:r w:rsidRPr="0045124B">
        <w:rPr>
          <w:rFonts w:ascii="Palatino Linotype" w:eastAsia="Times New Roman" w:hAnsi="Palatino Linotype" w:cs="Tahoma"/>
          <w:i/>
          <w:color w:val="000000"/>
          <w:spacing w:val="-3"/>
          <w:sz w:val="18"/>
          <w:szCs w:val="18"/>
        </w:rPr>
        <w:t xml:space="preserve">La jurisprudencia de la Sala Primera de la Corte Suprema de Justicia, ha indicado, la declaratoria de rebeldía no enerva la potestad del órgano jurisdiccional de recabar prueba y verificar el cuadro fáctico, entre otros aspectos relevantes. Sobre el particular puede verse el fallo número 991-F-2004 de las quince horas veinte minutos del diecisiete de noviembre del año dos mil cuatro. En consecuencia, es claro que, pese a dicha figura, el órgano jurisdiccional, puede y debe tomar su resolución con base en los elementos probatorios que consten en el expediente y no tener por probado un cuadro fáctico y las pretensiones del actor, por la simple declaratoria de rebeldía. Si bien el efecto procesal de la rebeldía supone la contestación afirmativa de los hechos invocados en la demanda, lo cierto del caso es que este efecto no releva al juzgador de su deber de examinar las probanzas y analizar el fondo de los autos, siendo que la incontrovertibilidad de los hechos es solo aparente, derivada de una sanción procesal por no contestar la demanda o hacerlo de manera tardía. Con todo y los alcances de la rebeldía, se mantiene el deber de acreditar los hechos constitutivos del derecho que se alega en sede jurisdiccional, según se desprende del numeral 82 del Código Procesal Contencioso Administrativo, en relación al precepto 317 del Código Procesal Civil, de aplicación supletoria en esta materia por permitirlo el artículo 220 del Código Procesal Contencioso Administrativo. Esta carga probatoria, como presupuesto del suceso de las pretensiones, subsiste al margen de que la parte contraria haya o no contestado la demanda, ergo, la sola declaratoria de rebeldía no enerva la obligación del actor de probar su derecho. En este sentido, la rebeldía </w:t>
      </w:r>
      <w:r w:rsidRPr="0045124B">
        <w:rPr>
          <w:rFonts w:ascii="Palatino Linotype" w:eastAsia="Times New Roman" w:hAnsi="Palatino Linotype" w:cs="Tahoma"/>
          <w:i/>
          <w:color w:val="000000"/>
          <w:spacing w:val="-3"/>
          <w:sz w:val="18"/>
          <w:szCs w:val="18"/>
          <w:lang w:val="es-MX"/>
        </w:rPr>
        <w:t>aún con sus efectos procesales, es un instituto diferente al allanamiento, por lo que, su ocurrencia, no supone, de manera automática, el otorgamiento de lo pedido sin examen de fondo.</w:t>
      </w:r>
      <w:r w:rsidRPr="0045124B">
        <w:rPr>
          <w:rFonts w:ascii="Palatino Linotype" w:eastAsia="Times New Roman" w:hAnsi="Palatino Linotype" w:cs="Tahoma"/>
          <w:i/>
          <w:color w:val="000000"/>
          <w:spacing w:val="-3"/>
          <w:sz w:val="18"/>
          <w:szCs w:val="18"/>
        </w:rPr>
        <w:t xml:space="preserve"> En este orden puede verse el canon 93.1 del Código Procesal Contencioso Administrativo, en cuanto señala con meridiana claridad: "No se admitirá la prueba cuando exista conformidad acerca de los hechos, salvo que se haya dado por rebeldía del demandado; en cuyo caso, la jueza o el juez, previa valoración de las circunstancias, podrá admitir u ordenar la que estime necesaria". La norma habilita la aceptación de prueba relevante o bien la ordenación de prueba para mejor resolver, aún en rebeldía. Cabe destacar, además, como bien señala el canon 65 del citado Código (norma que regula la figura de comentario), el rebelde puede apersonarse al proceso en cualquier etapa del proceso, tomándolo en el estado que se encuentre. Por tanto, las alegaciones que pueda formular un demandado en esta condición, han de ser ponderadas por el juzgador para resolver el asunto de fondo, examinando claro está, si las legaciones tratan de asuntos ya precluidos, que, por su incorporación tardía, no podrían ser considerados.</w:t>
      </w:r>
    </w:p>
  </w:footnote>
  <w:footnote w:id="199">
    <w:p w14:paraId="57184591" w14:textId="77777777" w:rsidR="00E87246" w:rsidRPr="0045124B" w:rsidRDefault="00E87246" w:rsidP="0045124B">
      <w:pPr>
        <w:pStyle w:val="Textonotapie"/>
        <w:jc w:val="both"/>
        <w:rPr>
          <w:rFonts w:ascii="Palatino Linotype" w:hAnsi="Palatino Linotype" w:cs="Tahoma"/>
          <w:sz w:val="18"/>
          <w:szCs w:val="18"/>
          <w:lang w:val="es-ES"/>
        </w:rPr>
      </w:pPr>
      <w:r w:rsidRPr="0045124B">
        <w:rPr>
          <w:rStyle w:val="Refdenotaalpie"/>
          <w:rFonts w:ascii="Palatino Linotype" w:hAnsi="Palatino Linotype" w:cs="Tahoma"/>
          <w:sz w:val="18"/>
          <w:szCs w:val="18"/>
        </w:rPr>
        <w:footnoteRef/>
      </w:r>
      <w:r w:rsidRPr="0045124B">
        <w:rPr>
          <w:rFonts w:ascii="Palatino Linotype" w:hAnsi="Palatino Linotype" w:cs="Tahoma"/>
          <w:sz w:val="18"/>
          <w:szCs w:val="18"/>
          <w:lang w:val="es-ES"/>
        </w:rPr>
        <w:t xml:space="preserve"> El ordinal 166 de la LGAP define la nulidad absoluta cuando el acto carezca real o jurídicamente de uno de sus elementos constitutivos, o bien, a la luz del 167 ejusdem, cuando la imperfección de uno de los elementos del acto impida la consecución del fin principal. En el supuesto analizado, la deposición testimonial no puede constituirse en un medio de corrección de deficiencias originarias del acto. </w:t>
      </w:r>
    </w:p>
  </w:footnote>
  <w:footnote w:id="200">
    <w:p w14:paraId="59319EFF" w14:textId="77777777" w:rsidR="00E87246" w:rsidRPr="0045124B" w:rsidRDefault="00E87246" w:rsidP="0045124B">
      <w:pPr>
        <w:pStyle w:val="Textonotapie"/>
        <w:jc w:val="both"/>
        <w:rPr>
          <w:rFonts w:ascii="Palatino Linotype" w:hAnsi="Palatino Linotype" w:cs="Tahoma"/>
          <w:sz w:val="18"/>
          <w:szCs w:val="18"/>
          <w:lang w:val="es-ES"/>
        </w:rPr>
      </w:pPr>
      <w:r w:rsidRPr="0045124B">
        <w:rPr>
          <w:rStyle w:val="Refdenotaalpie"/>
          <w:rFonts w:ascii="Palatino Linotype" w:hAnsi="Palatino Linotype" w:cs="Tahoma"/>
          <w:sz w:val="18"/>
          <w:szCs w:val="18"/>
        </w:rPr>
        <w:footnoteRef/>
      </w:r>
      <w:r w:rsidRPr="0045124B">
        <w:rPr>
          <w:rFonts w:ascii="Palatino Linotype" w:hAnsi="Palatino Linotype" w:cs="Tahoma"/>
          <w:sz w:val="18"/>
          <w:szCs w:val="18"/>
          <w:lang w:val="es-ES"/>
        </w:rPr>
        <w:t xml:space="preserve"> El precepto 134 LGAP impone que el acto debe manifestarse por escrito, salvo que las condiciones determinen cosa diversa. De ahí que, en tesis de principio, y como regla general, el acto deba expresarse por escrito, mediante la referencia explícita de todos sus elementos constitutivos.</w:t>
      </w:r>
    </w:p>
  </w:footnote>
  <w:footnote w:id="201">
    <w:p w14:paraId="5FAD75E0" w14:textId="77777777" w:rsidR="00E87246" w:rsidRPr="0045124B" w:rsidRDefault="00E87246" w:rsidP="0045124B">
      <w:pPr>
        <w:spacing w:after="0" w:line="240" w:lineRule="auto"/>
        <w:jc w:val="both"/>
        <w:rPr>
          <w:rFonts w:ascii="Palatino Linotype" w:hAnsi="Palatino Linotype" w:cs="Tahoma"/>
          <w:bCs/>
          <w:i/>
          <w:color w:val="000000"/>
          <w:sz w:val="18"/>
          <w:szCs w:val="18"/>
        </w:rPr>
      </w:pPr>
      <w:r w:rsidRPr="0045124B">
        <w:rPr>
          <w:rStyle w:val="Refdenotaalpie"/>
          <w:rFonts w:ascii="Palatino Linotype" w:hAnsi="Palatino Linotype" w:cs="Tahoma"/>
          <w:sz w:val="18"/>
          <w:szCs w:val="18"/>
        </w:rPr>
        <w:footnoteRef/>
      </w:r>
      <w:r w:rsidRPr="0045124B">
        <w:rPr>
          <w:rFonts w:ascii="Palatino Linotype" w:hAnsi="Palatino Linotype" w:cs="Tahoma"/>
          <w:sz w:val="18"/>
          <w:szCs w:val="18"/>
        </w:rPr>
        <w:t xml:space="preserve"> Sobre el deber de motivación de los actos, en un reciente fallo, el Tribunal Contencioso Administrativo precisó algunas deficiencias que pueden darse en este elemento formal. En la resolución No. 0009-2019-VI de las 14 horas 45 minutos del 28 de enero del 2019, sobre ese particular indicó: “</w:t>
      </w:r>
      <w:r w:rsidRPr="0045124B">
        <w:rPr>
          <w:rFonts w:ascii="Palatino Linotype" w:hAnsi="Palatino Linotype" w:cs="Tahoma"/>
          <w:i/>
          <w:sz w:val="18"/>
          <w:szCs w:val="18"/>
        </w:rPr>
        <w:t>…</w:t>
      </w:r>
      <w:r w:rsidRPr="0045124B">
        <w:rPr>
          <w:rFonts w:ascii="Palatino Linotype" w:eastAsia="Times New Roman" w:hAnsi="Palatino Linotype" w:cs="Tahoma"/>
          <w:i/>
          <w:color w:val="000000"/>
          <w:sz w:val="18"/>
          <w:szCs w:val="18"/>
          <w:lang w:val="es-CR"/>
        </w:rPr>
        <w:t>El canon 136 de la Ley General de la Administración Pública impone el deber de motivación de los actos administrativos, aspecto que a su vez constituye un elemento formal de las conductas de esa naturaleza. El precepto aludido impone el deber de motivación, con expresión, al menos sucinta, de las conductas que impongan obligaciones o denieguen derechos subjetivos, resuelvan recursos, aquellos que se separen de criterios seguidos en actuaciones precedentes o de dictámenes de órganos consultivos, los que impongan suspensión de actos objeto de impugnación, así como de los reglamentos y actos discrecionales de alcance general y finalmente, los que deban serlo por ley expresa. La motivación consiste en la expresión de las razones de hecho y de derecho que han sustentado la decisión administrativa (a nivel de justificación), lo que incluye el detalle de los elementos de convicción a partir de los cuales ha derivado o desprendido los hechos relevantes que han servido de base al motivo del acto, así como las consideraciones a partir de las cuales, la ponderación de esas probanzas lleva a determinada conclusión fáctica, apreciación o conjetura. De igual manera, exige expresar los fundamentos jurídicos que han llevado, a partir de esos hechos, a establecer determinada decisión, con la indicación de las pautas de valoración e interpretación de las reglas jurídicas aplicadas. En los actos de contenido discrecional, impone la referencia diáfana de las circunstancias relevantes y determinantes a partir de las cuales se adopta la decisión, así como la referencia a la conveniencia y pertinencia de la decisión adoptada, con exclusión de otra igualmente legítima, atendiendo a los principios generales del derecho, reglas unívocas de la ciencia y de la técnica y las máximas de razonabilidad y proporcionalidad que hacen válida la voluntad administrativa frente a una circunstancia específica. Los defectos de motivación pueden darse por los siguientes vicios: a) falta de motivación (omisión), cuando el acto no exprese en modo alguno las razones que le han dado respaldo, de suerte que el destinatario no se encuentra en posibilidad objetiva de conocer esas razones antecedentes y justificativas; b) Motivación indebida: cuando las razones de hecho y de derecho que expone el acto como base de la decisión, no sean atinentes al asunto analizado, sea por deficiencia en los hechos, o por aplicación de normas que no son atinentes o pertinentes al caso, o bien cuando las argumentaciones jurídicas sean contradictorias a nivel racional; y c) Motivación Insuficiente: en los casos en que el fundamento dado en el acto no se basta a sí mismo para comprender racionalmente las razones de su contenido. Se trata, en este supuesto, de un defecto que impide la comprensión debida de las razones de la voluntad adoptada, sea por imprecisión o por incompletitud. Con todo, cabe señalar que la motivación del acto puede realizarse de manera directa o indirecta. La primera (directa) cuando el acto mismo contiene la fundamentación que le da respaldo, o bien, Indirecta, cuando la motivación consista en referencias y/o remisión a dictámenes, propuestas o resoluciones previas que hayan determinado la adopción del acto, a condición de que se acompañen con la comunicación del acto. Cabe destacar que en los casos en que el acto administrativo no solamente refiera o remita a dictámenes u opiniones de órganos asesores que han emitido insumos que tienen por objeto orientar la adopción del acto final, sino que toma referencias concretas de esos actos y los menciona dentro de la literalidad de su contenido, con la correspondiente exposición de las razones lógicas por las cuales toma ese tipo de análisis como soporte de su decisión, se está frente a una motivación directa, pues en tales casos el acto expone en su propio contenido, las razones lógicas que permitirían comprender la base de la voluntad comunicada. (…)”</w:t>
      </w:r>
    </w:p>
    <w:p w14:paraId="1C8FF907" w14:textId="77777777" w:rsidR="00E87246" w:rsidRPr="0045124B" w:rsidRDefault="00E87246" w:rsidP="0045124B">
      <w:pPr>
        <w:pStyle w:val="Textonotapie"/>
        <w:jc w:val="both"/>
        <w:rPr>
          <w:rFonts w:ascii="Palatino Linotype" w:hAnsi="Palatino Linotype" w:cs="Tahoma"/>
          <w:sz w:val="18"/>
          <w:szCs w:val="18"/>
          <w:lang w:val="es-ES"/>
        </w:rPr>
      </w:pPr>
    </w:p>
  </w:footnote>
  <w:footnote w:id="202">
    <w:p w14:paraId="5A515589" w14:textId="77777777" w:rsidR="00E87246" w:rsidRPr="0045124B" w:rsidRDefault="00E87246" w:rsidP="0045124B">
      <w:pPr>
        <w:pStyle w:val="Textonotapie"/>
        <w:jc w:val="both"/>
        <w:rPr>
          <w:rFonts w:ascii="Palatino Linotype" w:hAnsi="Palatino Linotype" w:cs="Tahoma"/>
          <w:sz w:val="18"/>
          <w:szCs w:val="18"/>
          <w:lang w:val="es-ES"/>
        </w:rPr>
      </w:pPr>
      <w:r w:rsidRPr="0045124B">
        <w:rPr>
          <w:rStyle w:val="Refdenotaalpie"/>
          <w:rFonts w:ascii="Palatino Linotype" w:hAnsi="Palatino Linotype" w:cs="Tahoma"/>
          <w:sz w:val="18"/>
          <w:szCs w:val="18"/>
        </w:rPr>
        <w:footnoteRef/>
      </w:r>
      <w:r w:rsidRPr="0045124B">
        <w:rPr>
          <w:rFonts w:ascii="Palatino Linotype" w:hAnsi="Palatino Linotype" w:cs="Tahoma"/>
          <w:sz w:val="18"/>
          <w:szCs w:val="18"/>
          <w:lang w:val="es-ES"/>
        </w:rPr>
        <w:t xml:space="preserve"> En el supuesto primero de ese inciso se define de la siguiente manera: “</w:t>
      </w:r>
      <w:r w:rsidRPr="0045124B">
        <w:rPr>
          <w:rFonts w:ascii="Palatino Linotype" w:hAnsi="Palatino Linotype" w:cs="Tahoma"/>
          <w:b/>
          <w:bCs/>
          <w:i/>
          <w:color w:val="000000"/>
          <w:sz w:val="18"/>
          <w:szCs w:val="18"/>
          <w:lang w:val="es-ES"/>
        </w:rPr>
        <w:t xml:space="preserve">1. </w:t>
      </w:r>
      <w:r w:rsidRPr="0045124B">
        <w:rPr>
          <w:rFonts w:ascii="Palatino Linotype" w:hAnsi="Palatino Linotype" w:cs="Tahoma"/>
          <w:i/>
          <w:color w:val="000000"/>
          <w:sz w:val="18"/>
          <w:szCs w:val="18"/>
          <w:lang w:val="es-ES"/>
        </w:rPr>
        <w:t>Infracción o errónea aplicación de normas procesales que sean esenciales para la garantía del debido proceso, siempre que la actividad defectuosa no se haya subsanado conforme a la ley.</w:t>
      </w:r>
      <w:r w:rsidRPr="0045124B">
        <w:rPr>
          <w:rFonts w:ascii="Palatino Linotype" w:hAnsi="Palatino Linotype" w:cs="Tahoma"/>
          <w:color w:val="000000"/>
          <w:sz w:val="18"/>
          <w:szCs w:val="18"/>
          <w:lang w:val="es-ES"/>
        </w:rPr>
        <w:t>”</w:t>
      </w:r>
    </w:p>
  </w:footnote>
  <w:footnote w:id="203">
    <w:p w14:paraId="7D4B5A5B" w14:textId="77777777" w:rsidR="00E87246" w:rsidRPr="0045124B" w:rsidRDefault="00E87246" w:rsidP="0045124B">
      <w:pPr>
        <w:pStyle w:val="Textonotapie"/>
        <w:jc w:val="both"/>
        <w:rPr>
          <w:rFonts w:ascii="Palatino Linotype" w:hAnsi="Palatino Linotype" w:cs="Tahoma"/>
          <w:sz w:val="18"/>
          <w:szCs w:val="18"/>
          <w:lang w:val="es-ES"/>
        </w:rPr>
      </w:pPr>
      <w:r w:rsidRPr="0045124B">
        <w:rPr>
          <w:rStyle w:val="Refdenotaalpie"/>
          <w:rFonts w:ascii="Palatino Linotype" w:hAnsi="Palatino Linotype" w:cs="Tahoma"/>
          <w:sz w:val="18"/>
          <w:szCs w:val="18"/>
        </w:rPr>
        <w:footnoteRef/>
      </w:r>
      <w:r w:rsidRPr="0045124B">
        <w:rPr>
          <w:rFonts w:ascii="Palatino Linotype" w:hAnsi="Palatino Linotype" w:cs="Tahoma"/>
          <w:sz w:val="18"/>
          <w:szCs w:val="18"/>
          <w:lang w:val="es-ES"/>
        </w:rPr>
        <w:t xml:space="preserve"> Sobre esas exigencias de ingreso, relata el citado artículo 69.1 numeral primero: “</w:t>
      </w:r>
      <w:r w:rsidRPr="0045124B">
        <w:rPr>
          <w:rFonts w:ascii="Palatino Linotype" w:hAnsi="Palatino Linotype" w:cs="Tahoma"/>
          <w:i/>
          <w:sz w:val="18"/>
          <w:szCs w:val="18"/>
          <w:lang w:val="es-ES"/>
        </w:rPr>
        <w:t>Solamente podrá alegar una causal de casación, por razones procesales, la parte a quien hubiera perjudicado la inobservancia de la ley procesal. Además, es indispensable, cuando el procedimiento lo permita, haber gestionado la rectificación del vicio y haber agotado todos los recursos procedentes contra lo resuelto.</w:t>
      </w:r>
      <w:r w:rsidRPr="0045124B">
        <w:rPr>
          <w:rFonts w:ascii="Palatino Linotype" w:hAnsi="Palatino Linotype" w:cs="Tahoma"/>
          <w:sz w:val="18"/>
          <w:szCs w:val="18"/>
          <w:lang w:val="es-ES"/>
        </w:rPr>
        <w:t xml:space="preserve"> “</w:t>
      </w:r>
    </w:p>
    <w:p w14:paraId="4ED66359" w14:textId="77777777" w:rsidR="00E87246" w:rsidRPr="0045124B" w:rsidRDefault="00E87246" w:rsidP="0045124B">
      <w:pPr>
        <w:pStyle w:val="Textonotapie"/>
        <w:jc w:val="both"/>
        <w:rPr>
          <w:rFonts w:ascii="Palatino Linotype" w:hAnsi="Palatino Linotype" w:cs="Tahoma"/>
          <w:sz w:val="18"/>
          <w:szCs w:val="18"/>
          <w:lang w:val="es-ES"/>
        </w:rPr>
      </w:pPr>
    </w:p>
  </w:footnote>
  <w:footnote w:id="204">
    <w:p w14:paraId="11AE24C7" w14:textId="77777777" w:rsidR="00E87246" w:rsidRPr="0045124B" w:rsidRDefault="00E87246" w:rsidP="0045124B">
      <w:pPr>
        <w:pStyle w:val="Textonotapie"/>
        <w:jc w:val="both"/>
        <w:rPr>
          <w:rFonts w:ascii="Palatino Linotype" w:hAnsi="Palatino Linotype" w:cs="Tahoma"/>
          <w:sz w:val="18"/>
          <w:szCs w:val="18"/>
          <w:lang w:val="es-ES"/>
        </w:rPr>
      </w:pPr>
      <w:r w:rsidRPr="0045124B">
        <w:rPr>
          <w:rStyle w:val="Refdenotaalpie"/>
          <w:rFonts w:ascii="Palatino Linotype" w:hAnsi="Palatino Linotype" w:cs="Tahoma"/>
          <w:sz w:val="18"/>
          <w:szCs w:val="18"/>
        </w:rPr>
        <w:footnoteRef/>
      </w:r>
      <w:r w:rsidRPr="0045124B">
        <w:rPr>
          <w:rFonts w:ascii="Palatino Linotype" w:hAnsi="Palatino Linotype" w:cs="Tahoma"/>
          <w:sz w:val="18"/>
          <w:szCs w:val="18"/>
          <w:lang w:val="es-ES"/>
        </w:rPr>
        <w:t xml:space="preserve"> Las competencias casacionales de la Sala Primera de la Corte Suprema de Justicia se regulan en el precepto 135, en tanto que las del Tribunal de Casación se mencionan en el precepto 136, ambas referencias del CPCA. Las de esa última autoridad, además se complementan con lo señalado en el ordinal 62 ejusdem. </w:t>
      </w:r>
    </w:p>
  </w:footnote>
  <w:footnote w:id="205">
    <w:p w14:paraId="60C598CB" w14:textId="77777777" w:rsidR="00E87246" w:rsidRPr="0045124B" w:rsidRDefault="00E87246" w:rsidP="0045124B">
      <w:pPr>
        <w:autoSpaceDE w:val="0"/>
        <w:autoSpaceDN w:val="0"/>
        <w:adjustRightInd w:val="0"/>
        <w:spacing w:after="0" w:line="240" w:lineRule="auto"/>
        <w:jc w:val="both"/>
        <w:rPr>
          <w:rFonts w:ascii="Palatino Linotype" w:hAnsi="Palatino Linotype" w:cs="Tahoma"/>
          <w:sz w:val="18"/>
          <w:szCs w:val="18"/>
        </w:rPr>
      </w:pPr>
      <w:r w:rsidRPr="0045124B">
        <w:rPr>
          <w:rStyle w:val="Refdenotaalpie"/>
          <w:rFonts w:ascii="Palatino Linotype" w:hAnsi="Palatino Linotype" w:cs="Tahoma"/>
          <w:sz w:val="18"/>
          <w:szCs w:val="18"/>
        </w:rPr>
        <w:footnoteRef/>
      </w:r>
      <w:r w:rsidRPr="0045124B">
        <w:rPr>
          <w:rFonts w:ascii="Palatino Linotype" w:hAnsi="Palatino Linotype" w:cs="Tahoma"/>
          <w:sz w:val="18"/>
          <w:szCs w:val="18"/>
        </w:rPr>
        <w:t xml:space="preserve"> Indica ese precepto aludido: “</w:t>
      </w:r>
      <w:r w:rsidRPr="0045124B">
        <w:rPr>
          <w:rFonts w:ascii="Palatino Linotype" w:hAnsi="Palatino Linotype" w:cs="Tahoma"/>
          <w:b/>
          <w:bCs/>
          <w:i/>
          <w:sz w:val="18"/>
          <w:szCs w:val="18"/>
        </w:rPr>
        <w:t xml:space="preserve">3) </w:t>
      </w:r>
      <w:r w:rsidRPr="0045124B">
        <w:rPr>
          <w:rFonts w:ascii="Palatino Linotype" w:hAnsi="Palatino Linotype" w:cs="Tahoma"/>
          <w:i/>
          <w:sz w:val="18"/>
          <w:szCs w:val="18"/>
        </w:rPr>
        <w:t>Contra los autos dictados en las audiencias, solo cabrá el recurso de revocatoria, el cual deberá interponerse en forma oral y motivada, en la propia audiencia, y deberá ser resuelto inmediatamente por el Tribunal. No cabrá el recurso de apelación, salvo en los casos dispuestos expresamente por este Código.</w:t>
      </w:r>
      <w:r w:rsidRPr="0045124B">
        <w:rPr>
          <w:rFonts w:ascii="Palatino Linotype" w:hAnsi="Palatino Linotype" w:cs="Tahoma"/>
          <w:sz w:val="18"/>
          <w:szCs w:val="18"/>
        </w:rPr>
        <w:t>”</w:t>
      </w:r>
    </w:p>
  </w:footnote>
  <w:footnote w:id="206">
    <w:p w14:paraId="09E5F728"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Doctor en derecho financiero y tributario por la Universidad Complutense de Madrid; presidente del Instituto Costarricense de Estudios Fiscales; coordinador de la Comisión Tributaria del Colegio de Abogados de Costa Rica; profesor universitario; presidente del Bufete Facio &amp; Cañas.  Este trabajo es un desarrollo de la sección 4.6. del capítulo 8 de TORREALBA, A., </w:t>
      </w:r>
      <w:r w:rsidRPr="0045124B">
        <w:rPr>
          <w:rFonts w:ascii="Palatino Linotype" w:hAnsi="Palatino Linotype"/>
          <w:i/>
          <w:sz w:val="18"/>
          <w:szCs w:val="18"/>
        </w:rPr>
        <w:t>Derecho tributario iberoamericano</w:t>
      </w:r>
      <w:r w:rsidRPr="0045124B">
        <w:rPr>
          <w:rFonts w:ascii="Palatino Linotype" w:hAnsi="Palatino Linotype"/>
          <w:sz w:val="18"/>
          <w:szCs w:val="18"/>
        </w:rPr>
        <w:t xml:space="preserve">. </w:t>
      </w:r>
      <w:r w:rsidRPr="0045124B">
        <w:rPr>
          <w:rFonts w:ascii="Palatino Linotype" w:hAnsi="Palatino Linotype"/>
          <w:i/>
          <w:sz w:val="18"/>
          <w:szCs w:val="18"/>
        </w:rPr>
        <w:t xml:space="preserve">A la luz del Modelo de Código Tributario del CIAT, </w:t>
      </w:r>
      <w:r w:rsidRPr="0045124B">
        <w:rPr>
          <w:rFonts w:ascii="Palatino Linotype" w:hAnsi="Palatino Linotype"/>
          <w:sz w:val="18"/>
          <w:szCs w:val="18"/>
        </w:rPr>
        <w:t xml:space="preserve">Instituto Colombiano de Derecho Tributario, segunda reimpresión, Bogotá, 2019, pp. 547 ss. </w:t>
      </w:r>
    </w:p>
  </w:footnote>
  <w:footnote w:id="207">
    <w:p w14:paraId="56476BCF"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Sobre estos problemas terminológicos véase BENAVENTE CUESTA, J., </w:t>
      </w:r>
      <w:r w:rsidRPr="0045124B">
        <w:rPr>
          <w:rFonts w:ascii="Palatino Linotype" w:hAnsi="Palatino Linotype"/>
          <w:i/>
          <w:sz w:val="18"/>
          <w:szCs w:val="18"/>
        </w:rPr>
        <w:t>Presunciones tributarias. Claves para su Correcta Aplicación</w:t>
      </w:r>
      <w:r w:rsidRPr="0045124B">
        <w:rPr>
          <w:rFonts w:ascii="Palatino Linotype" w:hAnsi="Palatino Linotype"/>
          <w:sz w:val="18"/>
          <w:szCs w:val="18"/>
        </w:rPr>
        <w:t>, Lex Nova-Thomson Reuters, Valladolid, 2013, p.p. 39-40.</w:t>
      </w:r>
    </w:p>
  </w:footnote>
  <w:footnote w:id="208">
    <w:p w14:paraId="0CFFB979"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PÉREZ DE AYALA, J.L., </w:t>
      </w:r>
      <w:r w:rsidRPr="0045124B">
        <w:rPr>
          <w:rFonts w:ascii="Palatino Linotype" w:hAnsi="Palatino Linotype"/>
          <w:i/>
          <w:spacing w:val="-3"/>
          <w:sz w:val="18"/>
          <w:szCs w:val="18"/>
          <w:lang w:val="es-ES_tradnl"/>
        </w:rPr>
        <w:t>Las ficciones en el Derecho Tributario,</w:t>
      </w:r>
      <w:r w:rsidRPr="0045124B">
        <w:rPr>
          <w:rFonts w:ascii="Palatino Linotype" w:hAnsi="Palatino Linotype"/>
          <w:spacing w:val="-3"/>
          <w:sz w:val="18"/>
          <w:szCs w:val="18"/>
          <w:lang w:val="es-ES_tradnl"/>
        </w:rPr>
        <w:t xml:space="preserve"> Ed. de Derecho Financiero, Madrid, 1970. Ver también FUSTER ASENCIO, C., </w:t>
      </w:r>
      <w:r w:rsidRPr="0045124B">
        <w:rPr>
          <w:rFonts w:ascii="Palatino Linotype" w:hAnsi="Palatino Linotype"/>
          <w:i/>
          <w:spacing w:val="-3"/>
          <w:sz w:val="18"/>
          <w:szCs w:val="18"/>
          <w:lang w:val="es-ES_tradnl"/>
        </w:rPr>
        <w:t>El Procedimiento Sancionador Tributario</w:t>
      </w:r>
      <w:r w:rsidRPr="0045124B">
        <w:rPr>
          <w:rFonts w:ascii="Palatino Linotype" w:hAnsi="Palatino Linotype"/>
          <w:spacing w:val="-3"/>
          <w:sz w:val="18"/>
          <w:szCs w:val="18"/>
          <w:lang w:val="es-ES_tradnl"/>
        </w:rPr>
        <w:t xml:space="preserve">, Aranzadi Editorial, Navarra, 2001, p.p. 233 ss. </w:t>
      </w:r>
    </w:p>
  </w:footnote>
  <w:footnote w:id="209">
    <w:p w14:paraId="497AFF31" w14:textId="77777777" w:rsidR="00E87246" w:rsidRPr="0045124B" w:rsidRDefault="00E87246" w:rsidP="0045124B">
      <w:pPr>
        <w:pStyle w:val="Textodenotaalpie"/>
        <w:tabs>
          <w:tab w:val="left" w:pos="-720"/>
        </w:tabs>
        <w:suppressAutoHyphens/>
        <w:jc w:val="both"/>
        <w:rPr>
          <w:rFonts w:ascii="Palatino Linotype" w:hAnsi="Palatino Linotype"/>
          <w:spacing w:val="-3"/>
          <w:sz w:val="18"/>
          <w:szCs w:val="18"/>
        </w:rPr>
      </w:pPr>
      <w:r w:rsidRPr="0045124B">
        <w:rPr>
          <w:rStyle w:val="Refdenotaalpie"/>
          <w:rFonts w:ascii="Palatino Linotype" w:eastAsiaTheme="majorEastAsia" w:hAnsi="Palatino Linotype"/>
          <w:spacing w:val="-3"/>
          <w:sz w:val="18"/>
          <w:szCs w:val="18"/>
        </w:rPr>
        <w:footnoteRef/>
      </w:r>
      <w:r w:rsidRPr="0045124B">
        <w:rPr>
          <w:rFonts w:ascii="Palatino Linotype" w:hAnsi="Palatino Linotype"/>
          <w:spacing w:val="-3"/>
          <w:sz w:val="18"/>
          <w:szCs w:val="18"/>
        </w:rPr>
        <w:t xml:space="preserve"> MARÍN-BARNUEVO FABO, D., </w:t>
      </w:r>
      <w:r w:rsidRPr="0045124B">
        <w:rPr>
          <w:rFonts w:ascii="Palatino Linotype" w:hAnsi="Palatino Linotype"/>
          <w:i/>
          <w:spacing w:val="-3"/>
          <w:sz w:val="18"/>
          <w:szCs w:val="18"/>
        </w:rPr>
        <w:t>Presunciones y técnicas presuntivas en derecho tributario</w:t>
      </w:r>
      <w:r w:rsidRPr="0045124B">
        <w:rPr>
          <w:rFonts w:ascii="Palatino Linotype" w:hAnsi="Palatino Linotype"/>
          <w:spacing w:val="-3"/>
          <w:sz w:val="18"/>
          <w:szCs w:val="18"/>
        </w:rPr>
        <w:t>, McGrawHill, Madrid, Buenos Aires, Caracas, Guatemala y otros, 1996, p.p. 166 y 168.</w:t>
      </w:r>
    </w:p>
  </w:footnote>
  <w:footnote w:id="210">
    <w:p w14:paraId="0E9CE966" w14:textId="77777777" w:rsidR="00E87246" w:rsidRPr="0045124B" w:rsidRDefault="00E87246" w:rsidP="0045124B">
      <w:pPr>
        <w:adjustRightInd w:val="0"/>
        <w:spacing w:after="0"/>
        <w:jc w:val="both"/>
        <w:rPr>
          <w:rFonts w:ascii="Palatino Linotype" w:eastAsia="Times New Roman" w:hAnsi="Palatino Linotype"/>
          <w:color w:val="000000"/>
          <w:sz w:val="18"/>
          <w:szCs w:val="18"/>
          <w:lang w:val="es-CR" w:eastAsia="es-CR"/>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eastAsia="Times New Roman" w:hAnsi="Palatino Linotype"/>
          <w:color w:val="000000"/>
          <w:sz w:val="18"/>
          <w:szCs w:val="18"/>
          <w:lang w:val="es-CR" w:eastAsia="es-CR"/>
        </w:rPr>
        <w:t>Para estos efectos, se entiende por renta o ingreso disponible de los contribuyentes, mencionados en el artículo 2 de esta ley, el remanente de que se pueda disponer y que resulte de deducir de la renta imponible el impuesto a que se refiere el artículo 15 de esta ley.</w:t>
      </w:r>
    </w:p>
    <w:p w14:paraId="34B2A56D" w14:textId="77777777" w:rsidR="00E87246" w:rsidRPr="0045124B" w:rsidRDefault="00E87246" w:rsidP="0045124B">
      <w:pPr>
        <w:adjustRightInd w:val="0"/>
        <w:spacing w:after="0"/>
        <w:jc w:val="both"/>
        <w:rPr>
          <w:rFonts w:ascii="Palatino Linotype" w:eastAsia="Times New Roman" w:hAnsi="Palatino Linotype"/>
          <w:color w:val="000000"/>
          <w:sz w:val="18"/>
          <w:szCs w:val="18"/>
          <w:lang w:val="es-CR" w:eastAsia="es-CR"/>
        </w:rPr>
      </w:pPr>
      <w:r w:rsidRPr="0045124B">
        <w:rPr>
          <w:rFonts w:ascii="Palatino Linotype" w:eastAsia="Times New Roman" w:hAnsi="Palatino Linotype"/>
          <w:color w:val="000000"/>
          <w:sz w:val="18"/>
          <w:szCs w:val="18"/>
          <w:lang w:val="es-CR" w:eastAsia="es-CR"/>
        </w:rPr>
        <w:t>Los contribuyentes que por ley tengan obligación de crear reservas especiales podrán rebajarlas del remanente a que alude el párrafo anterior.</w:t>
      </w:r>
    </w:p>
    <w:p w14:paraId="4481295A" w14:textId="77777777" w:rsidR="00E87246" w:rsidRPr="0045124B" w:rsidRDefault="00E87246" w:rsidP="0045124B">
      <w:pPr>
        <w:adjustRightInd w:val="0"/>
        <w:spacing w:after="0"/>
        <w:jc w:val="both"/>
        <w:rPr>
          <w:rFonts w:ascii="Palatino Linotype" w:eastAsia="Times New Roman" w:hAnsi="Palatino Linotype"/>
          <w:color w:val="000000"/>
          <w:sz w:val="18"/>
          <w:szCs w:val="18"/>
          <w:lang w:val="es-CR" w:eastAsia="es-CR"/>
        </w:rPr>
      </w:pPr>
      <w:r w:rsidRPr="0045124B">
        <w:rPr>
          <w:rFonts w:ascii="Palatino Linotype" w:hAnsi="Palatino Linotype"/>
          <w:color w:val="000000"/>
          <w:sz w:val="18"/>
          <w:szCs w:val="18"/>
          <w:lang w:val="es-CR" w:eastAsia="es-CR"/>
        </w:rPr>
        <w:t>Cuando se obtengan rentas, ganancias o provechos gravados, o exentos por esta ley o por otras, percibidos o devengados en el periodo fiscal, deberán adicionarse al resultado obtenido, de acuerdo con la norma del párrafo segundo de este numeral iv), a efectos de obtener la renta o el ingreso disponible.”</w:t>
      </w:r>
    </w:p>
  </w:footnote>
  <w:footnote w:id="211">
    <w:p w14:paraId="2A1C4AF9"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pacing w:val="-3"/>
          <w:sz w:val="18"/>
          <w:szCs w:val="18"/>
          <w:lang w:val="es-ES_tradnl"/>
        </w:rPr>
        <w:t>MARÍN-BARNUEVO FABO, D, ob. cit., p. 173.</w:t>
      </w:r>
    </w:p>
  </w:footnote>
  <w:footnote w:id="212">
    <w:p w14:paraId="1A74EDCE"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ESEVERRI, E., </w:t>
      </w:r>
      <w:r w:rsidRPr="0045124B">
        <w:rPr>
          <w:rFonts w:ascii="Palatino Linotype" w:hAnsi="Palatino Linotype"/>
          <w:i/>
          <w:spacing w:val="-3"/>
          <w:sz w:val="18"/>
          <w:szCs w:val="18"/>
          <w:lang w:val="es-ES_tradnl"/>
        </w:rPr>
        <w:t>Presunciones Legales y Derecho Tributario</w:t>
      </w:r>
      <w:r w:rsidRPr="0045124B">
        <w:rPr>
          <w:rFonts w:ascii="Palatino Linotype" w:hAnsi="Palatino Linotype"/>
          <w:spacing w:val="-3"/>
          <w:sz w:val="18"/>
          <w:szCs w:val="18"/>
          <w:lang w:val="es-ES_tradnl"/>
        </w:rPr>
        <w:t>, Instituto de Estudios Fiscales, Marcial Pons, Madrid, 1995, p. 87</w:t>
      </w:r>
    </w:p>
  </w:footnote>
  <w:footnote w:id="213">
    <w:p w14:paraId="12D3A5EC"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Cfr. sobre la consideración como norma de valoración y no como presunción la regulación de precios de transferencia en el IRPF y el Impuesto de Sociedades españoles BENAVENTE CUESTA, J., ob. cit., p.p. 64-65.</w:t>
      </w:r>
    </w:p>
  </w:footnote>
  <w:footnote w:id="214">
    <w:p w14:paraId="5C90F70B"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El Código de Normas y Procedimientos Tributarios no contiene una norma expresa de este tipo de reglas, como sucede con el artículo 108.4 de la Ley General Tributaria española, pero se puede deducir de varias normas, como veremos en el texto. En ese sentido afirma FALCÓN Y TELLA, R., </w:t>
      </w:r>
      <w:r w:rsidRPr="0045124B">
        <w:rPr>
          <w:rFonts w:ascii="Palatino Linotype" w:hAnsi="Palatino Linotype"/>
          <w:i/>
          <w:sz w:val="18"/>
          <w:szCs w:val="18"/>
        </w:rPr>
        <w:t>Derecho Financiero y Tributario. Parte general</w:t>
      </w:r>
      <w:r w:rsidRPr="0045124B">
        <w:rPr>
          <w:rFonts w:ascii="Palatino Linotype" w:hAnsi="Palatino Linotype"/>
          <w:sz w:val="18"/>
          <w:szCs w:val="18"/>
        </w:rPr>
        <w:t xml:space="preserve">, Servicio Publicaciones Facultad de Derecho Universidad Complutense de Madrid, Madrid, 2016, p. 286, que la declaración implica un reconocimiento de los hechos que se declaran, pero no de su calificación jurídica. </w:t>
      </w:r>
    </w:p>
  </w:footnote>
  <w:footnote w:id="215">
    <w:p w14:paraId="4062568F"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lang w:val="es-ES_tradnl"/>
        </w:rPr>
        <w:t xml:space="preserve">En el esquema de rectificación de declaraciones del MCTCIAT -al menos en su versión principal, si bien por Comentario, como vimos, se admite otro sistema-, al igual que en el ordenamiento español, la sustitución de la declaración por una nueva solo es admisible para aumentar la obligación tributaria, no para disminuirla; para lograr esto último, es preciso activar un procedimiento de solicitud de corrección, debiendo aportarse la prueba correspondiente. Véase la sección 2 de este Capítulo y la sección 3.1. del Capítulo Undécimo. </w:t>
      </w:r>
    </w:p>
  </w:footnote>
  <w:footnote w:id="216">
    <w:p w14:paraId="179F8591"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RODRÍGUEZ-BEREIJO LEÓN, M., </w:t>
      </w:r>
      <w:r w:rsidRPr="0045124B">
        <w:rPr>
          <w:rFonts w:ascii="Palatino Linotype" w:hAnsi="Palatino Linotype"/>
          <w:i/>
          <w:sz w:val="18"/>
          <w:szCs w:val="18"/>
        </w:rPr>
        <w:t>La prueba en derecho tributario</w:t>
      </w:r>
      <w:r w:rsidRPr="0045124B">
        <w:rPr>
          <w:rFonts w:ascii="Palatino Linotype" w:hAnsi="Palatino Linotype"/>
          <w:sz w:val="18"/>
          <w:szCs w:val="18"/>
        </w:rPr>
        <w:t>, Thomson-Aranzadi, Navarra, 2007, p. 225. Cfr. también sobre esta “presunción” BENAVENTE CUESTA, J., ob. cit., p.p. 176 ss.</w:t>
      </w:r>
    </w:p>
  </w:footnote>
  <w:footnote w:id="217">
    <w:p w14:paraId="5DD3C871"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Cfr. RODRÍGUEZ-BEREIJO LEÓN, M., ob. cit., p. 227.</w:t>
      </w:r>
    </w:p>
  </w:footnote>
  <w:footnote w:id="218">
    <w:p w14:paraId="20BD7CCE"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Tema desarrollado por la sentencia del Tribunal Constitucional español 76/90. </w:t>
      </w:r>
    </w:p>
  </w:footnote>
  <w:footnote w:id="219">
    <w:p w14:paraId="2069B7F0"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Seguimos la distinción que aporta BENAVENTE CUESTA, J., ob. cit., p.p. 34-37, de quien tomo los ejemplos de las notas siguientes.</w:t>
      </w:r>
    </w:p>
  </w:footnote>
  <w:footnote w:id="220">
    <w:p w14:paraId="12C24882"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BENAVENTE CUESTA, J., ob. cit., p. 36.</w:t>
      </w:r>
    </w:p>
  </w:footnote>
  <w:footnote w:id="221">
    <w:p w14:paraId="4264604B"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Presunción del disfrute de la posesión en el mismo concepto en que se adquirió.</w:t>
      </w:r>
    </w:p>
  </w:footnote>
  <w:footnote w:id="222">
    <w:p w14:paraId="1FCEF883"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Presunción de culpa del deudor en la pérdida de la cosa debida.</w:t>
      </w:r>
    </w:p>
  </w:footnote>
  <w:footnote w:id="223">
    <w:p w14:paraId="62207634"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Presunción de existencia y licitud de la causa en los contratos. </w:t>
      </w:r>
    </w:p>
  </w:footnote>
  <w:footnote w:id="224">
    <w:p w14:paraId="1263A713"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Presunción de donación hecha en fraude de acreedores.</w:t>
      </w:r>
    </w:p>
  </w:footnote>
  <w:footnote w:id="225">
    <w:p w14:paraId="140D32E3"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RODRÍGUEZ-BEREIJO LEÓN, M., ob. cit., p. 23. </w:t>
      </w:r>
    </w:p>
  </w:footnote>
  <w:footnote w:id="226">
    <w:p w14:paraId="5965DDAB"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En el mismo sentido BENAVENTE CUESTA, J., ob. cit., p. 188 apunta sobre la figura de presunción de certeza de los hechos aceptados en las actas (artículo 144.2 LGT) que “no localizamos la estructura mínima necesaria de toda presunción (hecho base, hecho presumido y nexo lógico entre ambos)”, aparte que la “norma se limita a calificar de ciertos los hechos no en base a que otros hechos estén probados sino </w:t>
      </w:r>
      <w:r w:rsidRPr="0045124B">
        <w:rPr>
          <w:rFonts w:ascii="Palatino Linotype" w:hAnsi="Palatino Linotype"/>
          <w:i/>
          <w:sz w:val="18"/>
          <w:szCs w:val="18"/>
        </w:rPr>
        <w:t>en consideración a quien los realiza</w:t>
      </w:r>
      <w:r w:rsidRPr="0045124B">
        <w:rPr>
          <w:rFonts w:ascii="Palatino Linotype" w:hAnsi="Palatino Linotype"/>
          <w:sz w:val="18"/>
          <w:szCs w:val="18"/>
        </w:rPr>
        <w:t>, el propio obligado tributario.”</w:t>
      </w:r>
    </w:p>
  </w:footnote>
  <w:footnote w:id="227">
    <w:p w14:paraId="33F5D398"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Cfr. BENAVENTE CUESTA, J., ob. cit., p.179.</w:t>
      </w:r>
    </w:p>
  </w:footnote>
  <w:footnote w:id="228">
    <w:p w14:paraId="78C34C53"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Cfr. BENAVENTE CUESTA, J., ob. cit., p. 39.</w:t>
      </w:r>
    </w:p>
  </w:footnote>
  <w:footnote w:id="229">
    <w:p w14:paraId="775411BF"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En ese sentido, BENAVENTE CUESTA, J., ob. cit., p.p. 50-51; RODRÍGUEZ-BEREIJO LEÓN, M., ob. cit., p.p. 106-107.</w:t>
      </w:r>
    </w:p>
  </w:footnote>
  <w:footnote w:id="230">
    <w:p w14:paraId="6F39C77E"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Así, SÁNCHEZ PINO, A.J., </w:t>
      </w:r>
      <w:r w:rsidRPr="0045124B">
        <w:rPr>
          <w:rFonts w:ascii="Palatino Linotype" w:hAnsi="Palatino Linotype"/>
          <w:i/>
          <w:sz w:val="18"/>
          <w:szCs w:val="18"/>
        </w:rPr>
        <w:t>Presunciones y ficciones en el I.R.P.F.</w:t>
      </w:r>
      <w:r w:rsidRPr="0045124B">
        <w:rPr>
          <w:rFonts w:ascii="Palatino Linotype" w:hAnsi="Palatino Linotype"/>
          <w:sz w:val="18"/>
          <w:szCs w:val="18"/>
        </w:rPr>
        <w:t>, Universidad de Huelva Publicaciones, Huelva, 1995, p.p. 25-26.</w:t>
      </w:r>
    </w:p>
  </w:footnote>
  <w:footnote w:id="231">
    <w:p w14:paraId="16A71766"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ESPECHE, S.P., </w:t>
      </w:r>
      <w:r w:rsidRPr="0045124B">
        <w:rPr>
          <w:rFonts w:ascii="Palatino Linotype" w:hAnsi="Palatino Linotype"/>
          <w:i/>
          <w:sz w:val="18"/>
          <w:szCs w:val="18"/>
        </w:rPr>
        <w:t>Curso de Derecho Financiero</w:t>
      </w:r>
      <w:r w:rsidRPr="0045124B">
        <w:rPr>
          <w:rFonts w:ascii="Palatino Linotype" w:hAnsi="Palatino Linotype"/>
          <w:sz w:val="18"/>
          <w:szCs w:val="18"/>
        </w:rPr>
        <w:t xml:space="preserve">, ERREIUS, Buenos Aires, 2016, p. 625. </w:t>
      </w:r>
    </w:p>
  </w:footnote>
  <w:footnote w:id="232">
    <w:p w14:paraId="233969D1" w14:textId="77777777" w:rsidR="00E87246" w:rsidRPr="0045124B" w:rsidRDefault="00E87246" w:rsidP="0045124B">
      <w:pPr>
        <w:pStyle w:val="Sinespaciado"/>
        <w:rPr>
          <w:rFonts w:ascii="Palatino Linotype" w:hAnsi="Palatino Linotype"/>
          <w:sz w:val="18"/>
          <w:szCs w:val="18"/>
          <w:lang w:val="es-ES_tradnl"/>
        </w:rPr>
      </w:pPr>
      <w:r w:rsidRPr="0045124B">
        <w:rPr>
          <w:rStyle w:val="Refdenotaalpie"/>
          <w:rFonts w:ascii="Palatino Linotype" w:hAnsi="Palatino Linotype"/>
          <w:sz w:val="18"/>
          <w:szCs w:val="18"/>
        </w:rPr>
        <w:footnoteRef/>
      </w:r>
      <w:r w:rsidRPr="0045124B">
        <w:rPr>
          <w:rFonts w:ascii="Palatino Linotype" w:hAnsi="Palatino Linotype"/>
          <w:sz w:val="18"/>
          <w:szCs w:val="18"/>
          <w:lang w:val="es-CR"/>
        </w:rPr>
        <w:t xml:space="preserve"> Ver en ese sentido, BENAVENTE CUESTA, J., ob. cit., p.p. 42-43; 56-57;  </w:t>
      </w:r>
      <w:r w:rsidRPr="0045124B">
        <w:rPr>
          <w:rFonts w:ascii="Palatino Linotype" w:hAnsi="Palatino Linotype"/>
          <w:sz w:val="18"/>
          <w:szCs w:val="18"/>
          <w:lang w:val="es-ES_tradnl"/>
        </w:rPr>
        <w:t xml:space="preserve">CASANA MERINO, F. </w:t>
      </w:r>
      <w:r w:rsidRPr="0045124B">
        <w:rPr>
          <w:rFonts w:ascii="Palatino Linotype" w:hAnsi="Palatino Linotype"/>
          <w:i/>
          <w:sz w:val="18"/>
          <w:szCs w:val="18"/>
          <w:lang w:val="es-ES_tradnl"/>
        </w:rPr>
        <w:t>Manual de procedimientos tributarios (con el anteproyecto de Ley de Modificación Parcial de la LGT)</w:t>
      </w:r>
      <w:r w:rsidRPr="0045124B">
        <w:rPr>
          <w:rFonts w:ascii="Palatino Linotype" w:hAnsi="Palatino Linotype"/>
          <w:sz w:val="18"/>
          <w:szCs w:val="18"/>
          <w:lang w:val="es-ES_tradnl"/>
        </w:rPr>
        <w:t>, 1era ed., Iustel, Madrid, 2015</w:t>
      </w:r>
      <w:r w:rsidRPr="0045124B">
        <w:rPr>
          <w:rFonts w:ascii="Palatino Linotype" w:hAnsi="Palatino Linotype"/>
          <w:sz w:val="18"/>
          <w:szCs w:val="18"/>
          <w:lang w:val="es-CR"/>
        </w:rPr>
        <w:t>, p.</w:t>
      </w:r>
      <w:r w:rsidRPr="0045124B">
        <w:rPr>
          <w:rFonts w:ascii="Palatino Linotype" w:hAnsi="Palatino Linotype"/>
          <w:sz w:val="18"/>
          <w:szCs w:val="18"/>
          <w:lang w:val="es-ES_tradnl"/>
        </w:rPr>
        <w:t xml:space="preserve"> 76, señala que “son presunciones legales aquellos hechos definidos en la norma, de cuya realización se deriva por ministerio de la ley, la consecuencia de entenderse producido un hecho diferente.” </w:t>
      </w:r>
    </w:p>
    <w:p w14:paraId="6C9D2E85" w14:textId="77777777" w:rsidR="00E87246" w:rsidRPr="0045124B" w:rsidRDefault="00E87246" w:rsidP="0045124B">
      <w:pPr>
        <w:pStyle w:val="Textonotapie"/>
        <w:jc w:val="both"/>
        <w:rPr>
          <w:rFonts w:ascii="Palatino Linotype" w:hAnsi="Palatino Linotype"/>
          <w:sz w:val="18"/>
          <w:szCs w:val="18"/>
          <w:lang w:val="es-ES_tradnl"/>
        </w:rPr>
      </w:pPr>
    </w:p>
  </w:footnote>
  <w:footnote w:id="233">
    <w:p w14:paraId="650E9BFA"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Cfr. para esta distinción, BENAVENTE CUESTA, J., ob. cit., p.p. 61-62.</w:t>
      </w:r>
    </w:p>
  </w:footnote>
  <w:footnote w:id="234">
    <w:p w14:paraId="7C82A2CE"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Que bien puede estar integrado por varios hechos. Cfr. BENAVENTA CUESTA, J, ob. cit., p. 64.</w:t>
      </w:r>
    </w:p>
  </w:footnote>
  <w:footnote w:id="235">
    <w:p w14:paraId="3AACA2A3"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BENAVENTE CUESTA, J., ob. cit., p. 55, para quien la denominación “hecho indicio” resulta más precisa, ya que la sola palabra indicio (“fenómeno que permite conocer o inferir la existencia de otro no percibido”, “sintetiza a la perfección el propósito de toda presunción.”</w:t>
      </w:r>
    </w:p>
  </w:footnote>
  <w:footnote w:id="236">
    <w:p w14:paraId="0BE80CFA"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eastAsia="Calibri"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pacing w:val="-3"/>
          <w:sz w:val="18"/>
          <w:szCs w:val="18"/>
          <w:lang w:val="es-ES_tradnl"/>
        </w:rPr>
        <w:t>MARÍN-BARNUEVO FABO, D., ob. cit, p.p</w:t>
      </w:r>
      <w:r w:rsidRPr="0045124B">
        <w:rPr>
          <w:rFonts w:ascii="Palatino Linotype" w:hAnsi="Palatino Linotype"/>
          <w:sz w:val="18"/>
          <w:szCs w:val="18"/>
        </w:rPr>
        <w:t>. 82-87.</w:t>
      </w:r>
    </w:p>
  </w:footnote>
  <w:footnote w:id="237">
    <w:p w14:paraId="60468A6A"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Cfr. BENAVENTE CUESTA, ob. cit., p. 55; SÁNCHEZ PINO, A.J., ob. cit., p. 46.</w:t>
      </w:r>
    </w:p>
  </w:footnote>
  <w:footnote w:id="238">
    <w:p w14:paraId="0D38FC2C"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eastAsia="Calibri"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pacing w:val="-3"/>
          <w:sz w:val="18"/>
          <w:szCs w:val="18"/>
          <w:lang w:val="es-ES_tradnl"/>
        </w:rPr>
        <w:t xml:space="preserve">MARÍN-BARNUEVO FABO, D., ob. cit., </w:t>
      </w:r>
      <w:r w:rsidRPr="0045124B">
        <w:rPr>
          <w:rFonts w:ascii="Palatino Linotype" w:hAnsi="Palatino Linotype"/>
          <w:sz w:val="18"/>
          <w:szCs w:val="18"/>
        </w:rPr>
        <w:t>p. 111.</w:t>
      </w:r>
    </w:p>
  </w:footnote>
  <w:footnote w:id="239">
    <w:p w14:paraId="5E2EDA88"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En ese sentido BENAVENTE CUESTA, J., ob. cit., p.p. 62-63.</w:t>
      </w:r>
    </w:p>
  </w:footnote>
  <w:footnote w:id="240">
    <w:p w14:paraId="4682763D"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BENAVENTE CUESTA, J., ob. cit., p. 58.</w:t>
      </w:r>
    </w:p>
  </w:footnote>
  <w:footnote w:id="241">
    <w:p w14:paraId="15FECC0B"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BENAVENTE CUESTA, J., loc. cit.</w:t>
      </w:r>
    </w:p>
  </w:footnote>
  <w:footnote w:id="242">
    <w:p w14:paraId="6AE67937" w14:textId="77777777" w:rsidR="00E87246" w:rsidRPr="0045124B" w:rsidRDefault="00E87246" w:rsidP="0045124B">
      <w:pPr>
        <w:spacing w:after="0" w:line="240" w:lineRule="auto"/>
        <w:ind w:right="74"/>
        <w:jc w:val="both"/>
        <w:rPr>
          <w:rFonts w:ascii="Palatino Linotype" w:hAnsi="Palatino Linotype"/>
          <w:sz w:val="18"/>
          <w:szCs w:val="18"/>
          <w:lang w:val="es-MX"/>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w:t>
      </w:r>
      <w:r w:rsidRPr="0045124B">
        <w:rPr>
          <w:rFonts w:ascii="Palatino Linotype" w:hAnsi="Palatino Linotype"/>
          <w:sz w:val="18"/>
          <w:szCs w:val="18"/>
          <w:lang w:val="es-MX"/>
        </w:rPr>
        <w:t xml:space="preserve">xpone en ese sentido </w:t>
      </w:r>
      <w:r w:rsidRPr="0045124B">
        <w:rPr>
          <w:rFonts w:ascii="Palatino Linotype" w:hAnsi="Palatino Linotype"/>
          <w:spacing w:val="-3"/>
          <w:sz w:val="18"/>
          <w:szCs w:val="18"/>
        </w:rPr>
        <w:t>MARIN-BARNUEVO FABO, D., ob. cit., p. 85</w:t>
      </w:r>
      <w:r w:rsidRPr="0045124B">
        <w:rPr>
          <w:rFonts w:ascii="Palatino Linotype" w:hAnsi="Palatino Linotype"/>
          <w:sz w:val="18"/>
          <w:szCs w:val="18"/>
          <w:lang w:val="es-MX"/>
        </w:rPr>
        <w:t xml:space="preserve"> que la “afirmación resultado o afirmación presumida (...) está constituida por el hecho no directamente probado, sobre cuya veracidad se logra la convicción a consecuencia de haber sido acreditada la afirmación base. Es, por tanto, el hecho no probado de forma directa, integrado en el soporte fáctico de la resolución, y del que derivan necesariamente algunas de las consecuencias jurídicas que constituyen la pretensión de una de las partes...”</w:t>
      </w:r>
    </w:p>
  </w:footnote>
  <w:footnote w:id="243">
    <w:p w14:paraId="26C52E2A"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CASANA MERINO, F., ob. cit., p. 78, fundamentándose en el artículo 108,2 LGT española, Señala el ejemplo de que “de los gastos de luz, agua, teléfono, alquiler o personal contratado que el obligado tributario se ha deducido, la Administración puede deducir la existencia de rentas o patrimonios gravables”. </w:t>
      </w:r>
    </w:p>
  </w:footnote>
  <w:footnote w:id="244">
    <w:p w14:paraId="7588CC68"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Así, SÁNCHEZ PINO, A.J., ob. cit., p. 51.</w:t>
      </w:r>
    </w:p>
  </w:footnote>
  <w:footnote w:id="245">
    <w:p w14:paraId="1C16B91B" w14:textId="77777777" w:rsidR="00E87246" w:rsidRPr="0045124B" w:rsidRDefault="00E87246" w:rsidP="0045124B">
      <w:pPr>
        <w:spacing w:after="0" w:line="240" w:lineRule="auto"/>
        <w:ind w:right="74"/>
        <w:jc w:val="both"/>
        <w:rPr>
          <w:rFonts w:ascii="Palatino Linotype" w:hAnsi="Palatino Linotype"/>
          <w:sz w:val="18"/>
          <w:szCs w:val="18"/>
          <w:lang w:val="es-MX"/>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BENAVENTE CUESTA, J., ob. cit., p. 57. </w:t>
      </w:r>
      <w:r w:rsidRPr="0045124B">
        <w:rPr>
          <w:rFonts w:ascii="Palatino Linotype" w:hAnsi="Palatino Linotype"/>
          <w:spacing w:val="-3"/>
          <w:sz w:val="18"/>
          <w:szCs w:val="18"/>
        </w:rPr>
        <w:t xml:space="preserve">MARIN-BARNUEVO FABO, D., ob. cit., p. 87 señala que </w:t>
      </w:r>
      <w:r w:rsidRPr="0045124B">
        <w:rPr>
          <w:rFonts w:ascii="Palatino Linotype" w:hAnsi="Palatino Linotype"/>
          <w:sz w:val="18"/>
          <w:szCs w:val="18"/>
          <w:lang w:val="es-MX"/>
        </w:rPr>
        <w:t>el enlace lógico existente entre la afirmación base y la presumida “es el razonamiento lógico que permite, según las reglas del criterio humano, afirmar la existencia de la segunda a través de la constatación de la primera...Utilizando una conocida expresión frecuentemente utilizada por la jurisprudencia, y que hace referencia básicamente al enlace que vincula los hechos de las presunciones, puede afirmarse que para que las presunciones sean admitidas en juicio es preciso que sean “precisas”, “graves” y “concordantes.”</w:t>
      </w:r>
    </w:p>
  </w:footnote>
  <w:footnote w:id="246">
    <w:p w14:paraId="2EC7F616"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BENAVENTE, CUESTA, J., ob. cit., p. 48.</w:t>
      </w:r>
    </w:p>
  </w:footnote>
  <w:footnote w:id="247">
    <w:p w14:paraId="48386316"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En ese sentido, BENAVENTE CUESTA, J., ob. cit., p. 57.</w:t>
      </w:r>
    </w:p>
  </w:footnote>
  <w:footnote w:id="248">
    <w:p w14:paraId="363E2C91"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Cfr. BENAVENTE CUESTA, J., ob. cit., p. 60.</w:t>
      </w:r>
    </w:p>
  </w:footnote>
  <w:footnote w:id="249">
    <w:p w14:paraId="0A408DE5"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Cfr. BENAVENTE CUESTA, J., ob. cit., p.59.</w:t>
      </w:r>
    </w:p>
  </w:footnote>
  <w:footnote w:id="250">
    <w:p w14:paraId="69904E26"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Resulta a este respecto relevante el Comentario 3 al artículo 88 MCTCIAT, que prevé la posibilidad de ofrecer como prueba en contrario del hecho deducido o presunto prueba indirecta o indicios. En tal caso, el obligado tributario deberá elaborar su propia presunción hominis a partir de esos indicios. </w:t>
      </w:r>
    </w:p>
  </w:footnote>
  <w:footnote w:id="251">
    <w:p w14:paraId="6012FE57"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Cfr. BENAVENTE CUESTA, J., ob. cit., p.p. 60-61.</w:t>
      </w:r>
    </w:p>
  </w:footnote>
  <w:footnote w:id="252">
    <w:p w14:paraId="53B43715"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pacing w:val="-3"/>
          <w:sz w:val="18"/>
          <w:szCs w:val="18"/>
          <w:lang w:val="es-ES_tradnl"/>
        </w:rPr>
        <w:t xml:space="preserve">MARÍN-BARNUEVO FABO, D., ob. cit., </w:t>
      </w:r>
      <w:r w:rsidRPr="0045124B">
        <w:rPr>
          <w:rFonts w:ascii="Palatino Linotype" w:hAnsi="Palatino Linotype"/>
          <w:sz w:val="18"/>
          <w:szCs w:val="18"/>
        </w:rPr>
        <w:t>p.p. 188-189, 191. En el mismo sentido, véase SÁNCHEZ PINO, A.J., ob. cit., p.p. 65-67.</w:t>
      </w:r>
    </w:p>
  </w:footnote>
  <w:footnote w:id="253">
    <w:p w14:paraId="43B1F48C"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ESEVERRI, E., ob. cit., p. 50; MARÍN-BARNUEVO FABO, D., ob. cit., p.p. 169 ss. </w:t>
      </w:r>
    </w:p>
  </w:footnote>
  <w:footnote w:id="254">
    <w:p w14:paraId="1CFF897C"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BENAVENTE CUESTA, J., ob. cit., p. 73.</w:t>
      </w:r>
    </w:p>
  </w:footnote>
  <w:footnote w:id="255">
    <w:p w14:paraId="124A1FBC"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En ese sentido, RODRÍGUEZ-BEREIJO LEÓN, M., ob. cit., p.p. 113-114, trae a colación el ejemplo de un obligado tributario que ha necesitado profesionalmente hacer uso de un determinado objeto, como poder ser un teléfono o un coche, de lo cual hay sobrada constancia y, sin embargo, faltan los justificantes o comprobantes sobre el alcance exacto de esa necesidad profesional. “Aquí, tampoco resulta justo una decisión basada en las reglas sobre la carga de la prueba que recaiga sobre el obligado tributario. No se puede olvidar que la Administración tributaria no actúa en defensa de derechos subjetivos propios, sino en defensa del interés público. La determinación o seguridad parcial de esa necesidad profesional, al menos por lo que respecta a su fundamento o existencia, hace exigible una estimación de la dimensión o alcances de esa necesidad o uso.” </w:t>
      </w:r>
    </w:p>
  </w:footnote>
  <w:footnote w:id="256">
    <w:p w14:paraId="40B01FED"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Conceptos introducidos por BENAVENTE CUESTA, J., ob. cit., p.p. 209-210.</w:t>
      </w:r>
    </w:p>
  </w:footnote>
  <w:footnote w:id="257">
    <w:p w14:paraId="3FC59C84"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Cfr. sobre la contraprueba del hecho base MARÍN-BARNUEVO FABO, D., ob. cit., p. 112; igualmente SÁNCHEZ PINO, A.J., ob. cit., p. 45.</w:t>
      </w:r>
    </w:p>
  </w:footnote>
  <w:footnote w:id="258">
    <w:p w14:paraId="1B12507E"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En ese sentido, SÁNCHEZ PINO, A.J., ob. cit., p. 27 y p. 52. </w:t>
      </w:r>
    </w:p>
  </w:footnote>
  <w:footnote w:id="259">
    <w:p w14:paraId="28A6B1C4"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BENAVENTE CUESTA, J., ob. cit., p. 73.</w:t>
      </w:r>
    </w:p>
  </w:footnote>
  <w:footnote w:id="260">
    <w:p w14:paraId="1DFE6454" w14:textId="77777777" w:rsidR="00E87246" w:rsidRPr="0045124B" w:rsidRDefault="00E87246" w:rsidP="0045124B">
      <w:pPr>
        <w:pStyle w:val="Textonotapie"/>
        <w:jc w:val="both"/>
        <w:rPr>
          <w:rFonts w:ascii="Palatino Linotype" w:hAnsi="Palatino Linotype"/>
          <w:i/>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CASANA MERINO, F., ob. cit., p.p. 78-79 pone el ejemplo de que </w:t>
      </w:r>
      <w:r w:rsidRPr="0045124B">
        <w:rPr>
          <w:rFonts w:ascii="Palatino Linotype" w:hAnsi="Palatino Linotype"/>
          <w:i/>
          <w:sz w:val="18"/>
          <w:szCs w:val="18"/>
        </w:rPr>
        <w:t>“si del consumo de luz la Administración tributaria deduce un determinado rendimiento empresarial, la prueba puede dirigirse tanto a probar que dicho consumo no es real como a demostrar que no es posible enlazar lógicamente el consumo de luz con la cuantía del rendimiento que se presume.”</w:t>
      </w:r>
    </w:p>
  </w:footnote>
  <w:footnote w:id="261">
    <w:p w14:paraId="435B9FDD"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Sobre la posibilidad de enervar la aplicación de una presunción apoyándose en una presunción </w:t>
      </w:r>
      <w:r w:rsidRPr="0045124B">
        <w:rPr>
          <w:rFonts w:ascii="Palatino Linotype" w:hAnsi="Palatino Linotype"/>
          <w:i/>
          <w:sz w:val="18"/>
          <w:szCs w:val="18"/>
        </w:rPr>
        <w:t>hominis</w:t>
      </w:r>
      <w:r w:rsidRPr="0045124B">
        <w:rPr>
          <w:rFonts w:ascii="Palatino Linotype" w:hAnsi="Palatino Linotype"/>
          <w:sz w:val="18"/>
          <w:szCs w:val="18"/>
        </w:rPr>
        <w:t xml:space="preserve">, BENAVENTE CUESTA, J., ob. cit., p. 215 se pronuncia en sentido positivo. </w:t>
      </w:r>
    </w:p>
  </w:footnote>
  <w:footnote w:id="262">
    <w:p w14:paraId="2D10C7B7"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BENAVENTE CUESTA, J., ob. cit., p. 210.</w:t>
      </w:r>
    </w:p>
  </w:footnote>
  <w:footnote w:id="263">
    <w:p w14:paraId="77CA7691"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BENAVENTE CUESTA, J., ob. cit., p.p. 83; 106, si bien se adhiere a la tesis de no considerarlas como verdaderas presunciones, señala que “deberán ser aplicadas por la Administración tributaria si cuenta con pruebas que acrediten la realización del hecho base.”</w:t>
      </w:r>
    </w:p>
  </w:footnote>
  <w:footnote w:id="264">
    <w:p w14:paraId="2D3396A2"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Cfr. BENAVENTE CUESTA, J., ob. cit., p.p. 195-198, y más sistemáticamente sobre las primeras dos fases en los Capítulos Sexto, Sétimo y Octavo de su obra.</w:t>
      </w:r>
    </w:p>
  </w:footnote>
  <w:footnote w:id="265">
    <w:p w14:paraId="2F26855E"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BENAVENTE CUESTA, J., ob. cit., p.p. 94-95. Más ampliamente en p.p. 87-94.</w:t>
      </w:r>
    </w:p>
  </w:footnote>
  <w:footnote w:id="266">
    <w:p w14:paraId="73D729AF"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Véase en ese sentido CASANA MERINO, F., ob. cit., p. 78; BENAVENTE CUESTA, J., ob. cit., p.p. 97-98; y SÁNCHEZ PINO, A.J., ob. cit., p.p. 28-29.</w:t>
      </w:r>
    </w:p>
  </w:footnote>
  <w:footnote w:id="267">
    <w:p w14:paraId="206703CE"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BENAVENTE CUESTA, J., ob. cit., p. 102.</w:t>
      </w:r>
    </w:p>
  </w:footnote>
  <w:footnote w:id="268">
    <w:p w14:paraId="2B09B899"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En ese sentido, SÁNCHEZ PINO, A.J., p. 29. </w:t>
      </w:r>
    </w:p>
  </w:footnote>
  <w:footnote w:id="269">
    <w:p w14:paraId="2EFB995A"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Sobre el carácter de presunción </w:t>
      </w:r>
      <w:r w:rsidRPr="0045124B">
        <w:rPr>
          <w:rFonts w:ascii="Palatino Linotype" w:hAnsi="Palatino Linotype"/>
          <w:i/>
          <w:sz w:val="18"/>
          <w:szCs w:val="18"/>
        </w:rPr>
        <w:t>hominis</w:t>
      </w:r>
      <w:r w:rsidRPr="0045124B">
        <w:rPr>
          <w:rFonts w:ascii="Palatino Linotype" w:hAnsi="Palatino Linotype"/>
          <w:sz w:val="18"/>
          <w:szCs w:val="18"/>
        </w:rPr>
        <w:t xml:space="preserve"> de este método véase ESPECHE, S.P., ob. cit., p. 625. BENAVENTE CUESTA, J., ob. cit., p. 104, al analizar la regulación del método de estimación indirecta en España, hace ver cómo el legislador ha creado una presunción legal para comprobar la existencia del requisito para la aplicación de ese método subsidiario. Así, se establece como hecho base de una presunción legal </w:t>
      </w:r>
      <w:r w:rsidRPr="0045124B">
        <w:rPr>
          <w:rFonts w:ascii="Palatino Linotype" w:hAnsi="Palatino Linotype"/>
          <w:i/>
          <w:sz w:val="18"/>
          <w:szCs w:val="18"/>
        </w:rPr>
        <w:t>la incongruencia entre las operaciones contabilizadas o registradas y las que debieron resultado del conjunto de adquisiciones, gastos u otros aspectos de la actividad)</w:t>
      </w:r>
      <w:r w:rsidRPr="0045124B">
        <w:rPr>
          <w:rFonts w:ascii="Palatino Linotype" w:hAnsi="Palatino Linotype"/>
          <w:sz w:val="18"/>
          <w:szCs w:val="18"/>
        </w:rPr>
        <w:t xml:space="preserve">, así como hecho presumido </w:t>
      </w:r>
      <w:r w:rsidRPr="0045124B">
        <w:rPr>
          <w:rFonts w:ascii="Palatino Linotype" w:hAnsi="Palatino Linotype"/>
          <w:i/>
          <w:sz w:val="18"/>
          <w:szCs w:val="18"/>
        </w:rPr>
        <w:t>la contabilidad o libros registros son incorrectos</w:t>
      </w:r>
      <w:r w:rsidRPr="0045124B">
        <w:rPr>
          <w:rFonts w:ascii="Palatino Linotype" w:hAnsi="Palatino Linotype"/>
          <w:sz w:val="18"/>
          <w:szCs w:val="18"/>
        </w:rPr>
        <w:t xml:space="preserve">.  Probados los requisitos para aplicar el método de estimación indirecta a través de una presunción legal, queda la Administración autorizada para acudir a este método indiciario de acuerdo con el artículo 108.2 LGT. Por otra parte, llama la atención en el análisis de RODRÍGUEZ-BEREIJO LEÓN, M., ob. cit., p.p. 111 ss. cómo liga la estimación indirecta con prueba indiciaria, mas no la encuadra como una forma de presunción hominis.  </w:t>
      </w:r>
    </w:p>
  </w:footnote>
  <w:footnote w:id="270">
    <w:p w14:paraId="0536EE63"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En ese sentido, señala RODRÍGUEZ-BEREIJO LEÓN, M., ob. cit., p. 103 que “el empleo de la prueba por indicios en el Derecho Tributario no se da exclusivamente en el recurso a la estimación, sino que integra muy a menudo los procedimientos para la averiguación de los hechos, </w:t>
      </w:r>
      <w:r w:rsidRPr="0045124B">
        <w:rPr>
          <w:rFonts w:ascii="Palatino Linotype" w:hAnsi="Palatino Linotype"/>
          <w:i/>
          <w:sz w:val="18"/>
          <w:szCs w:val="18"/>
        </w:rPr>
        <w:t>“en la medida en que se trata de la prueba de elementos del supuesto de hecho relevantes no inmediatamente perceptibles.”</w:t>
      </w:r>
    </w:p>
  </w:footnote>
  <w:footnote w:id="271">
    <w:p w14:paraId="2763F387"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Así, SÁNCHEZ PINO, A.J., ob. cit., p. 31.</w:t>
      </w:r>
    </w:p>
  </w:footnote>
  <w:footnote w:id="272">
    <w:p w14:paraId="40825849"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pacing w:val="-3"/>
          <w:sz w:val="18"/>
          <w:szCs w:val="18"/>
        </w:rPr>
        <w:t xml:space="preserve">Entre los que defienden la naturaleza "presuntiva" de las presunciones absolutas se encuentran FALCON Y TELLA, R, "Cuestiones normativas y cuestiones de prueba en el Derecho tributario", en </w:t>
      </w:r>
      <w:r w:rsidRPr="0045124B">
        <w:rPr>
          <w:rFonts w:ascii="Palatino Linotype" w:hAnsi="Palatino Linotype"/>
          <w:i/>
          <w:spacing w:val="-3"/>
          <w:sz w:val="18"/>
          <w:szCs w:val="18"/>
        </w:rPr>
        <w:t>Crónica Tributaria</w:t>
      </w:r>
      <w:r w:rsidRPr="0045124B">
        <w:rPr>
          <w:rFonts w:ascii="Palatino Linotype" w:hAnsi="Palatino Linotype"/>
          <w:spacing w:val="-3"/>
          <w:sz w:val="18"/>
          <w:szCs w:val="18"/>
        </w:rPr>
        <w:t xml:space="preserve">, No. 61, 1992, p. 32, ESEVERRI, E., ob. cit., p.p. 20 y 45 ss; FUSTER ASENSIO, C., </w:t>
      </w:r>
      <w:r w:rsidRPr="0045124B">
        <w:rPr>
          <w:rFonts w:ascii="Palatino Linotype" w:hAnsi="Palatino Linotype"/>
          <w:i/>
          <w:spacing w:val="-3"/>
          <w:sz w:val="18"/>
          <w:szCs w:val="18"/>
        </w:rPr>
        <w:t>El procedimiento sancionador tributario,</w:t>
      </w:r>
      <w:r w:rsidRPr="0045124B">
        <w:rPr>
          <w:rFonts w:ascii="Palatino Linotype" w:hAnsi="Palatino Linotype"/>
          <w:spacing w:val="-3"/>
          <w:sz w:val="18"/>
          <w:szCs w:val="18"/>
        </w:rPr>
        <w:t xml:space="preserve"> Arazandi Editorial, Navarra, 2001, p.p. 234-235. De acuerdo con estos autores, la presunción absoluta opera en el plano de la prueba, planteándose como una </w:t>
      </w:r>
      <w:r w:rsidRPr="0045124B">
        <w:rPr>
          <w:rFonts w:ascii="Palatino Linotype" w:hAnsi="Palatino Linotype"/>
          <w:i/>
          <w:spacing w:val="-3"/>
          <w:sz w:val="18"/>
          <w:szCs w:val="18"/>
        </w:rPr>
        <w:t>posibilidad</w:t>
      </w:r>
      <w:r w:rsidRPr="0045124B">
        <w:rPr>
          <w:rFonts w:ascii="Palatino Linotype" w:hAnsi="Palatino Linotype"/>
          <w:spacing w:val="-3"/>
          <w:sz w:val="18"/>
          <w:szCs w:val="18"/>
        </w:rPr>
        <w:t xml:space="preserve"> con que cuenta la Administración para acreditar un hecho de relevancia tributaria, sin que le sea obligatorio su aplicación. Así, por una parte, si de otros elementos probatorios la Administración concluye que el hecho presumido carece de conexión lógica con el hecho base, puede optar por no aplicar la presunción, aun cuando el contribuyente carezca de un derecho de prueba en contrario; por otra, en sede contencioso-administrativa, se puede revisar la logicidad en el caso concreto de la aplicación de la presunción. También se alega la existencia de un juicio de probabilidad en la norma de presunción absoluta.  </w:t>
      </w:r>
    </w:p>
  </w:footnote>
  <w:footnote w:id="273">
    <w:p w14:paraId="6381C4FB" w14:textId="77777777" w:rsidR="00E87246" w:rsidRPr="0045124B" w:rsidRDefault="00E87246" w:rsidP="0045124B">
      <w:pPr>
        <w:pStyle w:val="Textodenotaalpie"/>
        <w:tabs>
          <w:tab w:val="left" w:pos="-720"/>
        </w:tabs>
        <w:suppressAutoHyphens/>
        <w:jc w:val="both"/>
        <w:rPr>
          <w:rFonts w:ascii="Palatino Linotype" w:hAnsi="Palatino Linotype"/>
          <w:spacing w:val="-3"/>
          <w:sz w:val="18"/>
          <w:szCs w:val="18"/>
        </w:rPr>
      </w:pPr>
      <w:r w:rsidRPr="0045124B">
        <w:rPr>
          <w:rFonts w:ascii="Palatino Linotype" w:hAnsi="Palatino Linotype"/>
          <w:spacing w:val="-3"/>
          <w:sz w:val="18"/>
          <w:szCs w:val="18"/>
        </w:rPr>
        <w:t> </w:t>
      </w:r>
      <w:r w:rsidRPr="0045124B">
        <w:rPr>
          <w:rStyle w:val="Refdenotaalpie"/>
          <w:rFonts w:ascii="Palatino Linotype" w:eastAsiaTheme="majorEastAsia" w:hAnsi="Palatino Linotype"/>
          <w:spacing w:val="-3"/>
          <w:sz w:val="18"/>
          <w:szCs w:val="18"/>
        </w:rPr>
        <w:footnoteRef/>
      </w:r>
      <w:r w:rsidRPr="0045124B">
        <w:rPr>
          <w:rFonts w:ascii="Palatino Linotype" w:hAnsi="Palatino Linotype"/>
          <w:spacing w:val="-3"/>
          <w:sz w:val="18"/>
          <w:szCs w:val="18"/>
        </w:rPr>
        <w:t xml:space="preserve"> Sostienen esta tesis:  MARIN-BARNUEVO FABO, D.,  ob. cit.,  p.p. 118 ss. BENAVENTE CUESTA, J., ob. cit., p. 106, quien pese a ello, según anotamos atrás, no deja de reconocerle un perfil probatorio, al ser necesario al beneficiado por la presunción probar el hecho base; también se manifiesta en contra SÁNCHEZ PINO, A.J., ob. cit., p.p. 34 ss., para quien los supuestos en que pese a impedírsele al obligado tributario probar en contrario sí se mantiene la posibilidad de la Administración de realizar su propia actividad probatoria al margen de la presunción absoluta no son lo que usualmente se conoce como “presunción absoluta”; en cuanto a la existencia de un juicio de probabilidad, sostiene que desde que el ordenamiento prohíbe que, una vez acreditado el hecho base, pueda demostrarse la falsedad de lo que hubiera debido constituir el hecho presunto pierden toda relevancia como tales normas presuntivas.”    </w:t>
      </w:r>
    </w:p>
  </w:footnote>
  <w:footnote w:id="274">
    <w:p w14:paraId="046EB092"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Así, SÁNCHEZ PINO, A.J., ob. cit., p. 35.</w:t>
      </w:r>
    </w:p>
  </w:footnote>
  <w:footnote w:id="275">
    <w:p w14:paraId="25788D49"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Cfr. BENAVENTE CUESTA, J., ob. cit., p. 147.</w:t>
      </w:r>
    </w:p>
  </w:footnote>
  <w:footnote w:id="276">
    <w:p w14:paraId="1CD0DE7F" w14:textId="77777777" w:rsidR="00E87246" w:rsidRPr="0045124B" w:rsidRDefault="00E87246" w:rsidP="0045124B">
      <w:pPr>
        <w:pStyle w:val="Textodenotaalpie"/>
        <w:suppressAutoHyphens/>
        <w:jc w:val="both"/>
        <w:rPr>
          <w:rFonts w:ascii="Palatino Linotype" w:hAnsi="Palatino Linotype"/>
          <w:spacing w:val="-3"/>
          <w:sz w:val="18"/>
          <w:szCs w:val="18"/>
          <w:lang w:val="it-IT"/>
        </w:rPr>
      </w:pPr>
      <w:r w:rsidRPr="0045124B">
        <w:rPr>
          <w:rStyle w:val="Refdenotaalpie"/>
          <w:rFonts w:ascii="Palatino Linotype" w:eastAsiaTheme="majorEastAsia" w:hAnsi="Palatino Linotype"/>
          <w:sz w:val="18"/>
          <w:szCs w:val="18"/>
        </w:rPr>
        <w:footnoteRef/>
      </w:r>
      <w:r w:rsidRPr="0045124B">
        <w:rPr>
          <w:rFonts w:ascii="Palatino Linotype" w:hAnsi="Palatino Linotype"/>
          <w:spacing w:val="-3"/>
          <w:sz w:val="18"/>
          <w:szCs w:val="18"/>
          <w:lang w:val="it-IT"/>
        </w:rPr>
        <w:t xml:space="preserve"> LUPI, R.,"Gli interessi nell'imposizione diretta", </w:t>
      </w:r>
      <w:r w:rsidRPr="0045124B">
        <w:rPr>
          <w:rFonts w:ascii="Palatino Linotype" w:hAnsi="Palatino Linotype"/>
          <w:i/>
          <w:spacing w:val="-3"/>
          <w:sz w:val="18"/>
          <w:szCs w:val="18"/>
          <w:lang w:val="it-IT"/>
        </w:rPr>
        <w:t>Diritto e prattica tributaria</w:t>
      </w:r>
      <w:r w:rsidRPr="0045124B">
        <w:rPr>
          <w:rFonts w:ascii="Palatino Linotype" w:hAnsi="Palatino Linotype"/>
          <w:spacing w:val="-3"/>
          <w:sz w:val="18"/>
          <w:szCs w:val="18"/>
          <w:lang w:val="it-IT"/>
        </w:rPr>
        <w:t>, n. 3, 1990, p. 500.</w:t>
      </w:r>
    </w:p>
  </w:footnote>
  <w:footnote w:id="277">
    <w:p w14:paraId="13F471BA"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BARNUEVO-FABO, D., ob. cit. p. 137.</w:t>
      </w:r>
    </w:p>
  </w:footnote>
  <w:footnote w:id="278">
    <w:p w14:paraId="23BB99E7"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eastAsia="Calibri" w:hAnsi="Palatino Linotype"/>
          <w:sz w:val="18"/>
          <w:szCs w:val="18"/>
        </w:rPr>
        <w:footnoteRef/>
      </w:r>
      <w:r w:rsidRPr="0045124B">
        <w:rPr>
          <w:rFonts w:ascii="Palatino Linotype" w:hAnsi="Palatino Linotype"/>
          <w:sz w:val="18"/>
          <w:szCs w:val="18"/>
        </w:rPr>
        <w:t xml:space="preserve"> Para un desarrollo de la jurisprudencia que ha admitido esta condicionalidad véase TORREALBA, A., </w:t>
      </w:r>
      <w:r w:rsidRPr="0045124B">
        <w:rPr>
          <w:rFonts w:ascii="Palatino Linotype" w:hAnsi="Palatino Linotype"/>
          <w:i/>
          <w:sz w:val="18"/>
          <w:szCs w:val="18"/>
        </w:rPr>
        <w:t xml:space="preserve">Derecho Tributario. Parte General. T. I…, </w:t>
      </w:r>
      <w:r w:rsidRPr="0045124B">
        <w:rPr>
          <w:rFonts w:ascii="Palatino Linotype" w:hAnsi="Palatino Linotype"/>
          <w:sz w:val="18"/>
          <w:szCs w:val="18"/>
        </w:rPr>
        <w:t>ob. cit., p. 354 ss.</w:t>
      </w:r>
    </w:p>
  </w:footnote>
  <w:footnote w:id="279">
    <w:p w14:paraId="6F0C08A2"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La </w:t>
      </w:r>
      <w:r w:rsidRPr="0045124B">
        <w:rPr>
          <w:rFonts w:ascii="Palatino Linotype" w:hAnsi="Palatino Linotype"/>
          <w:sz w:val="18"/>
          <w:szCs w:val="18"/>
          <w:lang w:val="es-ES_tradnl"/>
        </w:rPr>
        <w:t xml:space="preserve">Sala Primera en su resolución No. 333-S1-2015 rechazó ad portas el recurso del Estado contra esta sentencia por considerar que la violación de los artículos relativos a la base presunta no constituye una violación directa sino indirecta por indebida valoración de la prueba. </w:t>
      </w:r>
    </w:p>
  </w:footnote>
  <w:footnote w:id="280">
    <w:p w14:paraId="3BB42743"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eastAsia="Calibri" w:hAnsi="Palatino Linotype"/>
          <w:sz w:val="18"/>
          <w:szCs w:val="18"/>
        </w:rPr>
        <w:footnoteRef/>
      </w:r>
      <w:r w:rsidRPr="0045124B">
        <w:rPr>
          <w:rFonts w:ascii="Palatino Linotype" w:hAnsi="Palatino Linotype"/>
          <w:sz w:val="18"/>
          <w:szCs w:val="18"/>
        </w:rPr>
        <w:t xml:space="preserve"> La sentencia concluye que se dio un vicio en el motivo del acto administrativo, “ya que se interpretó de forma errónea la realidad, y por ello los antecedentes, presupuestos o razones jurídicos (derecho) y fácticas (hechos) que hicieron posible la emisión del acto y sobre las cuales la Administración Pública sostiene la legitimidad, oportunidad o conveniencia, incorporaron ese vicio.”</w:t>
      </w:r>
    </w:p>
  </w:footnote>
  <w:footnote w:id="281">
    <w:p w14:paraId="09530B49"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FERNÁNDEZ PAVES, M.J., </w:t>
      </w:r>
      <w:r w:rsidRPr="0045124B">
        <w:rPr>
          <w:rFonts w:ascii="Palatino Linotype" w:hAnsi="Palatino Linotype"/>
          <w:i/>
          <w:sz w:val="18"/>
          <w:szCs w:val="18"/>
        </w:rPr>
        <w:t>La autoliquidación tributaria</w:t>
      </w:r>
      <w:r w:rsidRPr="0045124B">
        <w:rPr>
          <w:rFonts w:ascii="Palatino Linotype" w:hAnsi="Palatino Linotype"/>
          <w:sz w:val="18"/>
          <w:szCs w:val="18"/>
        </w:rPr>
        <w:t>, Instituto de Estudios Fiscales-Marcial Pons, Madrid, 1995, p.p. 185-186.</w:t>
      </w:r>
    </w:p>
  </w:footnote>
  <w:footnote w:id="282">
    <w:p w14:paraId="51E4B01B"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VARGAS CASTILLO, M.A., “Los desaciertos en la aplicación de la base presunta en el caso costarricense: un llamado de atención a la necesidad de apegarse al libreto de la ley y sus implicaciones técnico-jurídicas”, </w:t>
      </w:r>
      <w:r w:rsidRPr="0045124B">
        <w:rPr>
          <w:rFonts w:ascii="Palatino Linotype" w:hAnsi="Palatino Linotype"/>
          <w:i/>
          <w:sz w:val="18"/>
          <w:szCs w:val="18"/>
        </w:rPr>
        <w:t>Revista del Instituto Colombiano de Derecho Tributario</w:t>
      </w:r>
      <w:r w:rsidRPr="0045124B">
        <w:rPr>
          <w:rFonts w:ascii="Palatino Linotype" w:hAnsi="Palatino Linotype"/>
          <w:sz w:val="18"/>
          <w:szCs w:val="18"/>
        </w:rPr>
        <w:t>, no. 75, noviembre de 2016, Instituto Colombiano de Derecho Tributario, Bogotá, pp.  191 ss.</w:t>
      </w:r>
    </w:p>
  </w:footnote>
  <w:footnote w:id="283">
    <w:p w14:paraId="4D44EBAD"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VARGAS CASTILLO, M.A., ob. cit., p. 194.</w:t>
      </w:r>
    </w:p>
  </w:footnote>
  <w:footnote w:id="284">
    <w:p w14:paraId="68122CF4" w14:textId="77777777" w:rsidR="00E87246" w:rsidRPr="0045124B" w:rsidRDefault="00E87246" w:rsidP="0045124B">
      <w:pPr>
        <w:pStyle w:val="Textonotapie"/>
        <w:ind w:left="709" w:hanging="709"/>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sz w:val="18"/>
          <w:szCs w:val="18"/>
        </w:rPr>
        <w:tab/>
        <w:t>Mediante fallo TFA-374-2005, de las 15 horas del 1 de setiembre de 2005.</w:t>
      </w:r>
    </w:p>
  </w:footnote>
  <w:footnote w:id="285">
    <w:p w14:paraId="1C537611" w14:textId="77777777" w:rsidR="00E87246" w:rsidRPr="0045124B" w:rsidRDefault="00E87246" w:rsidP="0045124B">
      <w:pPr>
        <w:spacing w:after="0" w:line="240" w:lineRule="auto"/>
        <w:jc w:val="both"/>
        <w:rPr>
          <w:rFonts w:ascii="Palatino Linotype" w:eastAsia="Times New Roman" w:hAnsi="Palatino Linotype"/>
          <w:sz w:val="18"/>
          <w:szCs w:val="18"/>
          <w:lang w:eastAsia="es-CR"/>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eastAsia="Times New Roman" w:hAnsi="Palatino Linotype"/>
          <w:sz w:val="18"/>
          <w:szCs w:val="18"/>
          <w:lang w:eastAsia="es-CR"/>
        </w:rPr>
        <w:t>Así, el citado oficio DGT 078-2009 señala:</w:t>
      </w:r>
    </w:p>
    <w:p w14:paraId="48E53375" w14:textId="77777777" w:rsidR="00E87246" w:rsidRPr="0045124B" w:rsidRDefault="00E87246" w:rsidP="0045124B">
      <w:pPr>
        <w:spacing w:after="0" w:line="240" w:lineRule="auto"/>
        <w:ind w:left="708"/>
        <w:jc w:val="both"/>
        <w:rPr>
          <w:rFonts w:ascii="Palatino Linotype" w:eastAsia="Times New Roman" w:hAnsi="Palatino Linotype"/>
          <w:sz w:val="18"/>
          <w:szCs w:val="18"/>
          <w:lang w:eastAsia="es-CR"/>
        </w:rPr>
      </w:pPr>
      <w:r w:rsidRPr="0045124B">
        <w:rPr>
          <w:rFonts w:ascii="Palatino Linotype" w:eastAsia="Times New Roman" w:hAnsi="Palatino Linotype"/>
          <w:sz w:val="18"/>
          <w:szCs w:val="18"/>
          <w:lang w:eastAsia="es-CR"/>
        </w:rPr>
        <w:t xml:space="preserve">[…]De este modo, y con respecto al sistema de estimación y asignación objetiva al que se refiere el consultante, se aclara que la Administración Tributaria no tiene la facultad de aprobar o desaprobar los sistemas particulares o específicos que adopten los contribuyentes. Sin embargo, éstos, con fundamento en el principio de autodeterminación de la obligación tributaria, que es el principio general que rige el impuesto sobre las utilidades, tienen la libertad de utilizar el sistema que consideren más apropiado para determinar su obligación.  </w:t>
      </w:r>
    </w:p>
    <w:p w14:paraId="1BF3DBB5" w14:textId="77777777" w:rsidR="00E87246" w:rsidRPr="0045124B" w:rsidRDefault="00E87246" w:rsidP="0045124B">
      <w:pPr>
        <w:spacing w:after="0" w:line="240" w:lineRule="auto"/>
        <w:ind w:left="708"/>
        <w:jc w:val="both"/>
        <w:rPr>
          <w:rFonts w:ascii="Palatino Linotype" w:eastAsia="Times New Roman" w:hAnsi="Palatino Linotype"/>
          <w:sz w:val="18"/>
          <w:szCs w:val="18"/>
          <w:lang w:eastAsia="es-CR"/>
        </w:rPr>
      </w:pPr>
      <w:r w:rsidRPr="0045124B">
        <w:rPr>
          <w:rFonts w:ascii="Palatino Linotype" w:eastAsia="Times New Roman" w:hAnsi="Palatino Linotype"/>
          <w:sz w:val="18"/>
          <w:szCs w:val="18"/>
          <w:lang w:eastAsia="es-CR"/>
        </w:rPr>
        <w:t>[…] que para justificar debidamente el sistema de estimación y asignación objetiva de gastos, se puede basar en  los registros contables, soporte documental y en los principios de razonabilidad, proporcionalidad, capacidad económica y neto objetivo así como en la sana crítica racional, la lógica y las normas contables y que no es necesario llevar una contabilidad diferente a la que la interesada debe llevar de conformidad con los lineamientos de la SUGEF, ni tampoco es necesario modificar o abrir todas las cuentas de gastos en partidas deducibles y no deducibles.</w:t>
      </w:r>
    </w:p>
    <w:p w14:paraId="75407E2D" w14:textId="77777777" w:rsidR="00E87246" w:rsidRPr="0045124B" w:rsidRDefault="00E87246" w:rsidP="0045124B">
      <w:pPr>
        <w:pStyle w:val="Textonotapie"/>
        <w:jc w:val="both"/>
        <w:rPr>
          <w:rFonts w:ascii="Palatino Linotype" w:hAnsi="Palatino Linotype"/>
          <w:sz w:val="18"/>
          <w:szCs w:val="18"/>
        </w:rPr>
      </w:pPr>
    </w:p>
  </w:footnote>
  <w:footnote w:id="286">
    <w:p w14:paraId="463572DE"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TORREALBA, A., </w:t>
      </w:r>
      <w:r w:rsidRPr="0045124B">
        <w:rPr>
          <w:rFonts w:ascii="Palatino Linotype" w:hAnsi="Palatino Linotype"/>
          <w:i/>
          <w:sz w:val="18"/>
          <w:szCs w:val="18"/>
        </w:rPr>
        <w:t>Derecho tributario iberoamericano. A la luz de la versión 2015 del Modelo de Código Tributario del CIAT</w:t>
      </w:r>
      <w:r w:rsidRPr="0045124B">
        <w:rPr>
          <w:rFonts w:ascii="Palatino Linotype" w:hAnsi="Palatino Linotype"/>
          <w:sz w:val="18"/>
          <w:szCs w:val="18"/>
        </w:rPr>
        <w:t>, Instituto Colombiano de Derecho Tributario, Bogotá, 2017, primera reimpresión 2018, pp. 535-536.</w:t>
      </w:r>
    </w:p>
  </w:footnote>
  <w:footnote w:id="287">
    <w:p w14:paraId="0B84857E"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CASANA MERINO, F., ob. cit</w:t>
      </w:r>
      <w:r w:rsidRPr="0045124B">
        <w:rPr>
          <w:rFonts w:ascii="Palatino Linotype" w:hAnsi="Palatino Linotype"/>
          <w:i/>
          <w:sz w:val="18"/>
          <w:szCs w:val="18"/>
        </w:rPr>
        <w:t>.</w:t>
      </w:r>
      <w:r w:rsidRPr="0045124B">
        <w:rPr>
          <w:rFonts w:ascii="Palatino Linotype" w:hAnsi="Palatino Linotype"/>
          <w:sz w:val="18"/>
          <w:szCs w:val="18"/>
        </w:rPr>
        <w:t xml:space="preserve"> p.p. 69-70, con cita de la Sentencia del Tribunal Supremo de 17 de enero de 2012 (RJ 2012/3115), FD 6.</w:t>
      </w:r>
    </w:p>
  </w:footnote>
  <w:footnote w:id="288">
    <w:p w14:paraId="7601FA41"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GONZÁLEZ MÉNDEZ, A., </w:t>
      </w:r>
      <w:r w:rsidRPr="0045124B">
        <w:rPr>
          <w:rFonts w:ascii="Palatino Linotype" w:hAnsi="Palatino Linotype"/>
          <w:i/>
          <w:sz w:val="18"/>
          <w:szCs w:val="18"/>
        </w:rPr>
        <w:t>Buena Fe y Derecho Tributario</w:t>
      </w:r>
      <w:r w:rsidRPr="0045124B">
        <w:rPr>
          <w:rFonts w:ascii="Palatino Linotype" w:hAnsi="Palatino Linotype"/>
          <w:sz w:val="18"/>
          <w:szCs w:val="18"/>
        </w:rPr>
        <w:t>, Marcial Pons, Madrid, Barcelona, 2001, p. 175.</w:t>
      </w:r>
    </w:p>
  </w:footnote>
  <w:footnote w:id="289">
    <w:p w14:paraId="44EA7464"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TRIVELLIN, M., “Capítulo III. El principio de buena fe objetiva”, </w:t>
      </w:r>
      <w:r w:rsidRPr="0045124B">
        <w:rPr>
          <w:rFonts w:ascii="Palatino Linotype" w:hAnsi="Palatino Linotype"/>
          <w:i/>
          <w:sz w:val="18"/>
          <w:szCs w:val="18"/>
        </w:rPr>
        <w:t>Los principios europeos del derecho tributario</w:t>
      </w:r>
      <w:r w:rsidRPr="0045124B">
        <w:rPr>
          <w:rFonts w:ascii="Palatino Linotype" w:hAnsi="Palatino Linotype"/>
          <w:sz w:val="18"/>
          <w:szCs w:val="18"/>
        </w:rPr>
        <w:t xml:space="preserve">, DI PIETRO, A. y TASSANI, T. (dirs.), Atelier Libros Jurídicos, Barcelona 2015, p. 85, con cita de la doctrina italiana. </w:t>
      </w:r>
    </w:p>
  </w:footnote>
  <w:footnote w:id="290">
    <w:p w14:paraId="4F21EC41" w14:textId="77777777" w:rsidR="00E87246" w:rsidRPr="0045124B" w:rsidRDefault="00E87246" w:rsidP="0045124B">
      <w:pPr>
        <w:spacing w:after="0" w:line="235" w:lineRule="auto"/>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Juez del Juzgado de Trabajo de San José. Miembro del Instituto Costarricense de Derecho procesal. ha escrito varios artículos y ensayos en la materia. Es además autor del libro Manual de legislación laboral costarricense, San José, 2019.</w:t>
      </w:r>
    </w:p>
    <w:p w14:paraId="54E9F90A" w14:textId="4059C686" w:rsidR="00E87246" w:rsidRPr="0045124B" w:rsidRDefault="00E87246" w:rsidP="0045124B">
      <w:pPr>
        <w:pStyle w:val="Textonotapie"/>
        <w:jc w:val="both"/>
        <w:rPr>
          <w:rFonts w:ascii="Palatino Linotype" w:hAnsi="Palatino Linotype"/>
          <w:sz w:val="18"/>
          <w:szCs w:val="18"/>
          <w:lang w:val="es-ES"/>
        </w:rPr>
      </w:pPr>
    </w:p>
  </w:footnote>
  <w:footnote w:id="291">
    <w:p w14:paraId="22FAB5D9"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Doctor en Política y Derecho Agrario, de la Scuola S. Sant’Anna de Pisa, Italia. Coordinador del Doctorado en Derecho, UCR. Juez del Tribunal Agrario. Exmagistrado suplente de la Sala Primera de Casación y de la Sala Constitucional. Profesor de Derecho Procesal Agrario y Derecho Procesal Comunitario. Premio Fernando Coto Albán “Al buen Juez”, 2018.</w:t>
      </w:r>
    </w:p>
  </w:footnote>
  <w:footnote w:id="292">
    <w:p w14:paraId="071F1243"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ASAMBLEA LEGISLATIVA. </w:t>
      </w:r>
      <w:r w:rsidRPr="0045124B">
        <w:rPr>
          <w:rFonts w:ascii="Palatino Linotype" w:hAnsi="Palatino Linotype"/>
          <w:sz w:val="18"/>
          <w:szCs w:val="18"/>
          <w:u w:val="single"/>
        </w:rPr>
        <w:t>Código Procesal Agrario</w:t>
      </w:r>
      <w:r w:rsidRPr="0045124B">
        <w:rPr>
          <w:rFonts w:ascii="Palatino Linotype" w:hAnsi="Palatino Linotype"/>
          <w:sz w:val="18"/>
          <w:szCs w:val="18"/>
        </w:rPr>
        <w:t>. Ley 9609 del 27 de setiembre del 2018, Publicada en el diario Oficial La Gaceta No. 41, del 27 de febrero del 2019, artículo 76.</w:t>
      </w:r>
    </w:p>
  </w:footnote>
  <w:footnote w:id="293">
    <w:p w14:paraId="4E0C524E"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CPA, artículo 74. </w:t>
      </w:r>
    </w:p>
  </w:footnote>
  <w:footnote w:id="294">
    <w:p w14:paraId="49BE5C7E"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70.</w:t>
      </w:r>
    </w:p>
  </w:footnote>
  <w:footnote w:id="295">
    <w:p w14:paraId="26EF25AB"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48 incisos 6 y 7.</w:t>
      </w:r>
    </w:p>
  </w:footnote>
  <w:footnote w:id="296">
    <w:p w14:paraId="3F84C712"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72.</w:t>
      </w:r>
    </w:p>
  </w:footnote>
  <w:footnote w:id="297">
    <w:p w14:paraId="63D5CEFC"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PICADO V. Carlos. Reforma Procesal Civil Práctica. San José, IIJ, 2018, p.174.</w:t>
      </w:r>
    </w:p>
  </w:footnote>
  <w:footnote w:id="298">
    <w:p w14:paraId="1C728466"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100. “Si la demanda no cumple los requisitos legales, el tribunal otorgará tres días para su cumplimiento, especificando todos los defectos, con el apercibimiento de declararla inadmisible.”</w:t>
      </w:r>
    </w:p>
  </w:footnote>
  <w:footnote w:id="299">
    <w:p w14:paraId="704DF147"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98 párrafo final: “Si se omite algún requisito al ofrecerse la prueba, se prevendrá su corrección en el plazo de tres días, con el apercibimiento de que se podrá declarar inadmisible, de una vez o en la audiencia preparatoria, según corresponda.”</w:t>
      </w:r>
    </w:p>
  </w:footnote>
  <w:footnote w:id="300">
    <w:p w14:paraId="792E21C8"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144.</w:t>
      </w:r>
    </w:p>
  </w:footnote>
  <w:footnote w:id="301">
    <w:p w14:paraId="79D2F28F"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CPA, artículo 74, Código Procesal Civil, artículo 58.2.</w:t>
      </w:r>
    </w:p>
  </w:footnote>
  <w:footnote w:id="302">
    <w:p w14:paraId="2CB0505C"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PICADO V, op.cit., pág. 175. “Un </w:t>
      </w:r>
      <w:r w:rsidRPr="0045124B">
        <w:rPr>
          <w:rFonts w:ascii="Palatino Linotype" w:hAnsi="Palatino Linotype"/>
          <w:b/>
          <w:sz w:val="18"/>
          <w:szCs w:val="18"/>
        </w:rPr>
        <w:t>auto simple</w:t>
      </w:r>
      <w:r w:rsidRPr="0045124B">
        <w:rPr>
          <w:rFonts w:ascii="Palatino Linotype" w:hAnsi="Palatino Linotype"/>
          <w:sz w:val="18"/>
          <w:szCs w:val="18"/>
        </w:rPr>
        <w:t xml:space="preserve">, que es el objeto del recurso de revocatoria, podemos definirlo mejor con el término resoluciones interlocutorias simples, las cuales, en general, todas las que deciden exclusivamente acerca de cuestiones relativos al desarrollo del debate procesal, y no sobre el derecho pretendido en la demanda o en la excepción. Por ello, las resoluciones interlocutorias o autos simples son aquellas decisiones que se dictan en el iter procesalis que preparan la sentencia definitiva, sin prejuzgar nada sobre el fondo de la litis. </w:t>
      </w:r>
      <w:r w:rsidRPr="0045124B">
        <w:rPr>
          <w:rFonts w:ascii="Palatino Linotype" w:hAnsi="Palatino Linotype"/>
          <w:b/>
          <w:sz w:val="18"/>
          <w:szCs w:val="18"/>
        </w:rPr>
        <w:t>Autos apelables</w:t>
      </w:r>
      <w:r w:rsidRPr="0045124B">
        <w:rPr>
          <w:rFonts w:ascii="Palatino Linotype" w:hAnsi="Palatino Linotype"/>
          <w:sz w:val="18"/>
          <w:szCs w:val="18"/>
        </w:rPr>
        <w:t>: Son aquellos que taxativamente son designados por el legislador como todas las que deciden exclusivamente acerca de cuestiones relativos al desarrollo del debate procesal que gozan del recurso de apelación.”</w:t>
      </w:r>
    </w:p>
  </w:footnote>
  <w:footnote w:id="303">
    <w:p w14:paraId="0307AF5E"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203.</w:t>
      </w:r>
    </w:p>
  </w:footnote>
  <w:footnote w:id="304">
    <w:p w14:paraId="58DF69BC"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74. CPC, art. 58.2</w:t>
      </w:r>
    </w:p>
  </w:footnote>
  <w:footnote w:id="305">
    <w:p w14:paraId="0DE8412C"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79</w:t>
      </w:r>
    </w:p>
  </w:footnote>
  <w:footnote w:id="306">
    <w:p w14:paraId="2218E05F"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79 párrafo 2.</w:t>
      </w:r>
    </w:p>
  </w:footnote>
  <w:footnote w:id="307">
    <w:p w14:paraId="2F645682"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79, párrafo 3.</w:t>
      </w:r>
    </w:p>
  </w:footnote>
  <w:footnote w:id="308">
    <w:p w14:paraId="37578355"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Código Procesal Civil, artículo 58.1.</w:t>
      </w:r>
    </w:p>
  </w:footnote>
  <w:footnote w:id="309">
    <w:p w14:paraId="33562002"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COUTURE, E. Fundamentos de Derecho Procesal Civil, pág. 302.</w:t>
      </w:r>
    </w:p>
  </w:footnote>
  <w:footnote w:id="310">
    <w:p w14:paraId="0A16B530"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DE SANTO, Tratado de los recursos, pág. 11.</w:t>
      </w:r>
    </w:p>
  </w:footnote>
  <w:footnote w:id="311">
    <w:p w14:paraId="2431985A"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CHIOVENDA, Curso de Derecho Procesal Civil, pág. 422.</w:t>
      </w:r>
    </w:p>
  </w:footnote>
  <w:footnote w:id="312">
    <w:p w14:paraId="1DAE8B17"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COUTURE, Fundamentos…, op. Cit., pág. 198.</w:t>
      </w:r>
    </w:p>
  </w:footnote>
  <w:footnote w:id="313">
    <w:p w14:paraId="4C1AB564"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85.</w:t>
      </w:r>
    </w:p>
  </w:footnote>
  <w:footnote w:id="314">
    <w:p w14:paraId="37AD9478"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CHIOVENDA, G. Curso…, op. Cit., pág. 506.</w:t>
      </w:r>
    </w:p>
  </w:footnote>
  <w:footnote w:id="315">
    <w:p w14:paraId="1925A2F4"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85, párrafo tercero.</w:t>
      </w:r>
    </w:p>
  </w:footnote>
  <w:footnote w:id="316">
    <w:p w14:paraId="53E91892"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CPA, artículo 85, párrafo segundo.</w:t>
      </w:r>
    </w:p>
  </w:footnote>
  <w:footnote w:id="317">
    <w:p w14:paraId="30608024"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artículos 70 y 81 párrafo segundo</w:t>
      </w:r>
    </w:p>
  </w:footnote>
  <w:footnote w:id="318">
    <w:p w14:paraId="0120BC86"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w:t>
      </w:r>
      <w:r w:rsidRPr="0045124B">
        <w:rPr>
          <w:rFonts w:ascii="Palatino Linotype" w:hAnsi="Palatino Linotype" w:cs="Times New Roman"/>
          <w:spacing w:val="-3"/>
        </w:rPr>
        <w:t>CPA, artículo 81, párrafo primero.</w:t>
      </w:r>
    </w:p>
  </w:footnote>
  <w:footnote w:id="319">
    <w:p w14:paraId="5FED132E"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82. </w:t>
      </w:r>
      <w:r w:rsidRPr="0045124B">
        <w:rPr>
          <w:rFonts w:ascii="Palatino Linotype" w:eastAsia="Times New Roman" w:hAnsi="Palatino Linotype"/>
          <w:sz w:val="18"/>
          <w:szCs w:val="18"/>
          <w:lang w:eastAsia="es-ES"/>
        </w:rPr>
        <w:t>El tribunal podrá ajustar en sentencia las condenas a lo que legalmente corresponda, cuando resulte procedente, si hay de por medio derechos irrenunciables. Se pronunciará sobre extremos que el ordenamiento jurídico permita resolver sin requerimiento de parte, cuando sean consecuencia intrínseca de lo debatido y lo concedido. De igual forma, podrá disponer las nulidades vinculadas con las pretensiones acogidas, cuando sea estrictamente necesario por interés público, para resguardar la seguridad jurídica o garantizar la información de los registros y los archivos oficiales.</w:t>
      </w:r>
    </w:p>
  </w:footnote>
  <w:footnote w:id="320">
    <w:p w14:paraId="2505B5E3"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81 párrafo cuarto.</w:t>
      </w:r>
    </w:p>
  </w:footnote>
  <w:footnote w:id="321">
    <w:p w14:paraId="671F932A" w14:textId="77777777" w:rsidR="00E87246" w:rsidRPr="0045124B" w:rsidRDefault="00E87246" w:rsidP="0045124B">
      <w:pPr>
        <w:pStyle w:val="PIESAGRARIO"/>
        <w:spacing w:line="240" w:lineRule="auto"/>
        <w:rPr>
          <w:rFonts w:ascii="Palatino Linotype" w:hAnsi="Palatino Linotype" w:cs="Times New Roman"/>
          <w:spacing w:val="-3"/>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w:t>
      </w:r>
      <w:r w:rsidRPr="0045124B">
        <w:rPr>
          <w:rFonts w:ascii="Palatino Linotype" w:hAnsi="Palatino Linotype" w:cs="Times New Roman"/>
          <w:spacing w:val="-3"/>
        </w:rPr>
        <w:t>COUTURE, Eduardo. Fundamentos, op. Cit., páginas 282-283.</w:t>
      </w:r>
    </w:p>
    <w:p w14:paraId="415D99F5" w14:textId="77777777" w:rsidR="00E87246" w:rsidRPr="0045124B" w:rsidRDefault="00E87246" w:rsidP="0045124B">
      <w:pPr>
        <w:pStyle w:val="PIESAGRARIO"/>
        <w:spacing w:line="240" w:lineRule="auto"/>
        <w:rPr>
          <w:rFonts w:ascii="Palatino Linotype" w:hAnsi="Palatino Linotype" w:cs="Times New Roman"/>
        </w:rPr>
      </w:pPr>
    </w:p>
  </w:footnote>
  <w:footnote w:id="322">
    <w:p w14:paraId="3EE834D4"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81 párrafo tercero.</w:t>
      </w:r>
    </w:p>
  </w:footnote>
  <w:footnote w:id="323">
    <w:p w14:paraId="6D3F8746"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81 párrafo cuarto.</w:t>
      </w:r>
    </w:p>
  </w:footnote>
  <w:footnote w:id="324">
    <w:p w14:paraId="3935759A" w14:textId="77777777" w:rsidR="00E87246" w:rsidRPr="0045124B" w:rsidRDefault="00E87246" w:rsidP="0045124B">
      <w:pPr>
        <w:pStyle w:val="PIESAGRARIO"/>
        <w:spacing w:line="240" w:lineRule="auto"/>
        <w:rPr>
          <w:rFonts w:ascii="Palatino Linotype" w:hAnsi="Palatino Linotype" w:cs="Times New Roman"/>
          <w:i/>
          <w:iCs/>
          <w:spacing w:val="-3"/>
        </w:rPr>
      </w:pPr>
      <w:r w:rsidRPr="0045124B">
        <w:rPr>
          <w:rFonts w:ascii="Palatino Linotype" w:hAnsi="Palatino Linotype" w:cs="Times New Roman"/>
          <w:vertAlign w:val="superscript"/>
        </w:rPr>
        <w:footnoteRef/>
      </w:r>
      <w:r w:rsidRPr="0045124B">
        <w:rPr>
          <w:rFonts w:ascii="Palatino Linotype" w:hAnsi="Palatino Linotype" w:cs="Times New Roman"/>
          <w:lang w:val="es-CR"/>
        </w:rPr>
        <w:t xml:space="preserve"> </w:t>
      </w:r>
      <w:r w:rsidRPr="0045124B">
        <w:rPr>
          <w:rFonts w:ascii="Palatino Linotype" w:hAnsi="Palatino Linotype" w:cs="Times New Roman"/>
          <w:spacing w:val="-3"/>
          <w:lang w:val="es-CR"/>
        </w:rPr>
        <w:t xml:space="preserve">Sala Primera de la Corte. </w:t>
      </w:r>
      <w:r w:rsidRPr="0045124B">
        <w:rPr>
          <w:rFonts w:ascii="Palatino Linotype" w:hAnsi="Palatino Linotype" w:cs="Times New Roman"/>
          <w:spacing w:val="-3"/>
        </w:rPr>
        <w:t>No. 58 de las 14:40 horas del 27 de agosto de 1993</w:t>
      </w:r>
      <w:r w:rsidRPr="0045124B">
        <w:rPr>
          <w:rFonts w:ascii="Palatino Linotype" w:hAnsi="Palatino Linotype" w:cs="Times New Roman"/>
          <w:i/>
          <w:iCs/>
          <w:spacing w:val="-3"/>
        </w:rPr>
        <w:t>.</w:t>
      </w:r>
    </w:p>
    <w:p w14:paraId="52ED6172" w14:textId="77777777" w:rsidR="00E87246" w:rsidRPr="0045124B" w:rsidRDefault="00E87246" w:rsidP="0045124B">
      <w:pPr>
        <w:pStyle w:val="PIESAGRARIO"/>
        <w:spacing w:line="240" w:lineRule="auto"/>
        <w:rPr>
          <w:rFonts w:ascii="Palatino Linotype" w:hAnsi="Palatino Linotype" w:cs="Times New Roman"/>
        </w:rPr>
      </w:pPr>
    </w:p>
  </w:footnote>
  <w:footnote w:id="325">
    <w:p w14:paraId="77C03DB5"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83</w:t>
      </w:r>
    </w:p>
  </w:footnote>
  <w:footnote w:id="326">
    <w:p w14:paraId="250C4D27"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231.</w:t>
      </w:r>
    </w:p>
  </w:footnote>
  <w:footnote w:id="327">
    <w:p w14:paraId="63F8A982"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VESCOVI, Enrique. Los recursos judiciales y demás medios impugnativos en Iberoamérica. Depalma, Buenos Aires, Argentina, 1988, p. 13. </w:t>
      </w:r>
    </w:p>
  </w:footnote>
  <w:footnote w:id="328">
    <w:p w14:paraId="558BBFFC"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RIVAS. Adolfo. Tratado de los recursos ordinarios. Buenos Aires, Editorial Abaco, 1991, pág. 66.</w:t>
      </w:r>
    </w:p>
  </w:footnote>
  <w:footnote w:id="329">
    <w:p w14:paraId="6D5105A1"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PALACIO, Lino. Manual de Derecho Procesal civil, pág. 567-568.</w:t>
      </w:r>
    </w:p>
  </w:footnote>
  <w:footnote w:id="330">
    <w:p w14:paraId="5851DE95"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VESCOVI, E. Los recursos judiciales..., pág. 29.</w:t>
      </w:r>
    </w:p>
    <w:p w14:paraId="57D4E5F3" w14:textId="77777777" w:rsidR="00E87246" w:rsidRPr="0045124B" w:rsidRDefault="00E87246" w:rsidP="0045124B">
      <w:pPr>
        <w:pStyle w:val="PIESAGRARIO"/>
        <w:spacing w:line="240" w:lineRule="auto"/>
        <w:rPr>
          <w:rFonts w:ascii="Palatino Linotype" w:hAnsi="Palatino Linotype" w:cs="Times New Roman"/>
        </w:rPr>
      </w:pPr>
    </w:p>
  </w:footnote>
  <w:footnote w:id="331">
    <w:p w14:paraId="1D8683BB"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artículos 81 y 82.</w:t>
      </w:r>
    </w:p>
  </w:footnote>
  <w:footnote w:id="332">
    <w:p w14:paraId="4C78585A"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DE SANTO, Tratado de los recursos, op. Cit., pág. 152.</w:t>
      </w:r>
    </w:p>
  </w:footnote>
  <w:footnote w:id="333">
    <w:p w14:paraId="3FE2501C"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RIVAS, A., Tratado de los recursos ordinarios, pág. 125.</w:t>
      </w:r>
    </w:p>
  </w:footnote>
  <w:footnote w:id="334">
    <w:p w14:paraId="68280CB9"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ab/>
        <w:t xml:space="preserve"> Código Procesal Civil, artículo 158.</w:t>
      </w:r>
    </w:p>
  </w:footnote>
  <w:footnote w:id="335">
    <w:p w14:paraId="637D0B24"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198.</w:t>
      </w:r>
    </w:p>
  </w:footnote>
  <w:footnote w:id="336">
    <w:p w14:paraId="4F216089"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222.</w:t>
      </w:r>
    </w:p>
  </w:footnote>
  <w:footnote w:id="337">
    <w:p w14:paraId="4E81364B"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197.</w:t>
      </w:r>
    </w:p>
  </w:footnote>
  <w:footnote w:id="338">
    <w:p w14:paraId="4E0CC2DF"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197, párrafo segundo.</w:t>
      </w:r>
    </w:p>
  </w:footnote>
  <w:footnote w:id="339">
    <w:p w14:paraId="5A9CC6DE"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198.</w:t>
      </w:r>
    </w:p>
  </w:footnote>
  <w:footnote w:id="340">
    <w:p w14:paraId="4B861507"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200.</w:t>
      </w:r>
    </w:p>
  </w:footnote>
  <w:footnote w:id="341">
    <w:p w14:paraId="71E19A56"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RIVAS, A. Op. Cit. Pág. 167.</w:t>
      </w:r>
    </w:p>
  </w:footnote>
  <w:footnote w:id="342">
    <w:p w14:paraId="76EACB8D"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VESCOVI, E. Los recursos…, op. Cit., pág. 85.</w:t>
      </w:r>
    </w:p>
  </w:footnote>
  <w:footnote w:id="343">
    <w:p w14:paraId="288FD93C"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w:t>
      </w:r>
      <w:r w:rsidRPr="0045124B">
        <w:rPr>
          <w:rFonts w:ascii="Palatino Linotype" w:hAnsi="Palatino Linotype" w:cs="Times New Roman"/>
          <w:spacing w:val="-3"/>
        </w:rPr>
        <w:t>Sala Constitucional, No. 1371-92 de las 14:40 horas del 26 de mayo de 1992</w:t>
      </w:r>
    </w:p>
  </w:footnote>
  <w:footnote w:id="344">
    <w:p w14:paraId="318D93C3"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Sala Constitucional, No. 4801 de las 8:45 horas del 1 octubre de 1993.</w:t>
      </w:r>
    </w:p>
  </w:footnote>
  <w:footnote w:id="345">
    <w:p w14:paraId="1F6A65D3"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201</w:t>
      </w:r>
    </w:p>
  </w:footnote>
  <w:footnote w:id="346">
    <w:p w14:paraId="4FD11C27"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VESCOVI, E. Los recursos judiciales…, op. Cit., pág. 99.</w:t>
      </w:r>
    </w:p>
  </w:footnote>
  <w:footnote w:id="347">
    <w:p w14:paraId="2431EF78"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RIVAS, A., op. Cit., pág. 235.</w:t>
      </w:r>
    </w:p>
  </w:footnote>
  <w:footnote w:id="348">
    <w:p w14:paraId="1D77B6F9" w14:textId="21169A13"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Ibid, pág. 235.</w:t>
      </w:r>
    </w:p>
  </w:footnote>
  <w:footnote w:id="349">
    <w:p w14:paraId="14B320E3"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VESCOVI, E. Los recursos judiciales…, op. Cit., pág. 102-103.</w:t>
      </w:r>
    </w:p>
  </w:footnote>
  <w:footnote w:id="350">
    <w:p w14:paraId="3701614F"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CPA, artículo 11.</w:t>
      </w:r>
    </w:p>
  </w:footnote>
  <w:footnote w:id="351">
    <w:p w14:paraId="4AFEDA0E"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Al respecto señala la doctrina nacional “…podrá incurrir en el vicio de falta de congruencia o exceder su competencia, consistente en resolver cuestiones no planteadas, cuando el Tribunal de segunda instancia se pronunció sobre puntos no planteados, con mayor razón si se viola la prohibición de la “reformatio in pejus”. En este aspecto la competencia funcional en apelación, en virtud de los agravios expresados o no, reviste los siguientes caracteres: a) el tribunal de apelación no actúa como superior jerárquico del órgano judicial de primera instancia, porque los recursos no tienen por objeto homologar la actuación de este último, sin perfeccionar el con conocimiento del asunto a través de la revisión de la sentencia impugnada, b) Los órganos judiciales de apelación no pueden fallar sobre aspectos que no se hubiesen propuesto a la decisión del órgano inferior, ni respecto de la cual no haya mediado agravio concreto del recurrente –tantum appellatum quantun devolutum-“. ARTAVIA, op.cit. Pág. 357.</w:t>
      </w:r>
    </w:p>
  </w:footnote>
  <w:footnote w:id="352">
    <w:p w14:paraId="2E003A6E"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Véscovi, op. Cit., pág. 44-45.</w:t>
      </w:r>
    </w:p>
  </w:footnote>
  <w:footnote w:id="353">
    <w:p w14:paraId="59CE64A7"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202 párrafo primero.</w:t>
      </w:r>
    </w:p>
  </w:footnote>
  <w:footnote w:id="354">
    <w:p w14:paraId="5DF83A93"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202, párrafos segundo y tercero.</w:t>
      </w:r>
    </w:p>
  </w:footnote>
  <w:footnote w:id="355">
    <w:p w14:paraId="16EC066D"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202 párrafo tercero</w:t>
      </w:r>
    </w:p>
  </w:footnote>
  <w:footnote w:id="356">
    <w:p w14:paraId="77BF4216"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197. Motivación de la impugnación.</w:t>
      </w:r>
    </w:p>
  </w:footnote>
  <w:footnote w:id="357">
    <w:p w14:paraId="7F57328F"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202, párrafo quinto.</w:t>
      </w:r>
    </w:p>
  </w:footnote>
  <w:footnote w:id="358">
    <w:p w14:paraId="4F3B9FCB"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VESCOVI, E.  Los Recursos judiciales, op. Cit., pág. 40.</w:t>
      </w:r>
    </w:p>
  </w:footnote>
  <w:footnote w:id="359">
    <w:p w14:paraId="3D6E14B9"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196. “Podrán impugnarlas, únicamente, las personas perjudicadas por estas, en los plazos y condiciones dispuestos por ley.”</w:t>
      </w:r>
    </w:p>
  </w:footnote>
  <w:footnote w:id="360">
    <w:p w14:paraId="431DDF37"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202, párrafo cuarto; artículo 206, párrafo primero.</w:t>
      </w:r>
    </w:p>
  </w:footnote>
  <w:footnote w:id="361">
    <w:p w14:paraId="6C090AEF"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 xml:space="preserve">  “La imposibilidad de promover la “segunda instancia” frente a providencias, además, no sólo se sustenta en la limitada funcionalidad de dichas resoluciones judiciales. También es perceptible, como consecuencia derivada del estrecho ámbito funcional abarcado por las mismas, que su emisión viene casi impuesta por la norma procesal, eliminando prácticamente en ellas toda labor de apreciación, ponderación o valoración judicial sobre su contenido y pertinencia, aspecto éste que desaconseja arbitrar cualesquiera géneros de impugnación frente a las mismas”. GARBERI LLOBREGAT y otro,  Apelación y Casación en el proceso civil, pág. 113. </w:t>
      </w:r>
    </w:p>
  </w:footnote>
  <w:footnote w:id="362">
    <w:p w14:paraId="31F55761" w14:textId="77777777" w:rsidR="00E87246" w:rsidRPr="0045124B" w:rsidRDefault="00E87246" w:rsidP="0045124B">
      <w:pPr>
        <w:pStyle w:val="PIESAGRARIO"/>
        <w:spacing w:line="240" w:lineRule="auto"/>
        <w:rPr>
          <w:rFonts w:ascii="Palatino Linotype" w:hAnsi="Palatino Linotype" w:cs="Times New Roman"/>
        </w:rPr>
      </w:pPr>
      <w:r w:rsidRPr="0045124B">
        <w:rPr>
          <w:rFonts w:ascii="Palatino Linotype" w:hAnsi="Palatino Linotype" w:cs="Times New Roman"/>
          <w:vertAlign w:val="superscript"/>
        </w:rPr>
        <w:footnoteRef/>
      </w:r>
      <w:r w:rsidRPr="0045124B">
        <w:rPr>
          <w:rFonts w:ascii="Palatino Linotype" w:hAnsi="Palatino Linotype" w:cs="Times New Roman"/>
        </w:rPr>
        <w:t>Entre otras, T.A. No. 229 de 15:30 horas del 2 de abril del 2004 (rechaza el recurso por apelación de un auto que admite prueba pericial en fase de ejecución).</w:t>
      </w:r>
    </w:p>
  </w:footnote>
  <w:footnote w:id="363">
    <w:p w14:paraId="2C25F516"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Sobre el tema en la doctrina nacional consúltese:  ARTAVIA B., Sergio. “La apelación diferida en el Proceso Civil Costarricense”. En: El recurso de casación. Instituto Costarricense de Derecho Procesal Científico, IIJ, 2014, p.355-381; LÓPEZ G. Jorge. “Apelación Diferida”, Ibid, pág.383-395.</w:t>
      </w:r>
    </w:p>
  </w:footnote>
  <w:footnote w:id="364">
    <w:p w14:paraId="47382675"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“La apelación con efecto diferido, es aquella modalidad de apelación, interpuesta oportunamente, pero cuyo conocimiento queda suspendido o reservado –su conocimiento- para que sea resuelta, posteriormente y de manera acumulada, por el Superior jerárquico conjuntamente con la apelación de la sentencia u el auto definitivo que puso fin a la instancia procesal”. ARTAVIA B., Ibid, p. 360.</w:t>
      </w:r>
    </w:p>
  </w:footnote>
  <w:footnote w:id="365">
    <w:p w14:paraId="50282BB2"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204.</w:t>
      </w:r>
    </w:p>
  </w:footnote>
  <w:footnote w:id="366">
    <w:p w14:paraId="302139A9"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205.</w:t>
      </w:r>
    </w:p>
  </w:footnote>
  <w:footnote w:id="367">
    <w:p w14:paraId="05ADD4C0"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PICADO V. Carlos. Manual de los recursos procesales, T. I, San José, IJ, p. 123.</w:t>
      </w:r>
    </w:p>
  </w:footnote>
  <w:footnote w:id="368">
    <w:p w14:paraId="78C780BF"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206.</w:t>
      </w:r>
    </w:p>
  </w:footnote>
  <w:footnote w:id="369">
    <w:p w14:paraId="18A305AB"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206 párrafo quinto.</w:t>
      </w:r>
    </w:p>
  </w:footnote>
  <w:footnote w:id="370">
    <w:p w14:paraId="411D2259"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219.</w:t>
      </w:r>
    </w:p>
  </w:footnote>
  <w:footnote w:id="371">
    <w:p w14:paraId="15BB9723"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CPA, artículo 207.</w:t>
      </w:r>
    </w:p>
  </w:footnote>
  <w:footnote w:id="372">
    <w:p w14:paraId="52D2AC24" w14:textId="77777777" w:rsidR="00E87246" w:rsidRPr="0045124B" w:rsidRDefault="00E87246" w:rsidP="0045124B">
      <w:pPr>
        <w:spacing w:after="0"/>
        <w:jc w:val="both"/>
        <w:rPr>
          <w:rFonts w:ascii="Palatino Linotype" w:eastAsia="Times New Roman" w:hAnsi="Palatino Linotype" w:cs="Times New Roman"/>
          <w:sz w:val="18"/>
          <w:szCs w:val="18"/>
          <w:lang w:eastAsia="es-ES_tradnl"/>
        </w:rPr>
      </w:pPr>
      <w:r w:rsidRPr="0045124B">
        <w:rPr>
          <w:rStyle w:val="Refdenotaalpie"/>
          <w:rFonts w:ascii="Palatino Linotype" w:hAnsi="Palatino Linotype" w:cs="Times New Roman"/>
          <w:sz w:val="18"/>
          <w:szCs w:val="18"/>
        </w:rPr>
        <w:t>*</w:t>
      </w:r>
      <w:r w:rsidRPr="0045124B">
        <w:rPr>
          <w:rFonts w:ascii="Palatino Linotype" w:hAnsi="Palatino Linotype" w:cs="Times New Roman"/>
          <w:sz w:val="18"/>
          <w:szCs w:val="18"/>
        </w:rPr>
        <w:t xml:space="preserve"> </w:t>
      </w:r>
      <w:r w:rsidRPr="0045124B">
        <w:rPr>
          <w:rFonts w:ascii="Palatino Linotype" w:eastAsia="Times New Roman" w:hAnsi="Palatino Linotype" w:cs="Times New Roman"/>
          <w:color w:val="000000"/>
          <w:sz w:val="18"/>
          <w:szCs w:val="18"/>
          <w:shd w:val="clear" w:color="auto" w:fill="FFFFFF"/>
          <w:lang w:eastAsia="es-ES_tradnl"/>
        </w:rPr>
        <w:t>Licenciado en Derecho por la Universidad de Costa Rica; Máster en Derecho Penal por la Universidad de Sevilla, España; Máster en Razonamiento Probatorio por la Universitat de Girona, España, y la Università degli Studi di Genova, Italia. Postgrado en Ética Pública, Transparencia y Anticorrupción por la Universidad Nacional del Litoral, Argentina; Especialista en Derecho Penal por la Escuela Judicial de Costa Rica; Especialista en Justicia Constitucional por la Università di Pisa, Italia; Especialista en Crímenes Transnacionales y Corrupción por la Universidad de Salamanca, España; Especialista en Derecho Notarial y Registral por la Universidad Latina de Costa Rica; Miembro de la Asociación de Ciencias Penales de Costa Rica, la Asociación Internacional de Derecho Penal y la Asociación Pensamiento Penal de Argentina. Además, ha sido miembro de las comisiones de Derecho Penal, Abogados Recién Incorporados y Derecho a la Salud del Colegio de Abogados de Costa Rica y forma parte del Consejo Editorial de la Revista El Foro de Costa Rica. Conferencista internacional, profesor de los cursos de Derecho Penal Especial y Derecho Penal General en la Universidad Autónoma de Centro América, docente invitado por el Departamento del Interior de los Estados Unidos de América y ROAVIS, profesor de posgrado en la Universidad Autónoma Benito Juárez de Oaxaca, México, y docente del Colegio de Abogados de Costa Rica. Entre sus publicaciones destacan: “</w:t>
      </w:r>
      <w:r w:rsidRPr="0045124B">
        <w:rPr>
          <w:rFonts w:ascii="Palatino Linotype" w:eastAsia="Times New Roman" w:hAnsi="Palatino Linotype" w:cs="Times New Roman"/>
          <w:i/>
          <w:iCs/>
          <w:color w:val="000000"/>
          <w:sz w:val="18"/>
          <w:szCs w:val="18"/>
          <w:lang w:eastAsia="es-ES_tradnl"/>
        </w:rPr>
        <w:t>El delito de legitimación de capitales</w:t>
      </w:r>
      <w:r w:rsidRPr="0045124B">
        <w:rPr>
          <w:rFonts w:ascii="Palatino Linotype" w:eastAsia="Times New Roman" w:hAnsi="Palatino Linotype" w:cs="Times New Roman"/>
          <w:color w:val="000000"/>
          <w:sz w:val="18"/>
          <w:szCs w:val="18"/>
          <w:shd w:val="clear" w:color="auto" w:fill="FFFFFF"/>
          <w:lang w:eastAsia="es-ES_tradnl"/>
        </w:rPr>
        <w:t>” (2013), “</w:t>
      </w:r>
      <w:r w:rsidRPr="0045124B">
        <w:rPr>
          <w:rFonts w:ascii="Palatino Linotype" w:eastAsia="Times New Roman" w:hAnsi="Palatino Linotype" w:cs="Times New Roman"/>
          <w:i/>
          <w:iCs/>
          <w:color w:val="000000"/>
          <w:sz w:val="18"/>
          <w:szCs w:val="18"/>
          <w:lang w:eastAsia="es-ES_tradnl"/>
        </w:rPr>
        <w:t>Prisión preventiva y control de convencionalidad</w:t>
      </w:r>
      <w:r w:rsidRPr="0045124B">
        <w:rPr>
          <w:rFonts w:ascii="Palatino Linotype" w:eastAsia="Times New Roman" w:hAnsi="Palatino Linotype" w:cs="Times New Roman"/>
          <w:color w:val="000000"/>
          <w:sz w:val="18"/>
          <w:szCs w:val="18"/>
          <w:shd w:val="clear" w:color="auto" w:fill="FFFFFF"/>
          <w:lang w:eastAsia="es-ES_tradnl"/>
        </w:rPr>
        <w:t>” (2015), “</w:t>
      </w:r>
      <w:r w:rsidRPr="0045124B">
        <w:rPr>
          <w:rFonts w:ascii="Palatino Linotype" w:eastAsia="Times New Roman" w:hAnsi="Palatino Linotype" w:cs="Times New Roman"/>
          <w:i/>
          <w:iCs/>
          <w:color w:val="000000"/>
          <w:sz w:val="18"/>
          <w:szCs w:val="18"/>
          <w:lang w:eastAsia="es-ES_tradnl"/>
        </w:rPr>
        <w:t>Mecanismos electrónicos de seguimiento. ¿Entre el panóptico y la prisión electrónica?</w:t>
      </w:r>
      <w:r w:rsidRPr="0045124B">
        <w:rPr>
          <w:rFonts w:ascii="Palatino Linotype" w:eastAsia="Times New Roman" w:hAnsi="Palatino Linotype" w:cs="Times New Roman"/>
          <w:color w:val="000000"/>
          <w:sz w:val="18"/>
          <w:szCs w:val="18"/>
          <w:shd w:val="clear" w:color="auto" w:fill="FFFFFF"/>
          <w:lang w:eastAsia="es-ES_tradnl"/>
        </w:rPr>
        <w:t>” (2017), así como múltiples artículos en diarios, revistas y obras colectivas en Latinoamérica y Europa. Actualmente ejerce como Juez Penal de la República de Costa Rica.</w:t>
      </w:r>
    </w:p>
  </w:footnote>
  <w:footnote w:id="373">
    <w:p w14:paraId="7722BD3D" w14:textId="77777777" w:rsidR="00E87246" w:rsidRPr="0045124B" w:rsidRDefault="00E87246" w:rsidP="0045124B">
      <w:pPr>
        <w:pStyle w:val="Textonotapie"/>
        <w:jc w:val="both"/>
        <w:rPr>
          <w:rFonts w:ascii="Palatino Linotype" w:hAnsi="Palatino Linotype" w:cs="Times New Roman"/>
          <w:color w:val="000000" w:themeColor="text1"/>
          <w:sz w:val="18"/>
          <w:szCs w:val="18"/>
          <w:lang w:val="es-ES_tradnl"/>
        </w:rPr>
      </w:pPr>
      <w:r w:rsidRPr="0045124B">
        <w:rPr>
          <w:rStyle w:val="Refdenotaalpie"/>
          <w:rFonts w:ascii="Palatino Linotype" w:hAnsi="Palatino Linotype" w:cs="Times New Roman"/>
          <w:color w:val="000000" w:themeColor="text1"/>
          <w:sz w:val="18"/>
          <w:szCs w:val="18"/>
        </w:rPr>
        <w:footnoteRef/>
      </w:r>
      <w:r w:rsidRPr="0045124B">
        <w:rPr>
          <w:rFonts w:ascii="Palatino Linotype" w:hAnsi="Palatino Linotype" w:cs="Times New Roman"/>
          <w:color w:val="000000" w:themeColor="text1"/>
          <w:sz w:val="18"/>
          <w:szCs w:val="18"/>
          <w:lang w:val="es-ES_tradnl"/>
        </w:rPr>
        <w:t xml:space="preserve"> Se vislumbra alguna “hipersensibilidad de los medios” frente a cierta tipología delincuencial, de donde se deduce que “la supuesta ola de criminalidad corresponde, en mayor medida, a un interés repentino de los medios por un tema criminal específico, sobre el que deciden informar de manera abundante y persistente, y no surgen de un aumento real en las estadísticas oficiales de delincuencia</w:t>
      </w:r>
      <w:r w:rsidRPr="0045124B">
        <w:rPr>
          <w:rFonts w:ascii="Palatino Linotype" w:hAnsi="Palatino Linotype" w:cs="Times New Roman"/>
          <w:i/>
          <w:color w:val="000000" w:themeColor="text1"/>
          <w:sz w:val="18"/>
          <w:szCs w:val="18"/>
          <w:lang w:val="es-ES_tradnl"/>
        </w:rPr>
        <w:t xml:space="preserve">” </w:t>
      </w:r>
      <w:r w:rsidRPr="0045124B">
        <w:rPr>
          <w:rFonts w:ascii="Palatino Linotype" w:hAnsi="Palatino Linotype" w:cs="Times New Roman"/>
          <w:i/>
          <w:color w:val="000000" w:themeColor="text1"/>
          <w:sz w:val="18"/>
          <w:szCs w:val="18"/>
          <w:lang w:val="es-ES_tradnl"/>
        </w:rPr>
        <w:fldChar w:fldCharType="begin" w:fldLock="1"/>
      </w:r>
      <w:r w:rsidRPr="0045124B">
        <w:rPr>
          <w:rFonts w:ascii="Palatino Linotype" w:hAnsi="Palatino Linotype" w:cs="Times New Roman"/>
          <w:i/>
          <w:color w:val="000000" w:themeColor="text1"/>
          <w:sz w:val="18"/>
          <w:szCs w:val="18"/>
          <w:lang w:val="es-ES_tradnl"/>
        </w:rPr>
        <w:instrText>ADDIN CSL_CITATION {"citationItems":[{"id":"ITEM-1","itemData":{"ISBN":"978-9930-520-02-4","author":[{"dropping-particle":"","family":"Vega Monge","given":"Ariana","non-dropping-particle":"","parse-names":false,"suffix":""}],"id":"ITEM-1","issued":{"date-parts":[["2015"]]},"number-of-pages":"321","publisher":"Editorial Jurídica Continental","publisher-place":"San José","title":"Populismo punitivo y medios de comunicación","type":"book"},"locator":"121","uris":["http://www.mendeley.com/documents/?uuid=b382822e-36e9-4556-9873-59e0bcfea7de"]}],"mendeley":{"formattedCitation":"(Vega Monge, 2015, p. 121)","plainTextFormattedCitation":"(Vega Monge, 2015, p. 121)","previouslyFormattedCitation":"(Vega Monge, 2015, p. 121)"},"properties":{"noteIndex":0},"schema":"https://github.com/citation-style-language/schema/raw/master/csl-citation.json"}</w:instrText>
      </w:r>
      <w:r w:rsidRPr="0045124B">
        <w:rPr>
          <w:rFonts w:ascii="Palatino Linotype" w:hAnsi="Palatino Linotype" w:cs="Times New Roman"/>
          <w:i/>
          <w:color w:val="000000" w:themeColor="text1"/>
          <w:sz w:val="18"/>
          <w:szCs w:val="18"/>
          <w:lang w:val="es-ES_tradnl"/>
        </w:rPr>
        <w:fldChar w:fldCharType="separate"/>
      </w:r>
      <w:r w:rsidRPr="0045124B">
        <w:rPr>
          <w:rFonts w:ascii="Palatino Linotype" w:hAnsi="Palatino Linotype" w:cs="Times New Roman"/>
          <w:noProof/>
          <w:color w:val="000000" w:themeColor="text1"/>
          <w:sz w:val="18"/>
          <w:szCs w:val="18"/>
          <w:lang w:val="es-ES_tradnl"/>
        </w:rPr>
        <w:t>(Vega Monge, 2015, p. 121)</w:t>
      </w:r>
      <w:r w:rsidRPr="0045124B">
        <w:rPr>
          <w:rFonts w:ascii="Palatino Linotype" w:hAnsi="Palatino Linotype" w:cs="Times New Roman"/>
          <w:i/>
          <w:color w:val="000000" w:themeColor="text1"/>
          <w:sz w:val="18"/>
          <w:szCs w:val="18"/>
          <w:lang w:val="es-ES_tradnl"/>
        </w:rPr>
        <w:fldChar w:fldCharType="end"/>
      </w:r>
      <w:r w:rsidRPr="0045124B">
        <w:rPr>
          <w:rFonts w:ascii="Palatino Linotype" w:hAnsi="Palatino Linotype" w:cs="Times New Roman"/>
          <w:i/>
          <w:color w:val="000000" w:themeColor="text1"/>
          <w:sz w:val="18"/>
          <w:szCs w:val="18"/>
          <w:lang w:val="es-ES_tradnl"/>
        </w:rPr>
        <w:t xml:space="preserve">. </w:t>
      </w:r>
      <w:r w:rsidRPr="0045124B">
        <w:rPr>
          <w:rFonts w:ascii="Palatino Linotype" w:hAnsi="Palatino Linotype" w:cs="Times New Roman"/>
          <w:color w:val="000000" w:themeColor="text1"/>
          <w:sz w:val="18"/>
          <w:szCs w:val="18"/>
          <w:lang w:val="es-ES_tradnl"/>
        </w:rPr>
        <w:t>No se pretende negar la proliferación de algunos delitos o el refinamiento de ciertas actividades ilícitas, pero si es imprescindible comprender el trascendental papel de la prensa en la mercantilización del producto-delincuencia, lo que engendra, entre otros nefastos efectos, la distracción con respecto a las causas reales de la criminalidad; “lo habitual es potenciar su difusión sensacionalista en esos momentos, sin que importe su posible precariedad; para luego, por sistema, en el caso de que pudieran resultar infundados, escatimar de una forma escandalosa la información necesaria para el restablecimiento de la verdad, ya mucho menos noticiable</w:t>
      </w:r>
      <w:r w:rsidRPr="0045124B">
        <w:rPr>
          <w:rFonts w:ascii="Palatino Linotype" w:hAnsi="Palatino Linotype" w:cs="Times New Roman"/>
          <w:i/>
          <w:color w:val="000000" w:themeColor="text1"/>
          <w:sz w:val="18"/>
          <w:szCs w:val="18"/>
          <w:lang w:val="es-ES_tradnl"/>
        </w:rPr>
        <w:t>”</w:t>
      </w:r>
      <w:r w:rsidRPr="0045124B">
        <w:rPr>
          <w:rFonts w:ascii="Palatino Linotype" w:hAnsi="Palatino Linotype" w:cs="Times New Roman"/>
          <w:color w:val="000000" w:themeColor="text1"/>
          <w:sz w:val="18"/>
          <w:szCs w:val="18"/>
          <w:lang w:val="es-ES_tradnl"/>
        </w:rPr>
        <w:t xml:space="preserve">, recuerda con justicia Ibáñez </w:t>
      </w:r>
      <w:r w:rsidRPr="0045124B">
        <w:rPr>
          <w:rFonts w:ascii="Palatino Linotype" w:hAnsi="Palatino Linotype" w:cs="Times New Roman"/>
          <w:color w:val="000000" w:themeColor="text1"/>
          <w:sz w:val="18"/>
          <w:szCs w:val="18"/>
          <w:lang w:val="es-ES_tradnl"/>
        </w:rPr>
        <w:fldChar w:fldCharType="begin" w:fldLock="1"/>
      </w:r>
      <w:r w:rsidRPr="0045124B">
        <w:rPr>
          <w:rFonts w:ascii="Palatino Linotype" w:hAnsi="Palatino Linotype" w:cs="Times New Roman"/>
          <w:color w:val="000000" w:themeColor="text1"/>
          <w:sz w:val="18"/>
          <w:szCs w:val="18"/>
          <w:lang w:val="es-ES_tradnl"/>
        </w:rPr>
        <w:instrText>ADDIN CSL_CITATION {"citationItems":[{"id":"ITEM-1","itemData":{"author":[{"dropping-particle":"","family":"Ibáñez","given":"Perfecto Andrés","non-dropping-particle":"","parse-names":false,"suffix":""}],"container-title":"Máster en Razonamiento Probatorio","id":"ITEM-1","issued":{"date-parts":[["2018"]]},"publisher":"Universitat de Girona","title":"Garantismo y garantías procesales","type":"paper-conference"},"locator":"520","suppress-author":1,"uris":["http://www.mendeley.com/documents/?uuid=b3bec63b-b8b6-4eea-b662-b9eddc73ff27"]}],"mendeley":{"formattedCitation":"(2018, p. 520)","plainTextFormattedCitation":"(2018, p. 520)","previouslyFormattedCitation":"(2018, p. 520)"},"properties":{"noteIndex":0},"schema":"https://github.com/citation-style-language/schema/raw/master/csl-citation.json"}</w:instrText>
      </w:r>
      <w:r w:rsidRPr="0045124B">
        <w:rPr>
          <w:rFonts w:ascii="Palatino Linotype" w:hAnsi="Palatino Linotype" w:cs="Times New Roman"/>
          <w:color w:val="000000" w:themeColor="text1"/>
          <w:sz w:val="18"/>
          <w:szCs w:val="18"/>
          <w:lang w:val="es-ES_tradnl"/>
        </w:rPr>
        <w:fldChar w:fldCharType="separate"/>
      </w:r>
      <w:r w:rsidRPr="0045124B">
        <w:rPr>
          <w:rFonts w:ascii="Palatino Linotype" w:hAnsi="Palatino Linotype" w:cs="Times New Roman"/>
          <w:noProof/>
          <w:color w:val="000000" w:themeColor="text1"/>
          <w:sz w:val="18"/>
          <w:szCs w:val="18"/>
          <w:lang w:val="es-ES_tradnl"/>
        </w:rPr>
        <w:t>(2018, p. 520)</w:t>
      </w:r>
      <w:r w:rsidRPr="0045124B">
        <w:rPr>
          <w:rFonts w:ascii="Palatino Linotype" w:hAnsi="Palatino Linotype" w:cs="Times New Roman"/>
          <w:color w:val="000000" w:themeColor="text1"/>
          <w:sz w:val="18"/>
          <w:szCs w:val="18"/>
          <w:lang w:val="es-ES_tradnl"/>
        </w:rPr>
        <w:fldChar w:fldCharType="end"/>
      </w:r>
      <w:r w:rsidRPr="0045124B">
        <w:rPr>
          <w:rFonts w:ascii="Palatino Linotype" w:hAnsi="Palatino Linotype" w:cs="Times New Roman"/>
          <w:color w:val="000000" w:themeColor="text1"/>
          <w:sz w:val="18"/>
          <w:szCs w:val="18"/>
          <w:lang w:val="es-ES_tradnl"/>
        </w:rPr>
        <w:t>.</w:t>
      </w:r>
    </w:p>
  </w:footnote>
  <w:footnote w:id="374">
    <w:p w14:paraId="0AC2B70A" w14:textId="77777777" w:rsidR="00E87246" w:rsidRPr="0045124B" w:rsidRDefault="00E87246" w:rsidP="0045124B">
      <w:pPr>
        <w:pStyle w:val="Textonotapie"/>
        <w:jc w:val="both"/>
        <w:rPr>
          <w:rFonts w:ascii="Palatino Linotype" w:hAnsi="Palatino Linotype" w:cs="Times New Roman"/>
          <w:color w:val="000000" w:themeColor="text1"/>
          <w:sz w:val="18"/>
          <w:szCs w:val="18"/>
          <w:lang w:val="es-ES_tradnl"/>
        </w:rPr>
      </w:pPr>
      <w:r w:rsidRPr="0045124B">
        <w:rPr>
          <w:rStyle w:val="Refdenotaalpie"/>
          <w:rFonts w:ascii="Palatino Linotype" w:hAnsi="Palatino Linotype" w:cs="Times New Roman"/>
          <w:color w:val="000000" w:themeColor="text1"/>
          <w:sz w:val="18"/>
          <w:szCs w:val="18"/>
        </w:rPr>
        <w:footnoteRef/>
      </w:r>
      <w:r w:rsidRPr="0045124B">
        <w:rPr>
          <w:rFonts w:ascii="Palatino Linotype" w:hAnsi="Palatino Linotype" w:cs="Times New Roman"/>
          <w:color w:val="000000" w:themeColor="text1"/>
          <w:sz w:val="18"/>
          <w:szCs w:val="18"/>
          <w:lang w:val="es-ES_tradnl"/>
        </w:rPr>
        <w:t xml:space="preserve"> Sobre la distorsión del concepto de víctima y su tránsito a una noción abstracta, puede verse: </w:t>
      </w:r>
      <w:r w:rsidRPr="0045124B">
        <w:rPr>
          <w:rFonts w:ascii="Palatino Linotype" w:hAnsi="Palatino Linotype" w:cs="Times New Roman"/>
          <w:color w:val="000000" w:themeColor="text1"/>
          <w:sz w:val="18"/>
          <w:szCs w:val="18"/>
          <w:lang w:val="es-ES_tradnl"/>
        </w:rPr>
        <w:fldChar w:fldCharType="begin" w:fldLock="1"/>
      </w:r>
      <w:r w:rsidRPr="0045124B">
        <w:rPr>
          <w:rFonts w:ascii="Palatino Linotype" w:hAnsi="Palatino Linotype" w:cs="Times New Roman"/>
          <w:color w:val="000000" w:themeColor="text1"/>
          <w:sz w:val="18"/>
          <w:szCs w:val="18"/>
          <w:lang w:val="es-ES_tradnl"/>
        </w:rPr>
        <w:instrText>ADDIN CSL_CITATION {"citationItems":[{"id":"ITEM-1","itemData":{"ISBN":"978-9977-14-090-2","author":[{"dropping-particle":"","family":"Mora Sánchez","given":"Jeffry José","non-dropping-particle":"","parse-names":false,"suffix":""}],"id":"ITEM-1","issued":{"date-parts":[["2015"]]},"number-of-pages":"341","publisher":"Editorial Juritexto","publisher-place":"San José","title":"Prisión preventiva y control de convencionalidad","type":"book"},"locator":"55-65","uris":["http://www.mendeley.com/documents/?uuid=138befe1-6144-40b8-8d7e-2bbc5be2b99d"]}],"mendeley":{"formattedCitation":"(Mora Sánchez, 2015, pp. 55–65)","manualFormatting":"Mora Sánchez, 2015, pp. 55–65. ","plainTextFormattedCitation":"(Mora Sánchez, 2015, pp. 55–65)","previouslyFormattedCitation":"(Mora Sánchez, 2015, pp. 55–65)"},"properties":{"noteIndex":0},"schema":"https://github.com/citation-style-language/schema/raw/master/csl-citation.json"}</w:instrText>
      </w:r>
      <w:r w:rsidRPr="0045124B">
        <w:rPr>
          <w:rFonts w:ascii="Palatino Linotype" w:hAnsi="Palatino Linotype" w:cs="Times New Roman"/>
          <w:color w:val="000000" w:themeColor="text1"/>
          <w:sz w:val="18"/>
          <w:szCs w:val="18"/>
          <w:lang w:val="es-ES_tradnl"/>
        </w:rPr>
        <w:fldChar w:fldCharType="separate"/>
      </w:r>
      <w:r w:rsidRPr="0045124B">
        <w:rPr>
          <w:rFonts w:ascii="Palatino Linotype" w:hAnsi="Palatino Linotype" w:cs="Times New Roman"/>
          <w:noProof/>
          <w:color w:val="000000" w:themeColor="text1"/>
          <w:sz w:val="18"/>
          <w:szCs w:val="18"/>
          <w:lang w:val="es-ES_tradnl"/>
        </w:rPr>
        <w:t xml:space="preserve">Mora Sánchez, 2015, pp. 55–65. </w:t>
      </w:r>
      <w:r w:rsidRPr="0045124B">
        <w:rPr>
          <w:rFonts w:ascii="Palatino Linotype" w:hAnsi="Palatino Linotype" w:cs="Times New Roman"/>
          <w:color w:val="000000" w:themeColor="text1"/>
          <w:sz w:val="18"/>
          <w:szCs w:val="18"/>
          <w:lang w:val="es-ES_tradnl"/>
        </w:rPr>
        <w:fldChar w:fldCharType="end"/>
      </w:r>
    </w:p>
  </w:footnote>
  <w:footnote w:id="375">
    <w:p w14:paraId="6AF4A112"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El vocablo garantismo y su correspondiente adjetivación, en el seno de sociedades que han asumido la represión punitiva como </w:t>
      </w:r>
      <w:r w:rsidRPr="0045124B">
        <w:rPr>
          <w:rFonts w:ascii="Palatino Linotype" w:hAnsi="Palatino Linotype" w:cs="Times New Roman"/>
          <w:i/>
          <w:sz w:val="18"/>
          <w:szCs w:val="18"/>
        </w:rPr>
        <w:t>prima ratio</w:t>
      </w:r>
      <w:r w:rsidRPr="0045124B">
        <w:rPr>
          <w:rFonts w:ascii="Palatino Linotype" w:hAnsi="Palatino Linotype" w:cs="Times New Roman"/>
          <w:sz w:val="18"/>
          <w:szCs w:val="18"/>
        </w:rPr>
        <w:t xml:space="preserve"> entre los instrumentos de control de la delincuencia, se ha degradado casi al orden de befa. Claro está, tampoco se estima conveniente sacralizar todo aquello que se repute garantista, mediante una especie de magia verbal. Con una orientación desmitificadora del garantismo, expuesta de forma inusual pero seria y fundamentada, puede verse: </w:t>
      </w:r>
      <w:r w:rsidRPr="0045124B">
        <w:rPr>
          <w:rFonts w:ascii="Palatino Linotype" w:hAnsi="Palatino Linotype" w:cs="Times New Roman"/>
          <w:sz w:val="18"/>
          <w:szCs w:val="18"/>
        </w:rPr>
        <w:fldChar w:fldCharType="begin" w:fldLock="1"/>
      </w:r>
      <w:r w:rsidRPr="0045124B">
        <w:rPr>
          <w:rFonts w:ascii="Palatino Linotype" w:hAnsi="Palatino Linotype" w:cs="Times New Roman"/>
          <w:sz w:val="18"/>
          <w:szCs w:val="18"/>
        </w:rPr>
        <w:instrText>ADDIN CSL_CITATION {"citationItems":[{"id":"ITEM-1","itemData":{"author":[{"dropping-particle":"","family":"Aguilera","given":"Edgar","non-dropping-particle":"","parse-names":false,"suffix":""}],"container-title":"Hechos y razonamiento probatorio","id":"ITEM-1","issued":{"date-parts":[["2018"]]},"page":"85-104","publisher":"Editorial CEJI","title":"El germen contraepistémico del garantismo penal extremo","type":"chapter"},"uris":["http://www.mendeley.com/documents/?uuid=955840e8-b3b9-4fb5-8708-e9419ec5be55"]}],"mendeley":{"formattedCitation":"(Aguilera, 2018)","manualFormatting":"Aguilera, 2018.","plainTextFormattedCitation":"(Aguilera, 2018)","previouslyFormattedCitation":"(Aguilera, 2018)"},"properties":{"noteIndex":0},"schema":"https://github.com/citation-style-language/schema/raw/master/csl-citation.json"}</w:instrText>
      </w:r>
      <w:r w:rsidRPr="0045124B">
        <w:rPr>
          <w:rFonts w:ascii="Palatino Linotype" w:hAnsi="Palatino Linotype" w:cs="Times New Roman"/>
          <w:sz w:val="18"/>
          <w:szCs w:val="18"/>
        </w:rPr>
        <w:fldChar w:fldCharType="separate"/>
      </w:r>
      <w:r w:rsidRPr="0045124B">
        <w:rPr>
          <w:rFonts w:ascii="Palatino Linotype" w:hAnsi="Palatino Linotype" w:cs="Times New Roman"/>
          <w:noProof/>
          <w:sz w:val="18"/>
          <w:szCs w:val="18"/>
        </w:rPr>
        <w:t>Aguilera, 2018.</w:t>
      </w:r>
      <w:r w:rsidRPr="0045124B">
        <w:rPr>
          <w:rFonts w:ascii="Palatino Linotype" w:hAnsi="Palatino Linotype" w:cs="Times New Roman"/>
          <w:sz w:val="18"/>
          <w:szCs w:val="18"/>
        </w:rPr>
        <w:fldChar w:fldCharType="end"/>
      </w:r>
      <w:r w:rsidRPr="0045124B">
        <w:rPr>
          <w:rFonts w:ascii="Palatino Linotype" w:hAnsi="Palatino Linotype" w:cs="Times New Roman"/>
          <w:sz w:val="18"/>
          <w:szCs w:val="18"/>
        </w:rPr>
        <w:t xml:space="preserve"> En sentido similar, Salas ha considerado que el concepto </w:t>
      </w:r>
      <w:r w:rsidRPr="0045124B">
        <w:rPr>
          <w:rFonts w:ascii="Palatino Linotype" w:hAnsi="Palatino Linotype" w:cs="Times New Roman"/>
          <w:i/>
          <w:sz w:val="18"/>
          <w:szCs w:val="18"/>
        </w:rPr>
        <w:t>garantismo</w:t>
      </w:r>
      <w:r w:rsidRPr="0045124B">
        <w:rPr>
          <w:rFonts w:ascii="Palatino Linotype" w:hAnsi="Palatino Linotype" w:cs="Times New Roman"/>
          <w:sz w:val="18"/>
          <w:szCs w:val="18"/>
        </w:rPr>
        <w:t xml:space="preserve"> se utiliza como una fórmula vacía, con una finalidad prevalentemente persuasiva, estimando además que la doctrina de Ferrajoli sobre el particular ha contribuido a desviarse de cuestiones fundamentales, considerando al autor italiano, en tono satírico, como un “dreammaker del derecho penal” </w:t>
      </w:r>
      <w:r w:rsidRPr="0045124B">
        <w:rPr>
          <w:rFonts w:ascii="Palatino Linotype" w:hAnsi="Palatino Linotype" w:cs="Times New Roman"/>
          <w:sz w:val="18"/>
          <w:szCs w:val="18"/>
        </w:rPr>
        <w:fldChar w:fldCharType="begin" w:fldLock="1"/>
      </w:r>
      <w:r w:rsidRPr="0045124B">
        <w:rPr>
          <w:rFonts w:ascii="Palatino Linotype" w:hAnsi="Palatino Linotype" w:cs="Times New Roman"/>
          <w:sz w:val="18"/>
          <w:szCs w:val="18"/>
        </w:rPr>
        <w:instrText>ADDIN CSL_CITATION {"citationItems":[{"id":"ITEM-1","itemData":{"ISBN":"9789567799633","author":[{"dropping-particle":"","family":"Salas","given":"Minor","non-dropping-particle":"","parse-names":false,"suffix":""}],"id":"ITEM-1","issued":{"date-parts":[["2017"]]},"number-of-pages":"333","publisher":"Olejnik","publisher-place":"Santiago","title":"Anti-dogmática. El derecho penal en el banquillo de los acusados","type":"book"},"locator":"278","suppress-author":1,"uris":["http://www.mendeley.com/documents/?uuid=6dce86ef-d432-485d-a341-7345e04228e9"]}],"mendeley":{"formattedCitation":"(2017, p. 278)","plainTextFormattedCitation":"(2017, p. 278)","previouslyFormattedCitation":"(2017, p. 278)"},"properties":{"noteIndex":0},"schema":"https://github.com/citation-style-language/schema/raw/master/csl-citation.json"}</w:instrText>
      </w:r>
      <w:r w:rsidRPr="0045124B">
        <w:rPr>
          <w:rFonts w:ascii="Palatino Linotype" w:hAnsi="Palatino Linotype" w:cs="Times New Roman"/>
          <w:sz w:val="18"/>
          <w:szCs w:val="18"/>
        </w:rPr>
        <w:fldChar w:fldCharType="separate"/>
      </w:r>
      <w:r w:rsidRPr="0045124B">
        <w:rPr>
          <w:rFonts w:ascii="Palatino Linotype" w:hAnsi="Palatino Linotype" w:cs="Times New Roman"/>
          <w:noProof/>
          <w:sz w:val="18"/>
          <w:szCs w:val="18"/>
        </w:rPr>
        <w:t>(2017, p. 278)</w:t>
      </w:r>
      <w:r w:rsidRPr="0045124B">
        <w:rPr>
          <w:rFonts w:ascii="Palatino Linotype" w:hAnsi="Palatino Linotype" w:cs="Times New Roman"/>
          <w:sz w:val="18"/>
          <w:szCs w:val="18"/>
        </w:rPr>
        <w:fldChar w:fldCharType="end"/>
      </w:r>
      <w:r w:rsidRPr="0045124B">
        <w:rPr>
          <w:rFonts w:ascii="Palatino Linotype" w:hAnsi="Palatino Linotype" w:cs="Times New Roman"/>
          <w:sz w:val="18"/>
          <w:szCs w:val="18"/>
        </w:rPr>
        <w:t>.</w:t>
      </w:r>
    </w:p>
  </w:footnote>
  <w:footnote w:id="376">
    <w:p w14:paraId="45D41059"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Citado por: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{"citationItems":[{"id":"ITEM-1","itemData":{"author":[{"dropping-particle":"","family":"Duce","given":"Mauricio","non-dropping-particle":"","parse-names":false,"suffix":""}],"container-title":"Política Criminal. Vol. 12, Nº 23","id":"ITEM-1","issued":{"date-parts":[["2017","7"]]},"page":"291-379","publisher-place":"Santiago","title":"Los reconocimientos oculares: una aproximación empírica a su funcionamiento y algunas recomendaciones para su mejora","type":"article-magazine"},"locator":"292","uris":["http://www.mendeley.com/documents/?uuid=6e0a1a90-c1b3-412b-b898-2809b25214c6"]}],"mendeley":{"formattedCitation":"(Duce, 2017, p. 292)","manualFormatting":"Duce, 2017, p. 292.  ","plainTextFormattedCitation":"(Duce, 2017, p. 292)","previouslyFormattedCitation":"(Duce, 2017, p. 292)"},"properties":{"noteIndex":0},"schema":"https://github.com/citation-style-language/schema/raw/master/csl-citation.json"}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 xml:space="preserve">Duce, 2017, p. 292.  </w:t>
      </w:r>
      <w:r w:rsidRPr="0045124B">
        <w:rPr>
          <w:rFonts w:ascii="Palatino Linotype" w:hAnsi="Palatino Linotype" w:cs="Times New Roman"/>
          <w:sz w:val="18"/>
          <w:szCs w:val="18"/>
          <w:lang w:val="es-ES"/>
        </w:rPr>
        <w:fldChar w:fldCharType="end"/>
      </w:r>
    </w:p>
  </w:footnote>
  <w:footnote w:id="377">
    <w:p w14:paraId="7383F3E1"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No se habla acá de testigos que mienten de forma consciente, sino de aquellos que, pensando que su relato es verídico, exponen hechos falaces. Es precisamente este aspecto el que presenta mayores retos para la administración de justicia.</w:t>
      </w:r>
    </w:p>
  </w:footnote>
  <w:footnote w:id="378">
    <w:p w14:paraId="282FFEDE"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Sigman, Mariano. Citado por: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{"citationItems":[{"id":"ITEM-1","itemData":{"author":[{"dropping-particle":"","family":"Duce","given":"Mauricio","non-dropping-particle":"","parse-names":false,"suffix":""}],"container-title":"Política Criminal. Vol. 12, Nº 23","id":"ITEM-1","issued":{"date-parts":[["2017","7"]]},"page":"291-379","publisher-place":"Santiago","title":"Los reconocimientos oculares: una aproximación empírica a su funcionamiento y algunas recomendaciones para su mejora","type":"article-magazine"},"locator":"301","uris":["http://www.mendeley.com/documents/?uuid=6e0a1a90-c1b3-412b-b898-2809b25214c6"]}],"mendeley":{"formattedCitation":"(Duce, 2017, p. 301)","manualFormatting":"Duce, 2017, p. 301.   ","plainTextFormattedCitation":"(Duce, 2017, p. 301)","previouslyFormattedCitation":"(Duce, 2017, p. 301)"},"properties":{"noteIndex":0},"schema":"https://github.com/citation-style-language/schema/raw/master/csl-citation.json"}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 xml:space="preserve">Duce, 2017, p. 301.   </w:t>
      </w:r>
      <w:r w:rsidRPr="0045124B">
        <w:rPr>
          <w:rFonts w:ascii="Palatino Linotype" w:hAnsi="Palatino Linotype" w:cs="Times New Roman"/>
          <w:sz w:val="18"/>
          <w:szCs w:val="18"/>
          <w:lang w:val="es-ES"/>
        </w:rPr>
        <w:fldChar w:fldCharType="end"/>
      </w:r>
    </w:p>
  </w:footnote>
  <w:footnote w:id="379">
    <w:p w14:paraId="54515580" w14:textId="77777777" w:rsidR="00E87246" w:rsidRPr="0045124B" w:rsidRDefault="00E87246" w:rsidP="0045124B">
      <w:pPr>
        <w:pStyle w:val="Textonotapie"/>
        <w:jc w:val="both"/>
        <w:rPr>
          <w:rFonts w:ascii="Palatino Linotype" w:hAnsi="Palatino Linotype" w:cs="Times New Roman"/>
          <w:i/>
          <w:color w:val="000000" w:themeColor="text1"/>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color w:val="000000" w:themeColor="text1"/>
          <w:sz w:val="18"/>
          <w:szCs w:val="18"/>
        </w:rPr>
        <w:t xml:space="preserve"> </w:t>
      </w:r>
      <w:r w:rsidRPr="0045124B">
        <w:rPr>
          <w:rFonts w:ascii="Palatino Linotype" w:hAnsi="Palatino Linotype" w:cs="Times New Roman"/>
          <w:color w:val="000000" w:themeColor="text1"/>
          <w:sz w:val="18"/>
          <w:szCs w:val="18"/>
          <w:lang w:val="es-ES"/>
        </w:rPr>
        <w:t>Diges afirma, con respecto a quienes piensan que las intenciones de un testigo se reflejan en signos externos observables, que “ni la cara (ruborizarse, palidecer, mirar a los ojos o no, mirar a la izquierda o derecha, como erróneamente afirma la programación neurolingüística), ni los gestos de manos, pies o la postura del cuerpo en general; ni, desde luego, los datos fisiológicos que proporciona el polígrafo, son indicadores fiables para distinguir más allá del 50% (el nivel de azar) entre verdad y mentira. Solo el análisis del contenido de la declaración añade un poco más de precisión en la discriminación”</w:t>
      </w:r>
      <w:r w:rsidRPr="0045124B">
        <w:rPr>
          <w:rFonts w:ascii="Palatino Linotype" w:hAnsi="Palatino Linotype" w:cs="Times New Roman"/>
          <w:i/>
          <w:color w:val="000000" w:themeColor="text1"/>
          <w:sz w:val="18"/>
          <w:szCs w:val="18"/>
          <w:lang w:val="es-ES"/>
        </w:rPr>
        <w:t xml:space="preserve"> </w:t>
      </w:r>
      <w:r w:rsidRPr="0045124B">
        <w:rPr>
          <w:rFonts w:ascii="Palatino Linotype" w:hAnsi="Palatino Linotype" w:cs="Times New Roman"/>
          <w:i/>
          <w:color w:val="000000" w:themeColor="text1"/>
          <w:sz w:val="18"/>
          <w:szCs w:val="18"/>
          <w:lang w:val="es-ES"/>
        </w:rPr>
        <w:fldChar w:fldCharType="begin" w:fldLock="1"/>
      </w:r>
      <w:r w:rsidRPr="0045124B">
        <w:rPr>
          <w:rFonts w:ascii="Palatino Linotype" w:hAnsi="Palatino Linotype" w:cs="Times New Roman"/>
          <w:i/>
          <w:color w:val="000000" w:themeColor="text1"/>
          <w:sz w:val="18"/>
          <w:szCs w:val="18"/>
          <w:lang w:val="es-ES"/>
        </w:rPr>
        <w:instrText>ADDIN CSL_CITATION {"citationItems":[{"id":"ITEM-1","itemData":{"ISBN":"978-84-9879-655-1","author":[{"dropping-particle":"","family":"Diges","given":"Margarita","non-dropping-particle":"","parse-names":false,"suffix":""}],"id":"ITEM-1","issued":{"date-parts":[["2016"]]},"number-of-pages":"263","publisher":"Editorial Trotta","publisher-place":"Madrid","title":"Testigos, sospechosos y recuerdos falsos. Estudios de psicología forense","type":"book"},"locator":"22","suppress-author":1,"uris":["http://www.mendeley.com/documents/?uuid=e6a206a5-a7ec-4ce6-b256-a7c7ba9119ac"]}],"mendeley":{"formattedCitation":"(2016, p. 22)","plainTextFormattedCitation":"(2016, p. 22)","previouslyFormattedCitation":"(2016, p. 22)"},"properties":{"noteIndex":0},"schema":"https://github.com/citation-style-language/schema/raw/master/csl-citation.json"}</w:instrText>
      </w:r>
      <w:r w:rsidRPr="0045124B">
        <w:rPr>
          <w:rFonts w:ascii="Palatino Linotype" w:hAnsi="Palatino Linotype" w:cs="Times New Roman"/>
          <w:i/>
          <w:color w:val="000000" w:themeColor="text1"/>
          <w:sz w:val="18"/>
          <w:szCs w:val="18"/>
          <w:lang w:val="es-ES"/>
        </w:rPr>
        <w:fldChar w:fldCharType="separate"/>
      </w:r>
      <w:r w:rsidRPr="0045124B">
        <w:rPr>
          <w:rFonts w:ascii="Palatino Linotype" w:hAnsi="Palatino Linotype" w:cs="Times New Roman"/>
          <w:noProof/>
          <w:color w:val="000000" w:themeColor="text1"/>
          <w:sz w:val="18"/>
          <w:szCs w:val="18"/>
          <w:lang w:val="es-ES"/>
        </w:rPr>
        <w:t>(2016, p. 22)</w:t>
      </w:r>
      <w:r w:rsidRPr="0045124B">
        <w:rPr>
          <w:rFonts w:ascii="Palatino Linotype" w:hAnsi="Palatino Linotype" w:cs="Times New Roman"/>
          <w:i/>
          <w:color w:val="000000" w:themeColor="text1"/>
          <w:sz w:val="18"/>
          <w:szCs w:val="18"/>
          <w:lang w:val="es-ES"/>
        </w:rPr>
        <w:fldChar w:fldCharType="end"/>
      </w:r>
      <w:r w:rsidRPr="0045124B">
        <w:rPr>
          <w:rFonts w:ascii="Palatino Linotype" w:hAnsi="Palatino Linotype" w:cs="Times New Roman"/>
          <w:i/>
          <w:color w:val="000000" w:themeColor="text1"/>
          <w:sz w:val="18"/>
          <w:szCs w:val="18"/>
          <w:lang w:val="es-ES"/>
        </w:rPr>
        <w:t xml:space="preserve">. </w:t>
      </w:r>
    </w:p>
  </w:footnote>
  <w:footnote w:id="380">
    <w:p w14:paraId="4F49FAF2" w14:textId="77777777" w:rsidR="00E87246" w:rsidRPr="0045124B" w:rsidRDefault="00E87246" w:rsidP="0045124B">
      <w:pPr>
        <w:pStyle w:val="Textonotapie"/>
        <w:jc w:val="both"/>
        <w:rPr>
          <w:rFonts w:ascii="Palatino Linotype" w:hAnsi="Palatino Linotype" w:cs="Times New Roman"/>
          <w:color w:val="000000" w:themeColor="text1"/>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color w:val="000000" w:themeColor="text1"/>
          <w:sz w:val="18"/>
          <w:szCs w:val="18"/>
        </w:rPr>
        <w:t xml:space="preserve"> Sin mayor abundamiento, en el ámbito costarricense, las referencias, por ejemplo, a la “sencillez y honestidad” en el discurso de la agraviada (Sentencia 794-2017, del Tribunal de Apelación de Sentencia Penal de San Ramón), “</w:t>
      </w:r>
      <w:r w:rsidRPr="0045124B">
        <w:rPr>
          <w:rFonts w:ascii="Palatino Linotype" w:eastAsia="Times New Roman" w:hAnsi="Palatino Linotype" w:cs="Times New Roman"/>
          <w:color w:val="000000" w:themeColor="text1"/>
          <w:sz w:val="18"/>
          <w:szCs w:val="18"/>
          <w:lang w:eastAsia="es-ES_tradnl"/>
        </w:rPr>
        <w:t>la</w:t>
      </w:r>
      <w:r w:rsidRPr="0045124B">
        <w:rPr>
          <w:rFonts w:ascii="Palatino Linotype" w:eastAsia="Times New Roman" w:hAnsi="Palatino Linotype" w:cs="Times New Roman"/>
          <w:i/>
          <w:color w:val="000000" w:themeColor="text1"/>
          <w:sz w:val="18"/>
          <w:szCs w:val="18"/>
          <w:lang w:eastAsia="es-ES_tradnl"/>
        </w:rPr>
        <w:t xml:space="preserve"> </w:t>
      </w:r>
      <w:r w:rsidRPr="0045124B">
        <w:rPr>
          <w:rFonts w:ascii="Palatino Linotype" w:eastAsia="Times New Roman" w:hAnsi="Palatino Linotype" w:cs="Times New Roman"/>
          <w:color w:val="000000" w:themeColor="text1"/>
          <w:sz w:val="18"/>
          <w:szCs w:val="18"/>
          <w:lang w:eastAsia="es-ES_tradnl"/>
        </w:rPr>
        <w:t>observación del lenguaje paralingüistico (timbre, tono de voz, reacciones emocionales, silencios o pausas) y/o corporal de las personas que rinden su declaración y son interrogadas en juicio”</w:t>
      </w:r>
      <w:r w:rsidRPr="0045124B">
        <w:rPr>
          <w:rFonts w:ascii="Palatino Linotype" w:eastAsia="Times New Roman" w:hAnsi="Palatino Linotype" w:cs="Times New Roman"/>
          <w:i/>
          <w:color w:val="000000" w:themeColor="text1"/>
          <w:sz w:val="18"/>
          <w:szCs w:val="18"/>
          <w:lang w:eastAsia="es-ES_tradnl"/>
        </w:rPr>
        <w:t xml:space="preserve"> </w:t>
      </w:r>
      <w:r w:rsidRPr="0045124B">
        <w:rPr>
          <w:rFonts w:ascii="Palatino Linotype" w:eastAsia="Times New Roman" w:hAnsi="Palatino Linotype" w:cs="Times New Roman"/>
          <w:color w:val="000000" w:themeColor="text1"/>
          <w:sz w:val="18"/>
          <w:szCs w:val="18"/>
          <w:lang w:eastAsia="es-ES_tradnl"/>
        </w:rPr>
        <w:t>(Sentencias 328-2018 y 434-2018, del Tribunal de Apelación de Sentencia Penal de San Ramón), o el “estado de ánimo del deponente, su lenguaje verbal como corporal, su facilidad de expresión, entre otros factores, los cuales por lo general sí pueden ser apreciados por los juzgadores, en la etapa plenaria, gracias a las virtudes del principio de inmediación” (Sentencia 336-2018, del Tribunal de Apelación de Sentencia Penal de San Ramón), son extremadamente usuales. Como afirma Ibáñez, “¿la gestualidad vale, pero qué papel tiene? Relevante para realizar el interrogatorio de las partes pero no para el juez”</w:t>
      </w:r>
      <w:r w:rsidRPr="0045124B">
        <w:rPr>
          <w:rFonts w:ascii="Palatino Linotype" w:eastAsia="Times New Roman" w:hAnsi="Palatino Linotype" w:cs="Times New Roman"/>
          <w:i/>
          <w:color w:val="000000" w:themeColor="text1"/>
          <w:sz w:val="18"/>
          <w:szCs w:val="18"/>
          <w:lang w:eastAsia="es-ES_tradnl"/>
        </w:rPr>
        <w:t xml:space="preserve"> </w:t>
      </w:r>
      <w:r w:rsidRPr="0045124B">
        <w:rPr>
          <w:rFonts w:ascii="Palatino Linotype" w:eastAsia="Times New Roman" w:hAnsi="Palatino Linotype" w:cs="Times New Roman"/>
          <w:i/>
          <w:color w:val="000000" w:themeColor="text1"/>
          <w:sz w:val="18"/>
          <w:szCs w:val="18"/>
          <w:lang w:eastAsia="es-ES_tradnl"/>
        </w:rPr>
        <w:fldChar w:fldCharType="begin" w:fldLock="1"/>
      </w:r>
      <w:r w:rsidRPr="0045124B">
        <w:rPr>
          <w:rFonts w:ascii="Palatino Linotype" w:eastAsia="Times New Roman" w:hAnsi="Palatino Linotype" w:cs="Times New Roman"/>
          <w:i/>
          <w:color w:val="000000" w:themeColor="text1"/>
          <w:sz w:val="18"/>
          <w:szCs w:val="18"/>
          <w:lang w:eastAsia="es-ES_tradnl"/>
        </w:rPr>
        <w:instrText>ADDIN CSL_CITATION {"citationItems":[{"id":"ITEM-1","itemData":{"author":[{"dropping-particle":"","family":"Ibáñez","given":"Perfecto Andrés","non-dropping-particle":"","parse-names":false,"suffix":""}],"container-title":"Máster en Razonamiento Probatorio","id":"ITEM-1","issued":{"date-parts":[["2018"]]},"publisher":"Universitat de Girona","title":"Garantismo y garantías procesales","type":"paper-conference"},"suppress-author":1,"uris":["http://www.mendeley.com/documents/?uuid=b3bec63b-b8b6-4eea-b662-b9eddc73ff27"]},{"id":"ITEM-2","itemData":{"ISBN":"978-84-9879-572-1","author":[{"dropping-particle":"","family":"Ibáñez","given":"Perfecto Andrés","non-dropping-particle":"","parse-names":false,"suffix":""}],"id":"ITEM-2","issued":{"date-parts":[["2015"]]},"number-of-pages":"556","publisher":"Editorial Trotta","publisher-place":"Madrid","title":"Tercero en discordia. Jurisdicción y Juez del Estado Constitucional","type":"book"},"locator":"277","suppress-author":1,"uris":["http://www.mendeley.com/documents/?uuid=db0a4cc6-bda8-4599-874b-30f83a2d8111"]}],"mendeley":{"formattedCitation":"(2015, p. 277, 2018)","manualFormatting":"(2015, p. 277; 2018)","plainTextFormattedCitation":"(2015, p. 277, 2018)","previouslyFormattedCitation":"(2015, p. 277, 2018)"},"properties":{"noteIndex":0},"schema":"https://github.com/citation-style-language/schema/raw/master/csl-citation.json"}</w:instrText>
      </w:r>
      <w:r w:rsidRPr="0045124B">
        <w:rPr>
          <w:rFonts w:ascii="Palatino Linotype" w:eastAsia="Times New Roman" w:hAnsi="Palatino Linotype" w:cs="Times New Roman"/>
          <w:i/>
          <w:color w:val="000000" w:themeColor="text1"/>
          <w:sz w:val="18"/>
          <w:szCs w:val="18"/>
          <w:lang w:eastAsia="es-ES_tradnl"/>
        </w:rPr>
        <w:fldChar w:fldCharType="separate"/>
      </w:r>
      <w:r w:rsidRPr="0045124B">
        <w:rPr>
          <w:rFonts w:ascii="Palatino Linotype" w:eastAsia="Times New Roman" w:hAnsi="Palatino Linotype" w:cs="Times New Roman"/>
          <w:noProof/>
          <w:color w:val="000000" w:themeColor="text1"/>
          <w:sz w:val="18"/>
          <w:szCs w:val="18"/>
          <w:lang w:eastAsia="es-ES_tradnl"/>
        </w:rPr>
        <w:t>(2015, p. 277; 2018)</w:t>
      </w:r>
      <w:r w:rsidRPr="0045124B">
        <w:rPr>
          <w:rFonts w:ascii="Palatino Linotype" w:eastAsia="Times New Roman" w:hAnsi="Palatino Linotype" w:cs="Times New Roman"/>
          <w:i/>
          <w:color w:val="000000" w:themeColor="text1"/>
          <w:sz w:val="18"/>
          <w:szCs w:val="18"/>
          <w:lang w:eastAsia="es-ES_tradnl"/>
        </w:rPr>
        <w:fldChar w:fldCharType="end"/>
      </w:r>
      <w:r w:rsidRPr="0045124B">
        <w:rPr>
          <w:rFonts w:ascii="Palatino Linotype" w:eastAsia="Times New Roman" w:hAnsi="Palatino Linotype" w:cs="Times New Roman"/>
          <w:color w:val="000000" w:themeColor="text1"/>
          <w:sz w:val="18"/>
          <w:szCs w:val="18"/>
          <w:lang w:eastAsia="es-ES_tradnl"/>
        </w:rPr>
        <w:t>.</w:t>
      </w:r>
    </w:p>
  </w:footnote>
  <w:footnote w:id="381">
    <w:p w14:paraId="642D01E2" w14:textId="77777777" w:rsidR="00E87246" w:rsidRPr="0045124B" w:rsidRDefault="00E87246" w:rsidP="0045124B">
      <w:pPr>
        <w:pStyle w:val="Textonotapie"/>
        <w:jc w:val="both"/>
        <w:rPr>
          <w:rFonts w:ascii="Palatino Linotype" w:hAnsi="Palatino Linotype" w:cs="Times New Roman"/>
          <w:color w:val="000000" w:themeColor="text1"/>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color w:val="000000" w:themeColor="text1"/>
          <w:sz w:val="18"/>
          <w:szCs w:val="18"/>
        </w:rPr>
        <w:t xml:space="preserve"> </w:t>
      </w:r>
      <w:r w:rsidRPr="0045124B">
        <w:rPr>
          <w:rFonts w:ascii="Palatino Linotype" w:hAnsi="Palatino Linotype" w:cs="Times New Roman"/>
          <w:color w:val="000000" w:themeColor="text1"/>
          <w:sz w:val="18"/>
          <w:szCs w:val="18"/>
          <w:lang w:val="es-ES"/>
        </w:rPr>
        <w:t xml:space="preserve">De hecho, es frecuente que en nuestra vida cotidiana nos preciemos de reconocer cuando nos quieren engañar o nos mienten, sacando a relucir nuestra experiencia como andamiaje del “a mi no me dan gato por liebre”. Esta forma de tomar decisiones, mediante modelos mentales y los llamados “heurísticos”, siguiendo a Nieva, puede ser de mucha utilidad en las relaciones cotidianas, pero tienen una gran posibilidad de conducir a error </w:t>
      </w:r>
      <w:r w:rsidRPr="0045124B">
        <w:rPr>
          <w:rFonts w:ascii="Palatino Linotype" w:hAnsi="Palatino Linotype" w:cs="Times New Roman"/>
          <w:color w:val="000000" w:themeColor="text1"/>
          <w:sz w:val="18"/>
          <w:szCs w:val="18"/>
          <w:lang w:val="es-ES"/>
        </w:rPr>
        <w:fldChar w:fldCharType="begin" w:fldLock="1"/>
      </w:r>
      <w:r w:rsidRPr="0045124B">
        <w:rPr>
          <w:rFonts w:ascii="Palatino Linotype" w:hAnsi="Palatino Linotype" w:cs="Times New Roman"/>
          <w:color w:val="000000" w:themeColor="text1"/>
          <w:sz w:val="18"/>
          <w:szCs w:val="18"/>
          <w:lang w:val="es-ES"/>
        </w:rPr>
        <w:instrText>ADDIN CSL_CITATION {"citationItems":[{"id":"ITEM-1","itemData":{"ISBN":"978-84-9768-757-7","author":[{"dropping-particle":"","family":"Nieva Fenoll","given":"Jordi","non-dropping-particle":"","parse-names":false,"suffix":""}],"id":"ITEM-1","issued":{"date-parts":[["2010"]]},"number-of-pages":"374","publisher":"Marcial Pons","publisher-place":"Madrid","title":"La valoración de la prueba","type":"book"},"locator":"114-129","suppress-author":1,"uris":["http://www.mendeley.com/documents/?uuid=02cb8119-8982-42e4-bf20-49756a2587da"]}],"mendeley":{"formattedCitation":"(2010, pp. 114–129)","plainTextFormattedCitation":"(2010, pp. 114–129)","previouslyFormattedCitation":"(2010, pp. 114–129)"},"properties":{"noteIndex":0},"schema":"https://github.com/citation-style-language/schema/raw/master/csl-citation.json"}</w:instrText>
      </w:r>
      <w:r w:rsidRPr="0045124B">
        <w:rPr>
          <w:rFonts w:ascii="Palatino Linotype" w:hAnsi="Palatino Linotype" w:cs="Times New Roman"/>
          <w:color w:val="000000" w:themeColor="text1"/>
          <w:sz w:val="18"/>
          <w:szCs w:val="18"/>
          <w:lang w:val="es-ES"/>
        </w:rPr>
        <w:fldChar w:fldCharType="separate"/>
      </w:r>
      <w:r w:rsidRPr="0045124B">
        <w:rPr>
          <w:rFonts w:ascii="Palatino Linotype" w:hAnsi="Palatino Linotype" w:cs="Times New Roman"/>
          <w:noProof/>
          <w:color w:val="000000" w:themeColor="text1"/>
          <w:sz w:val="18"/>
          <w:szCs w:val="18"/>
          <w:lang w:val="es-ES"/>
        </w:rPr>
        <w:t>(2010, pp. 114–129)</w:t>
      </w:r>
      <w:r w:rsidRPr="0045124B">
        <w:rPr>
          <w:rFonts w:ascii="Palatino Linotype" w:hAnsi="Palatino Linotype" w:cs="Times New Roman"/>
          <w:color w:val="000000" w:themeColor="text1"/>
          <w:sz w:val="18"/>
          <w:szCs w:val="18"/>
          <w:lang w:val="es-ES"/>
        </w:rPr>
        <w:fldChar w:fldCharType="end"/>
      </w:r>
      <w:r w:rsidRPr="0045124B">
        <w:rPr>
          <w:rFonts w:ascii="Palatino Linotype" w:hAnsi="Palatino Linotype" w:cs="Times New Roman"/>
          <w:color w:val="000000" w:themeColor="text1"/>
          <w:sz w:val="18"/>
          <w:szCs w:val="18"/>
          <w:lang w:val="es-ES"/>
        </w:rPr>
        <w:t xml:space="preserve">.  </w:t>
      </w:r>
    </w:p>
  </w:footnote>
  <w:footnote w:id="382">
    <w:p w14:paraId="2DAE317D"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Nieva define la intuición como </w:t>
      </w:r>
      <w:r w:rsidRPr="0045124B">
        <w:rPr>
          <w:rFonts w:ascii="Palatino Linotype" w:hAnsi="Palatino Linotype" w:cs="Times New Roman"/>
          <w:sz w:val="18"/>
          <w:szCs w:val="18"/>
          <w:lang w:val="es-ES"/>
        </w:rPr>
        <w:t xml:space="preserve">“la capacidad de lograr un conocimiento directo, una percepción inmediata sin la observación o la razón”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{"citationItems":[{"id":"ITEM-1","itemData":{"ISBN":"978-84-9768-757-7","author":[{"dropping-particle":"","family":"Nieva Fenoll","given":"Jordi","non-dropping-particle":"","parse-names":false,"suffix":""}],"id":"ITEM-1","issued":{"date-parts":[["2010"]]},"number-of-pages":"374","publisher":"Marcial Pons","publisher-place":"Madrid","title":"La valoración de la prueba","type":"book"},"locator":"206","suppress-author":1,"uris":["http://www.mendeley.com/documents/?uuid=02cb8119-8982-42e4-bf20-49756a2587da"]}],"mendeley":{"formattedCitation":"(2010, p. 206)","plainTextFormattedCitation":"(2010, p. 206)","previouslyFormattedCitation":"(2010, p. 206)"},"properties":{"noteIndex":0},"schema":"https://github.com/citation-style-language/schema/raw/master/csl-citation.json"}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(2010, p. 206)</w:t>
      </w:r>
      <w:r w:rsidRPr="0045124B">
        <w:rPr>
          <w:rFonts w:ascii="Palatino Linotype" w:hAnsi="Palatino Linotype" w:cs="Times New Roman"/>
          <w:sz w:val="18"/>
          <w:szCs w:val="18"/>
          <w:lang w:val="es-ES"/>
        </w:rPr>
        <w:fldChar w:fldCharType="end"/>
      </w:r>
      <w:r w:rsidRPr="0045124B">
        <w:rPr>
          <w:rFonts w:ascii="Palatino Linotype" w:hAnsi="Palatino Linotype" w:cs="Times New Roman"/>
          <w:sz w:val="18"/>
          <w:szCs w:val="18"/>
          <w:lang w:val="es-ES"/>
        </w:rPr>
        <w:t>.</w:t>
      </w:r>
    </w:p>
  </w:footnote>
  <w:footnote w:id="383">
    <w:p w14:paraId="0EAD61F4"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A continuación se sigue, en rasgos generales, los planeamientos de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{"citationItems":[{"id":"ITEM-1","itemData":{"ISBN":"978-84-9768-757-7","author":[{"dropping-particle":"","family":"Nieva Fenoll","given":"Jordi","non-dropping-particle":"","parse-names":false,"suffix":""}],"id":"ITEM-1","issued":{"date-parts":[["2010"]]},"number-of-pages":"374","publisher":"Marcial Pons","publisher-place":"Madrid","title":"La valoración de la prueba","type":"book"},"locator":"206-230","uris":["http://www.mendeley.com/documents/?uuid=02cb8119-8982-42e4-bf20-49756a2587da"]}],"mendeley":{"formattedCitation":"(Nieva Fenoll, 2010, pp. 206–230)","manualFormatting":"Nieva Fenoll, 2010, pp. 206–230 y Diges, 2016.      ","plainTextFormattedCitation":"(Nieva Fenoll, 2010, pp. 206–230)","previouslyFormattedCitation":"(Nieva Fenoll, 2010, pp. 206–230)"},"properties":{"noteIndex":0},"schema":"https://github.com/citation-style-language/schema/raw/master/csl-citation.json"}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 xml:space="preserve">Nieva Fenoll, 2010, pp. 206–230 y </w:t>
      </w:r>
      <w:r w:rsidRPr="0045124B">
        <w:rPr>
          <w:rFonts w:ascii="Palatino Linotype" w:hAnsi="Palatino Linotype" w:cs="Times New Roman"/>
          <w:noProof/>
          <w:sz w:val="18"/>
          <w:szCs w:val="18"/>
          <w:lang w:val="es-ES"/>
        </w:rPr>
        <w:fldChar w:fldCharType="begin" w:fldLock="1"/>
      </w:r>
      <w:r w:rsidRPr="0045124B">
        <w:rPr>
          <w:rFonts w:ascii="Palatino Linotype" w:hAnsi="Palatino Linotype" w:cs="Times New Roman"/>
          <w:noProof/>
          <w:sz w:val="18"/>
          <w:szCs w:val="18"/>
          <w:lang w:val="es-ES"/>
        </w:rPr>
        <w:instrText>ADDIN CSL_CITATION {"citationItems":[{"id":"ITEM-1","itemData":{"ISBN":"978-84-9879-655-1","author":[{"dropping-particle":"","family":"Diges","given":"Margarita","non-dropping-particle":"","parse-names":false,"suffix":""}],"id":"ITEM-1","issued":{"date-parts":[["2016"]]},"number-of-pages":"263","publisher":"Editorial Trotta","publisher-place":"Madrid","title":"Testigos, sospechosos y recuerdos falsos. Estudios de psicología forense","type":"book"},"uris":["http://www.mendeley.com/documents/?uuid=e6a206a5-a7ec-4ce6-b256-a7c7ba9119ac"]}],"mendeley":{"formattedCitation":"(Diges, 2016)","manualFormatting":"Diges, 2016.  ","plainTextFormattedCitation":"(Diges, 2016)","previouslyFormattedCitation":"(Diges, 2016)"},"properties":{"noteIndex":0},"schema":"https://github.com/citation-style-language/schema/raw/master/csl-citation.json"}</w:instrText>
      </w:r>
      <w:r w:rsidRPr="0045124B">
        <w:rPr>
          <w:rFonts w:ascii="Palatino Linotype" w:hAnsi="Palatino Linotype" w:cs="Times New Roman"/>
          <w:noProof/>
          <w:sz w:val="18"/>
          <w:szCs w:val="18"/>
          <w:lang w:val="es-ES"/>
        </w:rPr>
        <w:fldChar w:fldCharType="separate"/>
      </w:r>
      <w:r w:rsidRPr="0045124B">
        <w:rPr>
          <w:rFonts w:ascii="Palatino Linotype" w:hAnsi="Palatino Linotype" w:cs="Times New Roman"/>
          <w:noProof/>
          <w:sz w:val="18"/>
          <w:szCs w:val="18"/>
          <w:lang w:val="es-ES"/>
        </w:rPr>
        <w:t xml:space="preserve">Diges, 2016.  </w:t>
      </w:r>
      <w:r w:rsidRPr="0045124B">
        <w:rPr>
          <w:rFonts w:ascii="Palatino Linotype" w:hAnsi="Palatino Linotype" w:cs="Times New Roman"/>
          <w:noProof/>
          <w:sz w:val="18"/>
          <w:szCs w:val="18"/>
          <w:lang w:val="es-ES"/>
        </w:rPr>
        <w:fldChar w:fldCharType="end"/>
      </w:r>
      <w:r w:rsidRPr="0045124B">
        <w:rPr>
          <w:rFonts w:ascii="Palatino Linotype" w:hAnsi="Palatino Linotype" w:cs="Times New Roman"/>
          <w:noProof/>
          <w:sz w:val="18"/>
          <w:szCs w:val="18"/>
          <w:lang w:val="es-ES"/>
        </w:rPr>
        <w:t xml:space="preserve">    </w:t>
      </w:r>
      <w:r w:rsidRPr="0045124B">
        <w:rPr>
          <w:rFonts w:ascii="Palatino Linotype" w:hAnsi="Palatino Linotype" w:cs="Times New Roman"/>
          <w:sz w:val="18"/>
          <w:szCs w:val="18"/>
          <w:lang w:val="es-ES"/>
        </w:rPr>
        <w:fldChar w:fldCharType="end"/>
      </w:r>
    </w:p>
  </w:footnote>
  <w:footnote w:id="384">
    <w:p w14:paraId="2C938371" w14:textId="77777777" w:rsidR="00E87246" w:rsidRPr="0045124B" w:rsidRDefault="00E87246" w:rsidP="0045124B">
      <w:pPr>
        <w:pStyle w:val="Textonotapie"/>
        <w:jc w:val="both"/>
        <w:rPr>
          <w:rFonts w:ascii="Palatino Linotype" w:hAnsi="Palatino Linotype" w:cs="Times New Roman"/>
          <w:color w:val="000000" w:themeColor="text1"/>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color w:val="000000" w:themeColor="text1"/>
          <w:sz w:val="18"/>
          <w:szCs w:val="18"/>
        </w:rPr>
        <w:t xml:space="preserve"> </w:t>
      </w:r>
      <w:r w:rsidRPr="0045124B">
        <w:rPr>
          <w:rFonts w:ascii="Palatino Linotype" w:hAnsi="Palatino Linotype" w:cs="Times New Roman"/>
          <w:color w:val="000000" w:themeColor="text1"/>
          <w:sz w:val="18"/>
          <w:szCs w:val="18"/>
          <w:lang w:val="es-ES"/>
        </w:rPr>
        <w:t xml:space="preserve">Mazzoni afirma que la fiabilidad del testimonio depende de una pluralidad de factores, dentro de los que pueden encontrarse la edad, el nivel de conciencia del individuo a la hora de vivenciar el hecho y los esquemas mentales de referencia vinculados con la interpretación del significado del episodio, aunado al hecho de que el proceso de recuperación de la memoria es de tipo reconstructivo y no reproductivo </w:t>
      </w:r>
      <w:r w:rsidRPr="0045124B">
        <w:rPr>
          <w:rFonts w:ascii="Palatino Linotype" w:hAnsi="Palatino Linotype" w:cs="Times New Roman"/>
          <w:color w:val="000000" w:themeColor="text1"/>
          <w:sz w:val="18"/>
          <w:szCs w:val="18"/>
          <w:lang w:val="es-ES"/>
        </w:rPr>
        <w:fldChar w:fldCharType="begin" w:fldLock="1"/>
      </w:r>
      <w:r w:rsidRPr="0045124B">
        <w:rPr>
          <w:rFonts w:ascii="Palatino Linotype" w:hAnsi="Palatino Linotype" w:cs="Times New Roman"/>
          <w:color w:val="000000" w:themeColor="text1"/>
          <w:sz w:val="18"/>
          <w:szCs w:val="18"/>
          <w:lang w:val="es-ES"/>
        </w:rPr>
        <w:instrText>ADDIN CSL_CITATION {"citationItems":[{"id":"ITEM-1","itemData":{"ISBN":"978-84-9879-158-7","author":[{"dropping-particle":"","family":"Mazzoni","given":"Giuliana","non-dropping-particle":"","parse-names":false,"suffix":""}],"id":"ITEM-1","issued":{"date-parts":[["2010"]]},"number-of-pages":"182","publisher":"Editorial Trotta","publisher-place":"Madrid","title":"¿Se puede creer a un testigo? El testimonio y las trampas de la memoria","translator":[{"dropping-particle":"","family":"Revuelta","given":"José Manuel","non-dropping-particle":"","parse-names":false,"suffix":""}],"type":"book"},"locator":"20-21; 56-57","suppress-author":1,"uris":["http://www.mendeley.com/documents/?uuid=a5a7389f-5590-4583-91d5-6b53f07fc138"]}],"mendeley":{"formattedCitation":"(2010, pp. 20-21; 56-57)","plainTextFormattedCitation":"(2010, pp. 20-21; 56-57)","previouslyFormattedCitation":"(2010, pp. 20-21; 56-57)"},"properties":{"noteIndex":0},"schema":"https://github.com/citation-style-language/schema/raw/master/csl-citation.json"}</w:instrText>
      </w:r>
      <w:r w:rsidRPr="0045124B">
        <w:rPr>
          <w:rFonts w:ascii="Palatino Linotype" w:hAnsi="Palatino Linotype" w:cs="Times New Roman"/>
          <w:color w:val="000000" w:themeColor="text1"/>
          <w:sz w:val="18"/>
          <w:szCs w:val="18"/>
          <w:lang w:val="es-ES"/>
        </w:rPr>
        <w:fldChar w:fldCharType="separate"/>
      </w:r>
      <w:r w:rsidRPr="0045124B">
        <w:rPr>
          <w:rFonts w:ascii="Palatino Linotype" w:hAnsi="Palatino Linotype" w:cs="Times New Roman"/>
          <w:noProof/>
          <w:color w:val="000000" w:themeColor="text1"/>
          <w:sz w:val="18"/>
          <w:szCs w:val="18"/>
          <w:lang w:val="es-ES"/>
        </w:rPr>
        <w:t>(2010, pp. 20-21; 56-57)</w:t>
      </w:r>
      <w:r w:rsidRPr="0045124B">
        <w:rPr>
          <w:rFonts w:ascii="Palatino Linotype" w:hAnsi="Palatino Linotype" w:cs="Times New Roman"/>
          <w:color w:val="000000" w:themeColor="text1"/>
          <w:sz w:val="18"/>
          <w:szCs w:val="18"/>
          <w:lang w:val="es-ES"/>
        </w:rPr>
        <w:fldChar w:fldCharType="end"/>
      </w:r>
      <w:r w:rsidRPr="0045124B">
        <w:rPr>
          <w:rFonts w:ascii="Palatino Linotype" w:hAnsi="Palatino Linotype" w:cs="Times New Roman"/>
          <w:color w:val="000000" w:themeColor="text1"/>
          <w:sz w:val="18"/>
          <w:szCs w:val="18"/>
          <w:lang w:val="es-ES"/>
        </w:rPr>
        <w:t xml:space="preserve">. Por su parte, Ibáñez recuerda, con acierto, lo inadecuado de posturas que </w:t>
      </w:r>
      <w:r w:rsidRPr="0045124B">
        <w:rPr>
          <w:rFonts w:ascii="Palatino Linotype" w:hAnsi="Palatino Linotype" w:cs="Times New Roman"/>
          <w:sz w:val="18"/>
          <w:szCs w:val="18"/>
          <w:lang w:val="es-ES_tradnl"/>
        </w:rPr>
        <w:t xml:space="preserve">al evaluar el valor de la testifical de la víctima, cuando esta es el único testigo, de manera desatinada reclama y justifica -como por principio- la atribución de un plus de valor incriminatorio a esa testifical, a despecho de su concreta calidad convictiva y del dato bien acreditado de que se trata de un medio probatorio cargado de riesgos </w:t>
      </w:r>
      <w:r w:rsidRPr="0045124B">
        <w:rPr>
          <w:rFonts w:ascii="Palatino Linotype" w:hAnsi="Palatino Linotype" w:cs="Times New Roman"/>
          <w:sz w:val="18"/>
          <w:szCs w:val="18"/>
          <w:lang w:val="es-ES_tradnl"/>
        </w:rPr>
        <w:fldChar w:fldCharType="begin" w:fldLock="1"/>
      </w:r>
      <w:r w:rsidRPr="0045124B">
        <w:rPr>
          <w:rFonts w:ascii="Palatino Linotype" w:hAnsi="Palatino Linotype" w:cs="Times New Roman"/>
          <w:sz w:val="18"/>
          <w:szCs w:val="18"/>
          <w:lang w:val="es-ES_tradnl"/>
        </w:rPr>
        <w:instrText>ADDIN CSL_CITATION {"citationItems":[{"id":"ITEM-1","itemData":{"ISBN":"978-84-9879-572-1","author":[{"dropping-particle":"","family":"Ibáñez","given":"Perfecto Andrés","non-dropping-particle":"","parse-names":false,"suffix":""}],"id":"ITEM-1","issued":{"date-parts":[["2015"]]},"number-of-pages":"556","publisher":"Editorial Trotta","publisher-place":"Madrid","title":"Tercero en discordia. Jurisdicción y Juez del Estado Constitucional","type":"book"},"locator":"312-313","suppress-author":1,"uris":["http://www.mendeley.com/documents/?uuid=db0a4cc6-bda8-4599-874b-30f83a2d8111"]}],"mendeley":{"formattedCitation":"(2015, pp. 312–313)","plainTextFormattedCitation":"(2015, pp. 312–313)","previouslyFormattedCitation":"(2015, pp. 312–313)"},"properties":{"noteIndex":0},"schema":"https://github.com/citation-style-language/schema/raw/master/csl-citation.json"}</w:instrText>
      </w:r>
      <w:r w:rsidRPr="0045124B">
        <w:rPr>
          <w:rFonts w:ascii="Palatino Linotype" w:hAnsi="Palatino Linotype" w:cs="Times New Roman"/>
          <w:sz w:val="18"/>
          <w:szCs w:val="18"/>
          <w:lang w:val="es-ES_tradnl"/>
        </w:rPr>
        <w:fldChar w:fldCharType="separate"/>
      </w:r>
      <w:r w:rsidRPr="0045124B">
        <w:rPr>
          <w:rFonts w:ascii="Palatino Linotype" w:hAnsi="Palatino Linotype" w:cs="Times New Roman"/>
          <w:noProof/>
          <w:sz w:val="18"/>
          <w:szCs w:val="18"/>
          <w:lang w:val="es-ES_tradnl"/>
        </w:rPr>
        <w:t>(2015, pp. 312–313)</w:t>
      </w:r>
      <w:r w:rsidRPr="0045124B">
        <w:rPr>
          <w:rFonts w:ascii="Palatino Linotype" w:hAnsi="Palatino Linotype" w:cs="Times New Roman"/>
          <w:sz w:val="18"/>
          <w:szCs w:val="18"/>
          <w:lang w:val="es-ES_tradnl"/>
        </w:rPr>
        <w:fldChar w:fldCharType="end"/>
      </w:r>
      <w:r w:rsidRPr="0045124B">
        <w:rPr>
          <w:rFonts w:ascii="Palatino Linotype" w:hAnsi="Palatino Linotype" w:cs="Times New Roman"/>
          <w:sz w:val="18"/>
          <w:szCs w:val="18"/>
          <w:lang w:val="es-ES_tradnl"/>
        </w:rPr>
        <w:t>.</w:t>
      </w:r>
    </w:p>
  </w:footnote>
  <w:footnote w:id="385">
    <w:p w14:paraId="32264990" w14:textId="77777777" w:rsidR="00E87246" w:rsidRPr="0045124B" w:rsidRDefault="00E87246" w:rsidP="0045124B">
      <w:pPr>
        <w:spacing w:after="0"/>
        <w:jc w:val="both"/>
        <w:rPr>
          <w:rFonts w:ascii="Palatino Linotype" w:hAnsi="Palatino Linotype" w:cs="Times New Roman"/>
          <w:sz w:val="18"/>
          <w:szCs w:val="18"/>
          <w:lang w:val="es-ES_tradnl"/>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Por ejemplo, en la sentencia 417/2012, la Sala Penal del Tribunal Supremo de España </w:t>
      </w:r>
      <w:r w:rsidRPr="0045124B">
        <w:rPr>
          <w:rFonts w:ascii="Palatino Linotype" w:hAnsi="Palatino Linotype" w:cs="Times New Roman"/>
          <w:sz w:val="18"/>
          <w:szCs w:val="18"/>
          <w:lang w:val="es-ES_tradnl"/>
        </w:rPr>
        <w:t xml:space="preserve">construye lo que podría denominarse una “teoría de los elementos negativos de la prueba testifical”, según la cuál la ausencia de algunos de los elementos señalados, sea que la declaración del testigo se considere inverosímil, contradictoria o basada en intenciones diversas a las de propiciar la averiguación de la verdad, implicaría su eliminación </w:t>
      </w:r>
      <w:r w:rsidRPr="0045124B">
        <w:rPr>
          <w:rFonts w:ascii="Palatino Linotype" w:hAnsi="Palatino Linotype" w:cs="Times New Roman"/>
          <w:i/>
          <w:sz w:val="18"/>
          <w:szCs w:val="18"/>
          <w:lang w:val="es-ES_tradnl"/>
        </w:rPr>
        <w:t xml:space="preserve">a limine. </w:t>
      </w:r>
      <w:r w:rsidRPr="0045124B">
        <w:rPr>
          <w:rFonts w:ascii="Palatino Linotype" w:hAnsi="Palatino Linotype" w:cs="Times New Roman"/>
          <w:sz w:val="18"/>
          <w:szCs w:val="18"/>
          <w:lang w:val="es-ES_tradnl"/>
        </w:rPr>
        <w:t xml:space="preserve">Esta solución pareciera excesivamente tajante si se toma en cuenta que, partiendo de las mismas razones que invoca la Sala, un testimonio con ciertas contradicciones o que apareje alguna conflictividad que pudiera razonablemente sugerir, </w:t>
      </w:r>
      <w:r w:rsidRPr="0045124B">
        <w:rPr>
          <w:rFonts w:ascii="Palatino Linotype" w:hAnsi="Palatino Linotype" w:cs="Times New Roman"/>
          <w:i/>
          <w:sz w:val="18"/>
          <w:szCs w:val="18"/>
          <w:lang w:val="es-ES_tradnl"/>
        </w:rPr>
        <w:t>ab initio</w:t>
      </w:r>
      <w:r w:rsidRPr="0045124B">
        <w:rPr>
          <w:rFonts w:ascii="Palatino Linotype" w:hAnsi="Palatino Linotype" w:cs="Times New Roman"/>
          <w:sz w:val="18"/>
          <w:szCs w:val="18"/>
          <w:lang w:val="es-ES_tradnl"/>
        </w:rPr>
        <w:t>, un “móvil espurio”, podría resultar veraz. Por ejemplo, Nieva destaca, en cuanto a la coherencia en el relato del testigo-víctima, que no es una invariable señal de verosimilitud, pues incluso podría ser un indicador de todo lo contrario, en la medida que los testimonios falsos suelen presentarse de una manera continuamente estructurada y generalmente cronológica</w:t>
      </w:r>
      <w:r w:rsidRPr="0045124B">
        <w:rPr>
          <w:rFonts w:ascii="Palatino Linotype" w:hAnsi="Palatino Linotype" w:cs="Times New Roman"/>
          <w:i/>
          <w:sz w:val="18"/>
          <w:szCs w:val="18"/>
          <w:lang w:val="es-ES_tradnl"/>
        </w:rPr>
        <w:t xml:space="preserve"> </w:t>
      </w:r>
      <w:r w:rsidRPr="0045124B">
        <w:rPr>
          <w:rFonts w:ascii="Palatino Linotype" w:hAnsi="Palatino Linotype" w:cs="Times New Roman"/>
          <w:i/>
          <w:sz w:val="18"/>
          <w:szCs w:val="18"/>
          <w:lang w:val="es-ES_tradnl"/>
        </w:rPr>
        <w:fldChar w:fldCharType="begin" w:fldLock="1"/>
      </w:r>
      <w:r w:rsidRPr="0045124B">
        <w:rPr>
          <w:rFonts w:ascii="Palatino Linotype" w:hAnsi="Palatino Linotype" w:cs="Times New Roman"/>
          <w:i/>
          <w:sz w:val="18"/>
          <w:szCs w:val="18"/>
          <w:lang w:val="es-ES_tradnl"/>
        </w:rPr>
        <w:instrText>ADDIN CSL_CITATION {"citationItems":[{"id":"ITEM-1","itemData":{"ISBN":"978-84-9768-757-7","author":[{"dropping-particle":"","family":"Nieva Fenoll","given":"Jordi","non-dropping-particle":"","parse-names":false,"suffix":""}],"id":"ITEM-1","issued":{"date-parts":[["2010"]]},"number-of-pages":"374","publisher":"Marcial Pons","publisher-place":"Madrid","title":"La valoración de la prueba","type":"book"},"locator":"224;248","suppress-author":1,"uris":["http://www.mendeley.com/documents/?uuid=02cb8119-8982-42e4-bf20-49756a2587da"]}],"mendeley":{"formattedCitation":"(2010, p. 224;248)","manualFormatting":"(2010, pp. 224; 248-249)","plainTextFormattedCitation":"(2010, p. 224;248)","previouslyFormattedCitation":"(2010, p. 224;248)"},"properties":{"noteIndex":0},"schema":"https://github.com/citation-style-language/schema/raw/master/csl-citation.json"}</w:instrText>
      </w:r>
      <w:r w:rsidRPr="0045124B">
        <w:rPr>
          <w:rFonts w:ascii="Palatino Linotype" w:hAnsi="Palatino Linotype" w:cs="Times New Roman"/>
          <w:i/>
          <w:sz w:val="18"/>
          <w:szCs w:val="18"/>
          <w:lang w:val="es-ES_tradnl"/>
        </w:rPr>
        <w:fldChar w:fldCharType="separate"/>
      </w:r>
      <w:r w:rsidRPr="0045124B">
        <w:rPr>
          <w:rFonts w:ascii="Palatino Linotype" w:hAnsi="Palatino Linotype" w:cs="Times New Roman"/>
          <w:noProof/>
          <w:sz w:val="18"/>
          <w:szCs w:val="18"/>
          <w:lang w:val="es-ES_tradnl"/>
        </w:rPr>
        <w:t>(2010, pp. 224; 248-249)</w:t>
      </w:r>
      <w:r w:rsidRPr="0045124B">
        <w:rPr>
          <w:rFonts w:ascii="Palatino Linotype" w:hAnsi="Palatino Linotype" w:cs="Times New Roman"/>
          <w:i/>
          <w:sz w:val="18"/>
          <w:szCs w:val="18"/>
          <w:lang w:val="es-ES_tradnl"/>
        </w:rPr>
        <w:fldChar w:fldCharType="end"/>
      </w:r>
      <w:r w:rsidRPr="0045124B">
        <w:rPr>
          <w:rFonts w:ascii="Palatino Linotype" w:hAnsi="Palatino Linotype" w:cs="Times New Roman"/>
          <w:sz w:val="18"/>
          <w:szCs w:val="18"/>
          <w:lang w:val="es-ES_tradnl"/>
        </w:rPr>
        <w:t>, por lo que, en sentido inverso, la fragilidad de la memoria podría propiciar relatos con ciertos vacíos y discordancias que, no obstante, resulten fidedignos</w:t>
      </w:r>
      <w:r w:rsidRPr="0045124B">
        <w:rPr>
          <w:rFonts w:ascii="Palatino Linotype" w:hAnsi="Palatino Linotype" w:cs="Times New Roman"/>
          <w:i/>
          <w:sz w:val="18"/>
          <w:szCs w:val="18"/>
          <w:lang w:val="es-ES_tradnl"/>
        </w:rPr>
        <w:t>.</w:t>
      </w:r>
      <w:r w:rsidRPr="0045124B">
        <w:rPr>
          <w:rFonts w:ascii="Palatino Linotype" w:hAnsi="Palatino Linotype" w:cs="Times New Roman"/>
          <w:sz w:val="18"/>
          <w:szCs w:val="18"/>
          <w:lang w:val="es-ES_tradnl"/>
        </w:rPr>
        <w:t xml:space="preserve"> </w:t>
      </w:r>
    </w:p>
    <w:p w14:paraId="01E0E60B" w14:textId="77777777" w:rsidR="00E87246" w:rsidRPr="0045124B" w:rsidRDefault="00E87246" w:rsidP="0045124B">
      <w:pPr>
        <w:spacing w:after="0"/>
        <w:jc w:val="both"/>
        <w:rPr>
          <w:rFonts w:ascii="Palatino Linotype" w:hAnsi="Palatino Linotype" w:cs="Times New Roman"/>
          <w:sz w:val="18"/>
          <w:szCs w:val="18"/>
          <w:lang w:val="es-ES_tradnl"/>
        </w:rPr>
      </w:pPr>
      <w:r w:rsidRPr="0045124B">
        <w:rPr>
          <w:rFonts w:ascii="Palatino Linotype" w:hAnsi="Palatino Linotype" w:cs="Times New Roman"/>
          <w:sz w:val="18"/>
          <w:szCs w:val="18"/>
          <w:lang w:val="es-ES_tradnl"/>
        </w:rPr>
        <w:t xml:space="preserve">A pesar de ello, se observa gran sensatez por parte de la Sala, al considerar el cumplimiento de los citados factores (verosimilitud, etc.) simplemente como la superación de una barrera de “atendibilidad” del medio de prueba, siendo esta condición necesaria más no suficiente para afirmar su fidelidad, manteniéndose incólume el requerimiento de que tales medios se confronten con otros de distinta procedencia, para así corroborar la información que brinden. De esta forma se lograría evitar el mencionado “automatismo” argumental.  </w:t>
      </w:r>
    </w:p>
  </w:footnote>
  <w:footnote w:id="386">
    <w:p w14:paraId="2BE5E779" w14:textId="77777777" w:rsidR="00E87246" w:rsidRPr="0045124B" w:rsidRDefault="00E87246" w:rsidP="0045124B">
      <w:pPr>
        <w:pStyle w:val="Textonotapie"/>
        <w:jc w:val="both"/>
        <w:rPr>
          <w:rFonts w:ascii="Palatino Linotype" w:hAnsi="Palatino Linotype" w:cs="Times New Roman"/>
          <w:color w:val="000000" w:themeColor="text1"/>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color w:val="000000" w:themeColor="text1"/>
          <w:sz w:val="18"/>
          <w:szCs w:val="18"/>
        </w:rPr>
        <w:t xml:space="preserve"> </w:t>
      </w:r>
      <w:r w:rsidRPr="0045124B">
        <w:rPr>
          <w:rFonts w:ascii="Palatino Linotype" w:hAnsi="Palatino Linotype" w:cs="Times New Roman"/>
          <w:color w:val="000000" w:themeColor="text1"/>
          <w:sz w:val="18"/>
          <w:szCs w:val="18"/>
          <w:lang w:val="es-ES"/>
        </w:rPr>
        <w:t xml:space="preserve">La coherencia del relato equivale, de acuerdo con la jurisprudencia española, a la exigencia de “persistencia en la incriminación” o ausencia de contradicciones; ligado al requerimiento de verosimilitud, se encuentra la contextualización del relato, que implica que la persona declarante aporte información espacio-temporal </w:t>
      </w:r>
      <w:r w:rsidRPr="0045124B">
        <w:rPr>
          <w:rFonts w:ascii="Palatino Linotype" w:hAnsi="Palatino Linotype" w:cs="Times New Roman"/>
          <w:i/>
          <w:color w:val="000000" w:themeColor="text1"/>
          <w:sz w:val="18"/>
          <w:szCs w:val="18"/>
          <w:lang w:val="es-ES"/>
        </w:rPr>
        <w:t xml:space="preserve">del ambiente vital </w:t>
      </w:r>
      <w:r w:rsidRPr="0045124B">
        <w:rPr>
          <w:rFonts w:ascii="Palatino Linotype" w:hAnsi="Palatino Linotype" w:cs="Times New Roman"/>
          <w:color w:val="000000" w:themeColor="text1"/>
          <w:sz w:val="18"/>
          <w:szCs w:val="18"/>
          <w:lang w:val="es-ES"/>
        </w:rPr>
        <w:t>en que se desarrollaron los hechos percibidos; las corroboraciones periféricas estriban en la presencia de datos adicionales (a partir de otras declaraciones, documentos, pericias, etc.) y  también tienen importancia para valorar la verosimilitud del relato; y, finalmente, la apreciación de detalles oportunistas, que consiste en que el declarante haga referencia a datos, normalmente innecesarios, que pretendan beneficiar a una de las opciones que se están debatiendo en el proceso, o incluso al propio declarante</w:t>
      </w:r>
      <w:r w:rsidRPr="0045124B">
        <w:rPr>
          <w:rFonts w:ascii="Palatino Linotype" w:hAnsi="Palatino Linotype" w:cs="Times New Roman"/>
          <w:i/>
          <w:color w:val="000000" w:themeColor="text1"/>
          <w:sz w:val="18"/>
          <w:szCs w:val="18"/>
          <w:lang w:val="es-ES"/>
        </w:rPr>
        <w:t xml:space="preserve"> </w:t>
      </w:r>
      <w:r w:rsidRPr="0045124B">
        <w:rPr>
          <w:rFonts w:ascii="Palatino Linotype" w:hAnsi="Palatino Linotype" w:cs="Times New Roman"/>
          <w:i/>
          <w:color w:val="000000" w:themeColor="text1"/>
          <w:sz w:val="18"/>
          <w:szCs w:val="18"/>
          <w:lang w:val="es-ES"/>
        </w:rPr>
        <w:fldChar w:fldCharType="begin" w:fldLock="1"/>
      </w:r>
      <w:r w:rsidRPr="0045124B">
        <w:rPr>
          <w:rFonts w:ascii="Palatino Linotype" w:hAnsi="Palatino Linotype" w:cs="Times New Roman"/>
          <w:i/>
          <w:color w:val="000000" w:themeColor="text1"/>
          <w:sz w:val="18"/>
          <w:szCs w:val="18"/>
          <w:lang w:val="es-ES"/>
        </w:rPr>
        <w:instrText>ADDIN CSL_CITATION {"citationItems":[{"id":"ITEM-1","itemData":{"ISBN":"978-84-9768-757-7","author":[{"dropping-particle":"","family":"Nieva Fenoll","given":"Jordi","non-dropping-particle":"","parse-names":false,"suffix":""}],"id":"ITEM-1","issued":{"date-parts":[["2010"]]},"number-of-pages":"374","publisher":"Marcial Pons","publisher-place":"Madrid","title":"La valoración de la prueba","type":"book"},"locator":"222-230","uris":["http://www.mendeley.com/documents/?uuid=02cb8119-8982-42e4-bf20-49756a2587da"]}],"mendeley":{"formattedCitation":"(Nieva Fenoll, 2010, pp. 222–230)","plainTextFormattedCitation":"(Nieva Fenoll, 2010, pp. 222–230)","previouslyFormattedCitation":"(Nieva Fenoll, 2010, pp. 222–230)"},"properties":{"noteIndex":0},"schema":"https://github.com/citation-style-language/schema/raw/master/csl-citation.json"}</w:instrText>
      </w:r>
      <w:r w:rsidRPr="0045124B">
        <w:rPr>
          <w:rFonts w:ascii="Palatino Linotype" w:hAnsi="Palatino Linotype" w:cs="Times New Roman"/>
          <w:i/>
          <w:color w:val="000000" w:themeColor="text1"/>
          <w:sz w:val="18"/>
          <w:szCs w:val="18"/>
          <w:lang w:val="es-ES"/>
        </w:rPr>
        <w:fldChar w:fldCharType="separate"/>
      </w:r>
      <w:r w:rsidRPr="0045124B">
        <w:rPr>
          <w:rFonts w:ascii="Palatino Linotype" w:hAnsi="Palatino Linotype" w:cs="Times New Roman"/>
          <w:noProof/>
          <w:color w:val="000000" w:themeColor="text1"/>
          <w:sz w:val="18"/>
          <w:szCs w:val="18"/>
          <w:lang w:val="es-ES"/>
        </w:rPr>
        <w:t>(Nieva Fenoll, 2010, pp. 222–230)</w:t>
      </w:r>
      <w:r w:rsidRPr="0045124B">
        <w:rPr>
          <w:rFonts w:ascii="Palatino Linotype" w:hAnsi="Palatino Linotype" w:cs="Times New Roman"/>
          <w:i/>
          <w:color w:val="000000" w:themeColor="text1"/>
          <w:sz w:val="18"/>
          <w:szCs w:val="18"/>
          <w:lang w:val="es-ES"/>
        </w:rPr>
        <w:fldChar w:fldCharType="end"/>
      </w:r>
      <w:r w:rsidRPr="0045124B">
        <w:rPr>
          <w:rFonts w:ascii="Palatino Linotype" w:hAnsi="Palatino Linotype" w:cs="Times New Roman"/>
          <w:i/>
          <w:color w:val="000000" w:themeColor="text1"/>
          <w:sz w:val="18"/>
          <w:szCs w:val="18"/>
          <w:lang w:val="es-ES"/>
        </w:rPr>
        <w:t xml:space="preserve">. </w:t>
      </w:r>
    </w:p>
  </w:footnote>
  <w:footnote w:id="387">
    <w:p w14:paraId="2DEDDEA2" w14:textId="77777777" w:rsidR="00E87246" w:rsidRPr="0045124B" w:rsidRDefault="00E87246" w:rsidP="0045124B">
      <w:pPr>
        <w:pStyle w:val="Textonotapie"/>
        <w:jc w:val="both"/>
        <w:rPr>
          <w:rFonts w:ascii="Palatino Linotype" w:hAnsi="Palatino Linotype" w:cs="Times New Roman"/>
          <w:color w:val="000000" w:themeColor="text1"/>
          <w:sz w:val="18"/>
          <w:szCs w:val="18"/>
          <w:lang w:val="es-ES_tradnl"/>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color w:val="000000" w:themeColor="text1"/>
          <w:sz w:val="18"/>
          <w:szCs w:val="18"/>
          <w:lang w:val="es-ES_tradnl"/>
        </w:rPr>
        <w:t xml:space="preserve"> Para Ibáñez, esta forma de entender el principio de inmediación resulta inaceptable, pues no se trata de una cuestión de racionalidad crítica sino función de poder, de un poder misterioso cuyo concreto ejercicio no es susceptible de justificación y que así no tendrá nada de jurisdiccional, ya que desplaza a su titular a un terreno que es más bien el propio del oráculo o de la pitonisa </w:t>
      </w:r>
      <w:r w:rsidRPr="0045124B">
        <w:rPr>
          <w:rFonts w:ascii="Palatino Linotype" w:hAnsi="Palatino Linotype" w:cs="Times New Roman"/>
          <w:color w:val="000000" w:themeColor="text1"/>
          <w:sz w:val="18"/>
          <w:szCs w:val="18"/>
          <w:lang w:val="es-ES_tradnl"/>
        </w:rPr>
        <w:fldChar w:fldCharType="begin" w:fldLock="1"/>
      </w:r>
      <w:r w:rsidRPr="0045124B">
        <w:rPr>
          <w:rFonts w:ascii="Palatino Linotype" w:hAnsi="Palatino Linotype" w:cs="Times New Roman"/>
          <w:color w:val="000000" w:themeColor="text1"/>
          <w:sz w:val="18"/>
          <w:szCs w:val="18"/>
          <w:lang w:val="es-ES_tradnl"/>
        </w:rPr>
        <w:instrText>ADDIN CSL_CITATION {"citationItems":[{"id":"ITEM-1","itemData":{"ISBN":"978-84-9879-572-1","author":[{"dropping-particle":"","family":"Ibáñez","given":"Perfecto Andrés","non-dropping-particle":"","parse-names":false,"suffix":""}],"id":"ITEM-1","issued":{"date-parts":[["2015"]]},"number-of-pages":"556","publisher":"Editorial Trotta","publisher-place":"Madrid","title":"Tercero en discordia. Jurisdicción y Juez del Estado Constitucional","type":"book"},"locator":"272-274","suppress-author":1,"uris":["http://www.mendeley.com/documents/?uuid=db0a4cc6-bda8-4599-874b-30f83a2d8111"]}],"mendeley":{"formattedCitation":"(2015, pp. 272–274)","plainTextFormattedCitation":"(2015, pp. 272–274)","previouslyFormattedCitation":"(2015, pp. 272–274)"},"properties":{"noteIndex":0},"schema":"https://github.com/citation-style-language/schema/raw/master/csl-citation.json"}</w:instrText>
      </w:r>
      <w:r w:rsidRPr="0045124B">
        <w:rPr>
          <w:rFonts w:ascii="Palatino Linotype" w:hAnsi="Palatino Linotype" w:cs="Times New Roman"/>
          <w:color w:val="000000" w:themeColor="text1"/>
          <w:sz w:val="18"/>
          <w:szCs w:val="18"/>
          <w:lang w:val="es-ES_tradnl"/>
        </w:rPr>
        <w:fldChar w:fldCharType="separate"/>
      </w:r>
      <w:r w:rsidRPr="0045124B">
        <w:rPr>
          <w:rFonts w:ascii="Palatino Linotype" w:hAnsi="Palatino Linotype" w:cs="Times New Roman"/>
          <w:noProof/>
          <w:color w:val="000000" w:themeColor="text1"/>
          <w:sz w:val="18"/>
          <w:szCs w:val="18"/>
          <w:lang w:val="es-ES_tradnl"/>
        </w:rPr>
        <w:t>(2015, pp. 272–274)</w:t>
      </w:r>
      <w:r w:rsidRPr="0045124B">
        <w:rPr>
          <w:rFonts w:ascii="Palatino Linotype" w:hAnsi="Palatino Linotype" w:cs="Times New Roman"/>
          <w:color w:val="000000" w:themeColor="text1"/>
          <w:sz w:val="18"/>
          <w:szCs w:val="18"/>
          <w:lang w:val="es-ES_tradnl"/>
        </w:rPr>
        <w:fldChar w:fldCharType="end"/>
      </w:r>
      <w:r w:rsidRPr="0045124B">
        <w:rPr>
          <w:rFonts w:ascii="Palatino Linotype" w:hAnsi="Palatino Linotype" w:cs="Times New Roman"/>
          <w:color w:val="000000" w:themeColor="text1"/>
          <w:sz w:val="18"/>
          <w:szCs w:val="18"/>
          <w:lang w:val="es-ES_tradnl"/>
        </w:rPr>
        <w:t xml:space="preserve">. También Ferrer Beltrán defiende una versión débil o limitada del principio de inmediación, como característica de la concepción racionalista de la prueba, circunscribiendo la relevancia de este principio a la disminución de errores, por eliminación de intermediarios en la transmisión de información al juez y, también con relevancia epistémica, al potenciar el principio de contradicción </w:t>
      </w:r>
      <w:r w:rsidRPr="0045124B">
        <w:rPr>
          <w:rFonts w:ascii="Palatino Linotype" w:hAnsi="Palatino Linotype" w:cs="Times New Roman"/>
          <w:color w:val="000000" w:themeColor="text1"/>
          <w:sz w:val="18"/>
          <w:szCs w:val="18"/>
          <w:lang w:val="es-ES_tradnl"/>
        </w:rPr>
        <w:fldChar w:fldCharType="begin" w:fldLock="1"/>
      </w:r>
      <w:r w:rsidRPr="0045124B">
        <w:rPr>
          <w:rFonts w:ascii="Palatino Linotype" w:hAnsi="Palatino Linotype" w:cs="Times New Roman"/>
          <w:color w:val="000000" w:themeColor="text1"/>
          <w:sz w:val="18"/>
          <w:szCs w:val="18"/>
          <w:lang w:val="es-ES_tradnl"/>
        </w:rPr>
        <w:instrText>ADDIN CSL_CITATION {"citationItems":[{"id":"ITEM-1","itemData":{"DOI":"10.4000/revus.4016","ISSN":"1581-7652","abstract":"Referencia electrónica Jordi Ferrer Beltrán, « El control de la valoración de la prueba en segunda instancia », Revus [Online], 33 | 2017, Online since 30 December 2017, connection on 01 January 2018. 1 Inmediación, inferencias probatorias y control del razonamiento probatorio 1 La proliferación de importantísimas reformas procesales durante las últimas dos décadas en muchos países, especialmente del área iberoamericana, tanto en lo referente al proceso civil como al penal, ha producido un cierto revival de debates que llevan mucho tiempo entre nosotros. Algunos de ellos han posibilitado repensar viejos tópicos a la luz de nuevos argumentos. En otros casos, en cambio, simplemente estamos frente a contumaces errores que se resisten a desaparecer del argumentario de los juristas. Quisiera dedicar este trabajo al análisis de uno de estos malos argumentos resistentes: el que vincula la oralidad del proceso judicial con la inmediación y la imposibilidad de control sobre la valoración de la prueba en segunda instancia (o en casación). Vale la pena advertir, sin embargo, que las tesis que aquí analizaré críticamente, así como los argumentos que defenderé, no son particulares de la cultura jurídica o de los sistemas jurídicos latinoamericanos, por lo que haré referencia a ellos sólo como excusa para la presentación de mi análisis sobre las posibilidades de control en segunda instancia del razonamiento probatorio.","author":[{"dropping-particle":"","family":"Ferrer Beltrán","given":"Jordi","non-dropping-particle":"","parse-names":false,"suffix":""}],"id":"ITEM-1","issue":"33","issued":{"date-parts":[["2017"]]},"page":"107-126","publisher":"Revus (Journal for constitutional theory and philosophy of law)","title":"El control de la valoración de la prueba en segunda instancia: Inmediación e inferencias probatorias","type":"article-journal"},"suppress-author":1,"uris":["http://www.mendeley.com/documents/?uuid=f3655ef7-9e49-4e13-ad0b-16193b36d1df"]}],"mendeley":{"formattedCitation":"(2017)","plainTextFormattedCitation":"(2017)","previouslyFormattedCitation":"(2017)"},"properties":{"noteIndex":0},"schema":"https://github.com/citation-style-language/schema/raw/master/csl-citation.json"}</w:instrText>
      </w:r>
      <w:r w:rsidRPr="0045124B">
        <w:rPr>
          <w:rFonts w:ascii="Palatino Linotype" w:hAnsi="Palatino Linotype" w:cs="Times New Roman"/>
          <w:color w:val="000000" w:themeColor="text1"/>
          <w:sz w:val="18"/>
          <w:szCs w:val="18"/>
          <w:lang w:val="es-ES_tradnl"/>
        </w:rPr>
        <w:fldChar w:fldCharType="separate"/>
      </w:r>
      <w:r w:rsidRPr="0045124B">
        <w:rPr>
          <w:rFonts w:ascii="Palatino Linotype" w:hAnsi="Palatino Linotype" w:cs="Times New Roman"/>
          <w:noProof/>
          <w:color w:val="000000" w:themeColor="text1"/>
          <w:sz w:val="18"/>
          <w:szCs w:val="18"/>
          <w:lang w:val="es-ES_tradnl"/>
        </w:rPr>
        <w:t>(2017)</w:t>
      </w:r>
      <w:r w:rsidRPr="0045124B">
        <w:rPr>
          <w:rFonts w:ascii="Palatino Linotype" w:hAnsi="Palatino Linotype" w:cs="Times New Roman"/>
          <w:color w:val="000000" w:themeColor="text1"/>
          <w:sz w:val="18"/>
          <w:szCs w:val="18"/>
          <w:lang w:val="es-ES_tradnl"/>
        </w:rPr>
        <w:fldChar w:fldCharType="end"/>
      </w:r>
      <w:r w:rsidRPr="0045124B">
        <w:rPr>
          <w:rFonts w:ascii="Palatino Linotype" w:hAnsi="Palatino Linotype" w:cs="Times New Roman"/>
          <w:color w:val="000000" w:themeColor="text1"/>
          <w:sz w:val="18"/>
          <w:szCs w:val="18"/>
          <w:lang w:val="es-ES_tradnl"/>
        </w:rPr>
        <w:t xml:space="preserve">. </w:t>
      </w:r>
    </w:p>
  </w:footnote>
  <w:footnote w:id="388">
    <w:p w14:paraId="1982B6E2"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Sobre la prueba testimonial, desde la perspectiva de la psicología del testimonio, resultan de imprescindible consulta: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{"citationItems":[{"id":"ITEM-1","itemData":{"DOI":"10.13140/2.1.3978.2729","abstract":"\" probablemente una disputa legal es realmente un conflicto entre narraciones y una decisión judicial es, en realidad, un test de la credibilidad de dos versiones de una narración \" (Crombag, 1989) I. Planteamiento General Desde que en el año mil novecientos ochenta y tres, de forma experimental, el psicólogo entrase a formar parte del personal de la Administración de Justicia, con consolidación de plazas cuatro años después, hasta la actualidad hemos asistido a un incremento exponencial de la presencia de psicólogos en el organigrama de nuestro Sistema de Justicia, en un grado superior a otros técnicos-forenses (Vázquez, 2008). La Ley 1/2000 de Enjuiciamiento Civil al potenciar un proceso presidido por el principio dispositivo o de aportación de parte ha facilitado la participación de la figura del perito psicólogo privado, situación que también se ha producido, aunque en menor medida, en los procesos penales. En definitiva, la figura del psicólogo forense está plenamente integrada en la realidad judicial española, habiendo adquirido un estatus profesional reconocido por los distintos operadores jurídicos y otros profesionales de las ciencias forenses, fruto del riguroso trabajo realizado por los pioneros de la profesión (Santolaya, 2002; Alfaro, Real, Tortosa y Jölluskin, 2004, Chacón, 2008). Pero si hay una parcela donde el informe pericial psicológico, tanto en su vertiente pública como privada, ha adquirido una relevancia especial, reflejada en un incremento significativo en su demanda, ese ha sido el de la evaluación de la credibilidad del testimonio en menores presuntas víctimas de abuso sexual infantil (Ercoli, 2003; Manzanero, 2001). Situación entendible si atendemos a la escasez de medios de prueba que suele acompañar a estos procesos penales (son delitos que se producen en ausencia de testigos, sin dejar evidencias físicas, cuando es intrafamiliar la familia tiende a ocultar los hechos y además el juzgador se encuentra con versiones contradictorias victima-victimario). Tanto el Tribunal Constitucional (STC nº 44/1989 de 20 de febrero) como el Tribunal Supremo (SSTS nºs 732/1997, de 19 de mayo, de 28 de octubre de 1992, de 16 de enero de 1991, y de 18 de septiembre de 1990) establecen el valor de los testimonios infantiles como prueba suficiente para desvirtuar la presunción de inocencia en estos casos. De ahí, la utilidad de estas periciales como ayuda a la toma de decisiones judiciales, reconocida en distinta jurisprudencia del Tribunal Supr…","author":[{"dropping-particle":"","family":"Manzanero","given":"Antonio","non-dropping-particle":"","parse-names":false,"suffix":""},{"dropping-particle":"","family":"Muñoz","given":"José Manuel","non-dropping-particle":"","parse-names":false,"suffix":""}],"id":"ITEM-1","issue":"January 2015","issued":{"date-parts":[["2011"]]},"page":"1-13","title":"La prueba pericial psicológica sobre la credibilidad del testimonio: reflexiones psico-legales","type":"article-journal"},"uris":["http://www.mendeley.com/documents/?uuid=676f8d35-bd17-448e-9d7a-7b6b5072a461"]},{"id":"ITEM-2","itemData":{"author":[{"dropping-particle":"","family":"Diges","given":"Margarita","non-dropping-particle":"","parse-names":false,"suffix":""},{"dropping-particle":"","family":"Pérez-Mata","given":"Nieves","non-dropping-particle":"","parse-names":false,"suffix":""}],"container-title":"Identificaciones fotográficas y en rueda de reconocimiento. Un análisis desde el Derecho procesal penal y la psicología del testimonio","id":"ITEM-2","issued":{"date-parts":[["2014"]]},"publisher":"Marcial Pons","title":"La prueba de identificación desde la psicología del testimonio","type":"chapter"},"uris":["http://www.mendeley.com/documents/?uuid=4239216f-cb8f-4db9-a5c2-b6609f2db014"]},{"id":"ITEM-3","itemData":{"ISBN":"978-84-9879-655-1","author":[{"dropping-particle":"","family":"Diges","given":"Margarita","non-dropping-particle":"","parse-names":false,"suffix":""}],"id":"ITEM-3","issued":{"date-parts":[["2016"]]},"number-of-pages":"263","publisher":"Editorial Trotta","publisher-place":"Madrid","title":"Testigos, sospechosos y recuerdos falsos. Estudios de psicología forense","type":"book"},"uris":["http://www.mendeley.com/documents/?uuid=e6a206a5-a7ec-4ce6-b256-a7c7ba9119ac"]},{"id":"ITEM-4","itemData":{"ISBN":"978-84-9879-158-7","author":[{"dropping-particle":"","family":"Mazzoni","given":"Giuliana","non-dropping-particle":"","parse-names":false,"suffix":""}],"id":"ITEM-4","issued":{"date-parts":[["2010"]]},"number-of-pages":"182","publisher":"Editorial Trotta","publisher-place":"Madrid","title":"¿Se puede creer a un testigo? El testimonio y las trampas de la memoria","translator":[{"dropping-particle":"","family":"Revuelta","given":"José Manuel","non-dropping-particle":"","parse-names":false,"suffix":""}],"type":"book"},"uris":["http://www.mendeley.com/documents/?uuid=a5a7389f-5590-4583-91d5-6b53f07fc138"]},{"id":"ITEM-5","itemData":{"author":[{"dropping-particle":"","family":"Pérez-Mata","given":"Nieves","non-dropping-particle":"","parse-names":false,"suffix":""},{"dropping-particle":"","family":"Diges","given":"Margarita","non-dropping-particle":"","parse-names":false,"suffix":""}],"id":"ITEM-5","issued":{"date-parts":[["2017"]]},"number-of-pages":"287","publisher":"Centro de Estudios Carbonell","publisher-place":"Ciudad de México","title":"La prueba testimonial","type":"book"},"uris":["http://www.mendeley.com/documents/?uuid=3f358167-e145-4496-80bb-fcbd2195c011"]}],"mendeley":{"formattedCitation":"(Diges, 2016; Diges &amp; Pérez-Mata, 2014; Manzanero &amp; Muñoz, 2011; Mazzoni, 2010; Pérez-Mata &amp; Diges, 2017)","manualFormatting":"Diges, 2016; Diges &amp; Pérez-Mata, 2014; Manzanero &amp; Muñoz, 2011; Mazzoni, 2010; Pérez-Mata &amp; Diges, 2017.","plainTextFormattedCitation":"(Diges, 2016; Diges &amp; Pérez-Mata, 2014; Manzanero &amp; Muñoz, 2011; Mazzoni, 2010; Pérez-Mata &amp; Diges, 2017)","previouslyFormattedCitation":"(Diges, 2016; Diges &amp; Pérez-Mata, 2014; Manzanero &amp; Muñoz, 2011; Mazzoni, 2010; Pérez-Mata &amp; Diges, 2017)"},"properties":{"noteIndex":0},"schema":"https://github.com/citation-style-language/schema/raw/master/csl-citation.json"}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Diges, 2016; Diges &amp; Pérez-Mata, 2014; Manzanero &amp; Muñoz, 2011; Mazzoni, 2010; Pérez-Mata &amp; Diges, 2017.</w:t>
      </w:r>
      <w:r w:rsidRPr="0045124B">
        <w:rPr>
          <w:rFonts w:ascii="Palatino Linotype" w:hAnsi="Palatino Linotype" w:cs="Times New Roman"/>
          <w:sz w:val="18"/>
          <w:szCs w:val="18"/>
          <w:lang w:val="es-ES"/>
        </w:rPr>
        <w:fldChar w:fldCharType="end"/>
      </w:r>
    </w:p>
  </w:footnote>
  <w:footnote w:id="389">
    <w:p w14:paraId="46AEC143"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Estos efectos han sido expuestos por Diges y Pérez Mata, especialmente frente a delitos sexuales. Señalan las autoras que “mientras algunos abusos no producen ningún tipo de secuela, especialmente en los niños más pequeños, como por ejemplo los tocamientos, un abuso en el que la víctima no sufre ningún tipo de dolor físico y como además no tiene noción de ‘sexo’ no puede interpretar la acción del adulto como tal abuso, en cambio, lo que sí provoca un elevado nivel de estrés en el menor es vivir todo el proceso legal”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author":[{"dropping-particle":"","family":"Pérez-Mata","given":"Nieves","non-dropping-particle":"","parse-names":false,"suffix":""},{"dropping-particle":"","family":"Diges","given":"Margarita","non-dropping-particle":"","parse-names":false,"suffix":""}],"id":"ITEM-1","issued":{"date-parts":[["2017"]]},"number-of-pages":"287","publisher":"Centro de Estudios Carbonell","publisher-place":"Ciudad de México","title":"La prueba testimonial","type":"book"},"locator":"13","uris":["http://www.mendeley.com/documents/?uuid=3f358167-e145-4496-80bb-fcbd2195c011"]}],"mendeley":{"formattedCitation":"(Pérez-Mata &amp; Diges, 2017, p. 13)","plainTextFormattedCitation":"(Pérez-Mata &amp; Diges, 2017, p. 13)","previouslyFormattedCitation":"(Pérez-Mata &amp; Diges, 2017, p. 13)"},"properties":{"noteIndex":0},"schema":"https://github.com/citation-style-language/schema/raw/master/csl-citation.json"}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(Pérez-Mata &amp; Diges, 2017, p. 13)</w:t>
      </w:r>
      <w:r w:rsidRPr="0045124B">
        <w:rPr>
          <w:rFonts w:ascii="Palatino Linotype" w:hAnsi="Palatino Linotype" w:cs="Times New Roman"/>
          <w:sz w:val="18"/>
          <w:szCs w:val="18"/>
          <w:lang w:val="es-ES"/>
        </w:rPr>
        <w:fldChar w:fldCharType="end"/>
      </w:r>
      <w:r w:rsidRPr="0045124B">
        <w:rPr>
          <w:rFonts w:ascii="Palatino Linotype" w:hAnsi="Palatino Linotype" w:cs="Times New Roman"/>
          <w:sz w:val="18"/>
          <w:szCs w:val="18"/>
          <w:lang w:val="es-ES"/>
        </w:rPr>
        <w:t>.</w:t>
      </w:r>
    </w:p>
  </w:footnote>
  <w:footnote w:id="390">
    <w:p w14:paraId="3938F3EB"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Refieren Diges y Pérez Mata que la “sugestión contamina irremediablemente la información que se obtiene del niño o niña entrevistada, al distorsionar sus recuerdos, convirtiéndola en inútil para la acreditación de los hechos ante su falta de validez epistemológica”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author":[{"dropping-particle":"","family":"Pérez-Mata","given":"Nieves","non-dropping-particle":"","parse-names":false,"suffix":""},{"dropping-particle":"","family":"Diges","given":"Margarita","non-dropping-particle":"","parse-names":false,"suffix":""}],"id":"ITEM-1","issued":{"date-parts":[["2017"]]},"number-of-pages":"287","publisher":"Centro de Estudios Carbonell","publisher-place":"Ciudad de México","title":"La prueba testimonial","type":"book"},"locator":"80","suppress-author":1,"uris":["http://www.mendeley.com/documents/?uuid=3f358167-e145-4496-80bb-fcbd2195c011"]}],"mendeley":{"formattedCitation":"(2017, p. 80)","plainTextFormattedCitation":"(2017, p. 80)","previouslyFormattedCitation":"(2017, p. 80)"},"properties":{"noteIndex":0},"schema":"https://github.com/citation-style-language/schema/raw/master/csl-citation.json"}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(2017, p. 80)</w:t>
      </w:r>
      <w:r w:rsidRPr="0045124B">
        <w:rPr>
          <w:rFonts w:ascii="Palatino Linotype" w:hAnsi="Palatino Linotype" w:cs="Times New Roman"/>
          <w:sz w:val="18"/>
          <w:szCs w:val="18"/>
          <w:lang w:val="es-ES"/>
        </w:rPr>
        <w:fldChar w:fldCharType="end"/>
      </w:r>
      <w:r w:rsidRPr="0045124B">
        <w:rPr>
          <w:rFonts w:ascii="Palatino Linotype" w:hAnsi="Palatino Linotype" w:cs="Times New Roman"/>
          <w:sz w:val="18"/>
          <w:szCs w:val="18"/>
          <w:lang w:val="es-ES"/>
        </w:rPr>
        <w:t>.</w:t>
      </w:r>
    </w:p>
  </w:footnote>
  <w:footnote w:id="391">
    <w:p w14:paraId="58F24A46"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En cuanto a las entrevistas que generalmente se efectúan, es necesario señalar que no basta con que sean practicadas por profesionales en psicología, como ocurre en el ámbito costarricense con frecuencia, sino que debe tratarse de expertos en psicología del testimonio infantil, contantemente capacitados. Además, es preciso excluir ciertos lugares comunes que no ofrecen, desde el punto de vista científico, ninguna garantía, como la llamada “hora de juego”, las entrevistas previas a la exploración principal, la creencia errónea en cierta </w:t>
      </w:r>
      <w:r w:rsidRPr="0045124B">
        <w:rPr>
          <w:rFonts w:ascii="Palatino Linotype" w:hAnsi="Palatino Linotype" w:cs="Times New Roman"/>
          <w:i/>
          <w:sz w:val="18"/>
          <w:szCs w:val="18"/>
          <w:lang w:val="es-ES"/>
        </w:rPr>
        <w:t xml:space="preserve">sintomatología </w:t>
      </w:r>
      <w:r w:rsidRPr="0045124B">
        <w:rPr>
          <w:rFonts w:ascii="Palatino Linotype" w:hAnsi="Palatino Linotype" w:cs="Times New Roman"/>
          <w:sz w:val="18"/>
          <w:szCs w:val="18"/>
          <w:lang w:val="es-ES"/>
        </w:rPr>
        <w:t xml:space="preserve">del abuso, la utilización de muñecos, entre otros. Para todo, puede verse: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author":[{"dropping-particle":"","family":"Pérez-Mata","given":"Nieves","non-dropping-particle":"","parse-names":false,"suffix":""},{"dropping-particle":"","family":"Diges","given":"Margarita","non-dropping-particle":"","parse-names":false,"suffix":""}],"id":"ITEM-1","issued":{"date-parts":[["2017"]]},"number-of-pages":"287","publisher":"Centro de Estudios Carbonell","publisher-place":"Ciudad de México","title":"La prueba testimonial","type":"book"},"uris":["http://www.mendeley.com/documents/?uuid=3f358167-e145-4496-80bb-fcbd2195c011"]}],"mendeley":{"formattedCitation":"(Pérez-Mata &amp; Diges, 2017)","manualFormatting":"Pérez-Mata &amp; Diges, 2017.   ","plainTextFormattedCitation":"(Pérez-Mata &amp; Diges, 2017)","previouslyFormattedCitation":"(Pérez-Mata &amp; Diges, 2017)"},"properties":{"noteIndex":0},"schema":"https://github.com/citation-style-language/schema/raw/master/csl-citation.json"}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 xml:space="preserve">Pérez-Mata &amp; Diges, 2017.   </w:t>
      </w:r>
      <w:r w:rsidRPr="0045124B">
        <w:rPr>
          <w:rFonts w:ascii="Palatino Linotype" w:hAnsi="Palatino Linotype" w:cs="Times New Roman"/>
          <w:sz w:val="18"/>
          <w:szCs w:val="18"/>
          <w:lang w:val="es-ES"/>
        </w:rPr>
        <w:fldChar w:fldCharType="end"/>
      </w:r>
    </w:p>
  </w:footnote>
  <w:footnote w:id="392">
    <w:p w14:paraId="62183958"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Este acápite coincide, en rasgos generales, con lo expuesto en: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{"citationItems":[{"id":"ITEM-1","itemData":{"author":[{"dropping-particle":"","family":"Mora Sánchez","given":"Jeffry José","non-dropping-particle":"","parse-names":false,"suffix":""}],"container-title":"Revista El Foro","id":"ITEM-1","issued":{"date-parts":[["2019","2"]]},"page":"49-75","publisher-place":"San José","title":"Estándares probatorios (¿diferenciados?) en delitos contra las mujeres. Apuntes sobre la construcción de un proceso penal con perspectiva de género","type":"article-magazine"},"uris":["http://www.mendeley.com/documents/?uuid=bbcfa5df-903b-4991-8256-60c9b30476b9"]}],"mendeley":{"formattedCitation":"(Mora Sánchez, 2019)","manualFormatting":"Mora Sánchez, 2019.   ","plainTextFormattedCitation":"(Mora Sánchez, 2019)","previouslyFormattedCitation":"(Mora Sánchez, 2019)"},"properties":{"noteIndex":0},"schema":"https://github.com/citation-style-language/schema/raw/master/csl-citation.json"}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 xml:space="preserve">Mora Sánchez, 2019.   </w:t>
      </w:r>
      <w:r w:rsidRPr="0045124B">
        <w:rPr>
          <w:rFonts w:ascii="Palatino Linotype" w:hAnsi="Palatino Linotype" w:cs="Times New Roman"/>
          <w:sz w:val="18"/>
          <w:szCs w:val="18"/>
          <w:lang w:val="es-ES"/>
        </w:rPr>
        <w:fldChar w:fldCharType="end"/>
      </w:r>
    </w:p>
  </w:footnote>
  <w:footnote w:id="393">
    <w:p w14:paraId="565CBD9C" w14:textId="77777777" w:rsidR="00E87246" w:rsidRPr="0045124B" w:rsidRDefault="00E87246" w:rsidP="0045124B">
      <w:pPr>
        <w:pStyle w:val="Textonotapie"/>
        <w:jc w:val="both"/>
        <w:rPr>
          <w:rFonts w:ascii="Palatino Linotype" w:hAnsi="Palatino Linotype" w:cs="Times New Roman"/>
          <w:color w:val="000000" w:themeColor="text1"/>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color w:val="000000" w:themeColor="text1"/>
          <w:sz w:val="18"/>
          <w:szCs w:val="18"/>
        </w:rPr>
        <w:t xml:space="preserve"> </w:t>
      </w:r>
      <w:r w:rsidRPr="0045124B">
        <w:rPr>
          <w:rFonts w:ascii="Palatino Linotype" w:hAnsi="Palatino Linotype" w:cs="Times New Roman"/>
          <w:color w:val="000000" w:themeColor="text1"/>
          <w:sz w:val="18"/>
          <w:szCs w:val="18"/>
          <w:lang w:val="es-ES"/>
        </w:rPr>
        <w:t xml:space="preserve">Afirma Sancinetti, quien considera a la víctima como “la trampa del principio de inocencia”, con cita de Bertrand Russell, que el darle al sujeto de una oración una denominación que realmente implica una </w:t>
      </w:r>
      <w:r w:rsidRPr="0045124B">
        <w:rPr>
          <w:rFonts w:ascii="Palatino Linotype" w:hAnsi="Palatino Linotype" w:cs="Times New Roman"/>
          <w:i/>
          <w:color w:val="000000" w:themeColor="text1"/>
          <w:sz w:val="18"/>
          <w:szCs w:val="18"/>
          <w:lang w:val="es-ES"/>
        </w:rPr>
        <w:t>predicción</w:t>
      </w:r>
      <w:r w:rsidRPr="0045124B">
        <w:rPr>
          <w:rFonts w:ascii="Palatino Linotype" w:hAnsi="Palatino Linotype" w:cs="Times New Roman"/>
          <w:color w:val="000000" w:themeColor="text1"/>
          <w:sz w:val="18"/>
          <w:szCs w:val="18"/>
          <w:lang w:val="es-ES"/>
        </w:rPr>
        <w:t xml:space="preserve">, constituye una falacia </w:t>
      </w:r>
      <w:r w:rsidRPr="0045124B">
        <w:rPr>
          <w:rFonts w:ascii="Palatino Linotype" w:hAnsi="Palatino Linotype" w:cs="Times New Roman"/>
          <w:color w:val="000000" w:themeColor="text1"/>
          <w:sz w:val="18"/>
          <w:szCs w:val="18"/>
          <w:lang w:val="es-ES"/>
        </w:rPr>
        <w:fldChar w:fldCharType="begin" w:fldLock="1"/>
      </w:r>
      <w:r w:rsidRPr="0045124B">
        <w:rPr>
          <w:rFonts w:ascii="Palatino Linotype" w:hAnsi="Palatino Linotype" w:cs="Times New Roman"/>
          <w:color w:val="000000" w:themeColor="text1"/>
          <w:sz w:val="18"/>
          <w:szCs w:val="18"/>
          <w:lang w:val="es-ES"/>
        </w:rPr>
        <w:instrText>ADDIN CSL_CITATION {"citationItems":[{"id":"ITEM-1","itemData":{"author":[{"dropping-particle":"","family":"Sancinetti","given":"Marcelo","non-dropping-particle":"","parse-names":false,"suffix":""}],"container-title":"Revista Pensamiento Penal","id":"ITEM-1","issued":{"date-parts":[["2012"]]},"title":"Las imputaciones por abuso sexual libradas a la arbitrariedad del denunciante","type":"article-journal"},"uris":["http://www.mendeley.com/documents/?uuid=783ffa67-5ffc-4219-88c5-b38b8764e246"]}],"mendeley":{"formattedCitation":"(Sancinetti, 2012)","plainTextFormattedCitation":"(Sancinetti, 2012)","previouslyFormattedCitation":"(Sancinetti, 2012)"},"properties":{"noteIndex":0},"schema":"https://github.com/citation-style-language/schema/raw/master/csl-citation.json"}</w:instrText>
      </w:r>
      <w:r w:rsidRPr="0045124B">
        <w:rPr>
          <w:rFonts w:ascii="Palatino Linotype" w:hAnsi="Palatino Linotype" w:cs="Times New Roman"/>
          <w:color w:val="000000" w:themeColor="text1"/>
          <w:sz w:val="18"/>
          <w:szCs w:val="18"/>
          <w:lang w:val="es-ES"/>
        </w:rPr>
        <w:fldChar w:fldCharType="separate"/>
      </w:r>
      <w:r w:rsidRPr="0045124B">
        <w:rPr>
          <w:rFonts w:ascii="Palatino Linotype" w:hAnsi="Palatino Linotype" w:cs="Times New Roman"/>
          <w:noProof/>
          <w:color w:val="000000" w:themeColor="text1"/>
          <w:sz w:val="18"/>
          <w:szCs w:val="18"/>
          <w:lang w:val="es-ES"/>
        </w:rPr>
        <w:t>(Sancinetti, 2012)</w:t>
      </w:r>
      <w:r w:rsidRPr="0045124B">
        <w:rPr>
          <w:rFonts w:ascii="Palatino Linotype" w:hAnsi="Palatino Linotype" w:cs="Times New Roman"/>
          <w:color w:val="000000" w:themeColor="text1"/>
          <w:sz w:val="18"/>
          <w:szCs w:val="18"/>
          <w:lang w:val="es-ES"/>
        </w:rPr>
        <w:fldChar w:fldCharType="end"/>
      </w:r>
      <w:r w:rsidRPr="0045124B">
        <w:rPr>
          <w:rFonts w:ascii="Palatino Linotype" w:hAnsi="Palatino Linotype" w:cs="Times New Roman"/>
          <w:color w:val="000000" w:themeColor="text1"/>
          <w:sz w:val="18"/>
          <w:szCs w:val="18"/>
          <w:lang w:val="es-ES"/>
        </w:rPr>
        <w:t xml:space="preserve">. Para evidenciar el acierto de lo indicado por Sancinetti, basta con pensar que se presentaría el mismo vicio si en lugar de referirnos al imputado como tal, lo llamáramos “condenado” o “culpable”. Siguiendo a </w:t>
      </w:r>
      <w:r w:rsidRPr="0045124B">
        <w:rPr>
          <w:rFonts w:ascii="Palatino Linotype" w:hAnsi="Palatino Linotype" w:cs="Times New Roman"/>
          <w:i/>
          <w:color w:val="000000" w:themeColor="text1"/>
          <w:sz w:val="18"/>
          <w:szCs w:val="18"/>
          <w:lang w:val="es-ES"/>
        </w:rPr>
        <w:t>Schopenhauer</w:t>
      </w:r>
      <w:r w:rsidRPr="0045124B">
        <w:rPr>
          <w:rFonts w:ascii="Palatino Linotype" w:hAnsi="Palatino Linotype" w:cs="Times New Roman"/>
          <w:color w:val="000000" w:themeColor="text1"/>
          <w:sz w:val="18"/>
          <w:szCs w:val="18"/>
          <w:lang w:val="es-ES"/>
        </w:rPr>
        <w:t xml:space="preserve">, se trataría de una sutil falacia </w:t>
      </w:r>
      <w:r w:rsidRPr="0045124B">
        <w:rPr>
          <w:rFonts w:ascii="Palatino Linotype" w:hAnsi="Palatino Linotype" w:cs="Times New Roman"/>
          <w:i/>
          <w:color w:val="000000" w:themeColor="text1"/>
          <w:sz w:val="18"/>
          <w:szCs w:val="18"/>
          <w:lang w:val="es-ES"/>
        </w:rPr>
        <w:t>petitio principii</w:t>
      </w:r>
      <w:r w:rsidRPr="0045124B">
        <w:rPr>
          <w:rFonts w:ascii="Palatino Linotype" w:hAnsi="Palatino Linotype" w:cs="Times New Roman"/>
          <w:color w:val="000000" w:themeColor="text1"/>
          <w:sz w:val="18"/>
          <w:szCs w:val="18"/>
          <w:lang w:val="es-ES"/>
        </w:rPr>
        <w:t xml:space="preserve">, en donde lo que se quiere probar (la atribución de los efectos perniciosos de una conducta a un sujeto) se introduce ya en la denominación (víctima), “de donde se deriva como un simple juicio analítico” </w:t>
      </w:r>
      <w:r w:rsidRPr="0045124B">
        <w:rPr>
          <w:rFonts w:ascii="Palatino Linotype" w:hAnsi="Palatino Linotype" w:cs="Times New Roman"/>
          <w:i/>
          <w:color w:val="000000" w:themeColor="text1"/>
          <w:sz w:val="18"/>
          <w:szCs w:val="18"/>
          <w:lang w:val="es-ES"/>
        </w:rPr>
        <w:fldChar w:fldCharType="begin" w:fldLock="1"/>
      </w:r>
      <w:r w:rsidRPr="0045124B">
        <w:rPr>
          <w:rFonts w:ascii="Palatino Linotype" w:hAnsi="Palatino Linotype" w:cs="Times New Roman"/>
          <w:i/>
          <w:color w:val="000000" w:themeColor="text1"/>
          <w:sz w:val="18"/>
          <w:szCs w:val="18"/>
          <w:lang w:val="es-ES"/>
        </w:rPr>
        <w:instrText>ADDIN CSL_CITATION {"citationItems":[{"id":"ITEM-1","itemData":{"ISBN":"978-84-414-0066-5","author":[{"dropping-particle":"","family":"Schopenhauer","given":"Arthur","non-dropping-particle":"","parse-names":false,"suffix":""}],"edition":"15ª edició","id":"ITEM-1","issued":{"date-parts":[["2009"]]},"number-of-pages":"135","publisher":"Biblioteca Edaf","title":"El arte de tener razón expuesto en 38 estratagemas","translator":[{"dropping-particle":"","family":"Garzón","given":"Dionisio","non-dropping-particle":"","parse-names":false,"suffix":""}],"type":"book"},"uris":["http://www.mendeley.com/documents/?uuid=33350d6e-76bd-45ea-85b4-537bafb9cbee"]}],"mendeley":{"formattedCitation":"(Schopenhauer, 2009)","manualFormatting":"(2009, p. 42)","plainTextFormattedCitation":"(Schopenhauer, 2009)","previouslyFormattedCitation":"(Schopenhauer, 2009)"},"properties":{"noteIndex":0},"schema":"https://github.com/citation-style-language/schema/raw/master/csl-citation.json"}</w:instrText>
      </w:r>
      <w:r w:rsidRPr="0045124B">
        <w:rPr>
          <w:rFonts w:ascii="Palatino Linotype" w:hAnsi="Palatino Linotype" w:cs="Times New Roman"/>
          <w:i/>
          <w:color w:val="000000" w:themeColor="text1"/>
          <w:sz w:val="18"/>
          <w:szCs w:val="18"/>
          <w:lang w:val="es-ES"/>
        </w:rPr>
        <w:fldChar w:fldCharType="separate"/>
      </w:r>
      <w:r w:rsidRPr="0045124B">
        <w:rPr>
          <w:rFonts w:ascii="Palatino Linotype" w:hAnsi="Palatino Linotype" w:cs="Times New Roman"/>
          <w:noProof/>
          <w:color w:val="000000" w:themeColor="text1"/>
          <w:sz w:val="18"/>
          <w:szCs w:val="18"/>
          <w:lang w:val="es-ES"/>
        </w:rPr>
        <w:t>(2009, p. 42)</w:t>
      </w:r>
      <w:r w:rsidRPr="0045124B">
        <w:rPr>
          <w:rFonts w:ascii="Palatino Linotype" w:hAnsi="Palatino Linotype" w:cs="Times New Roman"/>
          <w:i/>
          <w:color w:val="000000" w:themeColor="text1"/>
          <w:sz w:val="18"/>
          <w:szCs w:val="18"/>
          <w:lang w:val="es-ES"/>
        </w:rPr>
        <w:fldChar w:fldCharType="end"/>
      </w:r>
      <w:r w:rsidRPr="0045124B">
        <w:rPr>
          <w:rFonts w:ascii="Palatino Linotype" w:hAnsi="Palatino Linotype" w:cs="Times New Roman"/>
          <w:i/>
          <w:color w:val="000000" w:themeColor="text1"/>
          <w:sz w:val="18"/>
          <w:szCs w:val="18"/>
          <w:lang w:val="es-ES"/>
        </w:rPr>
        <w:t xml:space="preserve">. </w:t>
      </w:r>
      <w:r w:rsidRPr="0045124B">
        <w:rPr>
          <w:rFonts w:ascii="Palatino Linotype" w:hAnsi="Palatino Linotype" w:cs="Times New Roman"/>
          <w:color w:val="000000" w:themeColor="text1"/>
          <w:sz w:val="18"/>
          <w:szCs w:val="18"/>
          <w:lang w:val="es-ES"/>
        </w:rPr>
        <w:t xml:space="preserve">A mi parecer, la fórmula correcta para referirse a la víctima es mediante la utilización de un adjetivo conjetural como “probable” o “presunta”. </w:t>
      </w:r>
    </w:p>
  </w:footnote>
  <w:footnote w:id="394">
    <w:p w14:paraId="3EE2DEF1"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Este tema se abordará </w:t>
      </w:r>
      <w:r w:rsidRPr="0045124B">
        <w:rPr>
          <w:rFonts w:ascii="Palatino Linotype" w:hAnsi="Palatino Linotype" w:cs="Times New Roman"/>
          <w:i/>
          <w:sz w:val="18"/>
          <w:szCs w:val="18"/>
        </w:rPr>
        <w:t>infra</w:t>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Un análisis crítico sobre este tipo de pericias psicológicas de credibilidad, en el ámbito chileno, puede verse en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{"citationItems":[{"id":"ITEM-1","itemData":{"author":[{"dropping-particle":"","family":"Duce","given":"Mauricio","non-dropping-particle":"","parse-names":false,"suffix":""}],"container-title":"El modelo adversarial en Chile. Ponencias sobre su implementación en la reforma procesal penal","id":"ITEM-1","issued":{"date-parts":[["2013"]]},"page":"322","publisher":"Thomson Reuters","title":"Errores del sistema y condena de inocentes: Nuevos desafíos para nuestra justicia penal acusatoria","type":"chapter"},"locator":"48-51","uris":["http://www.mendeley.com/documents/?uuid=1e32ad94-0e15-43b9-9be4-82a0d5386ad0"]}],"mendeley":{"formattedCitation":"(Duce, 2013a, pp. 48–51)","manualFormatting":"Duce, 2013, pp. 48–51.  ","plainTextFormattedCitation":"(Duce, 2013a, pp. 48–51)","previouslyFormattedCitation":"(Duce, 2013a, pp. 48–51)"},"properties":{"noteIndex":0},"schema":"https://github.com/citation-style-language/schema/raw/master/csl-citation.json"}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 xml:space="preserve">Duce, 2013, pp. 48–51.  </w:t>
      </w:r>
      <w:r w:rsidRPr="0045124B">
        <w:rPr>
          <w:rFonts w:ascii="Palatino Linotype" w:hAnsi="Palatino Linotype" w:cs="Times New Roman"/>
          <w:sz w:val="18"/>
          <w:szCs w:val="18"/>
          <w:lang w:val="es-ES"/>
        </w:rPr>
        <w:fldChar w:fldCharType="end"/>
      </w:r>
    </w:p>
  </w:footnote>
  <w:footnote w:id="395">
    <w:p w14:paraId="208F9227"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Esta referencia concreta se critica en la sentencia número 417/2012, del Tribunal Supremo de España, cuyo magistrado ponente fue el Dr. Perfecto Andrés Ibáñez.</w:t>
      </w:r>
    </w:p>
  </w:footnote>
  <w:footnote w:id="396">
    <w:p w14:paraId="3EE6AA66" w14:textId="77777777" w:rsidR="00E87246" w:rsidRPr="0045124B" w:rsidRDefault="00E87246" w:rsidP="0045124B">
      <w:pPr>
        <w:pStyle w:val="Textonotapie"/>
        <w:jc w:val="both"/>
        <w:rPr>
          <w:rFonts w:ascii="Palatino Linotype" w:hAnsi="Palatino Linotype" w:cs="Times New Roman"/>
          <w:color w:val="000000" w:themeColor="text1"/>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color w:val="000000" w:themeColor="text1"/>
          <w:sz w:val="18"/>
          <w:szCs w:val="18"/>
        </w:rPr>
        <w:t xml:space="preserve"> De acuerdo con el modelo de análisis de Toulmin, la petitio principii constituye el mejor ejemplo de falacia por falta de razones, en tanto </w:t>
      </w:r>
      <w:r w:rsidRPr="0045124B">
        <w:rPr>
          <w:rFonts w:ascii="Tahoma" w:hAnsi="Tahoma" w:cs="Tahoma"/>
          <w:color w:val="000000" w:themeColor="text1"/>
          <w:sz w:val="18"/>
          <w:szCs w:val="18"/>
        </w:rPr>
        <w:t>﻿</w:t>
      </w:r>
      <w:r w:rsidRPr="0045124B">
        <w:rPr>
          <w:rFonts w:ascii="Palatino Linotype" w:hAnsi="Palatino Linotype" w:cs="Calibri"/>
          <w:color w:val="000000" w:themeColor="text1"/>
          <w:sz w:val="18"/>
          <w:szCs w:val="18"/>
        </w:rPr>
        <w:t>“</w:t>
      </w:r>
      <w:r w:rsidRPr="0045124B">
        <w:rPr>
          <w:rFonts w:ascii="Palatino Linotype" w:hAnsi="Palatino Linotype" w:cs="Times New Roman"/>
          <w:color w:val="000000" w:themeColor="text1"/>
          <w:sz w:val="18"/>
          <w:szCs w:val="18"/>
        </w:rPr>
        <w:t xml:space="preserve">consiste en efectuar una pretensión y argumentar en su favor avanzando razones cuyo significado es sencillamente equivalente al de la pretensión original” </w:t>
      </w:r>
      <w:r w:rsidRPr="0045124B">
        <w:rPr>
          <w:rFonts w:ascii="Palatino Linotype" w:hAnsi="Palatino Linotype" w:cs="Times New Roman"/>
          <w:color w:val="000000" w:themeColor="text1"/>
          <w:sz w:val="18"/>
          <w:szCs w:val="18"/>
        </w:rPr>
        <w:fldChar w:fldCharType="begin" w:fldLock="1"/>
      </w:r>
      <w:r w:rsidRPr="0045124B">
        <w:rPr>
          <w:rFonts w:ascii="Palatino Linotype" w:hAnsi="Palatino Linotype" w:cs="Times New Roman"/>
          <w:color w:val="000000" w:themeColor="text1"/>
          <w:sz w:val="18"/>
          <w:szCs w:val="18"/>
        </w:rPr>
        <w:instrText>ADDIN CSL_CITATION {"citationItems":[{"id":"ITEM-1","itemData":{"ISBN":"9703203647","author":[{"dropping-particle":"","family":"Atienza","given":"Manuel","non-dropping-particle":"","parse-names":false,"suffix":""}],"id":"ITEM-1","issued":{"date-parts":[["2005"]]},"number-of-pages":"267","publisher":"Universidad Nacional Autónoma de México","title":"Las razones del derecho. Teorías de la argumentación jurídica","type":"book"},"locator":"94","uris":["http://www.mendeley.com/documents/?uuid=f6a0987e-8493-456e-a9e2-8a9e566f0388"]}],"mendeley":{"formattedCitation":"(Atienza, 2005, p. 94)","plainTextFormattedCitation":"(Atienza, 2005, p. 94)","previouslyFormattedCitation":"(Atienza, 2005, p. 94)"},"properties":{"noteIndex":0},"schema":"https://github.com/citation-style-language/schema/raw/master/csl-citation.json"}</w:instrText>
      </w:r>
      <w:r w:rsidRPr="0045124B">
        <w:rPr>
          <w:rFonts w:ascii="Palatino Linotype" w:hAnsi="Palatino Linotype" w:cs="Times New Roman"/>
          <w:color w:val="000000" w:themeColor="text1"/>
          <w:sz w:val="18"/>
          <w:szCs w:val="18"/>
        </w:rPr>
        <w:fldChar w:fldCharType="separate"/>
      </w:r>
      <w:r w:rsidRPr="0045124B">
        <w:rPr>
          <w:rFonts w:ascii="Palatino Linotype" w:hAnsi="Palatino Linotype" w:cs="Times New Roman"/>
          <w:noProof/>
          <w:color w:val="000000" w:themeColor="text1"/>
          <w:sz w:val="18"/>
          <w:szCs w:val="18"/>
        </w:rPr>
        <w:t>(Atienza, 2005, p. 94)</w:t>
      </w:r>
      <w:r w:rsidRPr="0045124B">
        <w:rPr>
          <w:rFonts w:ascii="Palatino Linotype" w:hAnsi="Palatino Linotype" w:cs="Times New Roman"/>
          <w:color w:val="000000" w:themeColor="text1"/>
          <w:sz w:val="18"/>
          <w:szCs w:val="18"/>
        </w:rPr>
        <w:fldChar w:fldCharType="end"/>
      </w:r>
      <w:r w:rsidRPr="0045124B">
        <w:rPr>
          <w:rFonts w:ascii="Palatino Linotype" w:hAnsi="Palatino Linotype" w:cs="Times New Roman"/>
          <w:color w:val="000000" w:themeColor="text1"/>
          <w:sz w:val="18"/>
          <w:szCs w:val="18"/>
        </w:rPr>
        <w:t>.</w:t>
      </w:r>
    </w:p>
  </w:footnote>
  <w:footnote w:id="397">
    <w:p w14:paraId="3223E8CB" w14:textId="77777777" w:rsidR="00E87246" w:rsidRPr="0045124B" w:rsidRDefault="00E87246" w:rsidP="0045124B">
      <w:pPr>
        <w:pStyle w:val="Textonotapie"/>
        <w:jc w:val="both"/>
        <w:rPr>
          <w:rFonts w:ascii="Palatino Linotype" w:hAnsi="Palatino Linotype" w:cs="Times New Roman"/>
          <w:color w:val="000000" w:themeColor="text1"/>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color w:val="000000" w:themeColor="text1"/>
          <w:sz w:val="18"/>
          <w:szCs w:val="18"/>
        </w:rPr>
        <w:t xml:space="preserve"> Afirma Ibáñez que la expresión en cuestión (“nadie debe padecer…”) “equivale a: nadie que no sea el imputado, en lo que constituye una clara recuperación del terrible in atrocissimis” </w:t>
      </w:r>
      <w:r w:rsidRPr="0045124B">
        <w:rPr>
          <w:rFonts w:ascii="Palatino Linotype" w:hAnsi="Palatino Linotype" w:cs="Times New Roman"/>
          <w:color w:val="000000" w:themeColor="text1"/>
          <w:sz w:val="18"/>
          <w:szCs w:val="18"/>
        </w:rPr>
        <w:fldChar w:fldCharType="begin" w:fldLock="1"/>
      </w:r>
      <w:r w:rsidRPr="0045124B">
        <w:rPr>
          <w:rFonts w:ascii="Palatino Linotype" w:hAnsi="Palatino Linotype" w:cs="Times New Roman"/>
          <w:color w:val="000000" w:themeColor="text1"/>
          <w:sz w:val="18"/>
          <w:szCs w:val="18"/>
        </w:rPr>
        <w:instrText>ADDIN CSL_CITATION {"citationItems":[{"id":"ITEM-1","itemData":{"ISBN":"978-84-9879-572-1","author":[{"dropping-particle":"","family":"Ibáñez","given":"Perfecto Andrés","non-dropping-particle":"","parse-names":false,"suffix":""}],"id":"ITEM-1","issued":{"date-parts":[["2015"]]},"number-of-pages":"556","publisher":"Editorial Trotta","publisher-place":"Madrid","title":"Tercero en discordia. Jurisdicción y Juez del Estado Constitucional","type":"book"},"locator":"313","suppress-author":1,"uris":["http://www.mendeley.com/documents/?uuid=db0a4cc6-bda8-4599-874b-30f83a2d8111"]}],"mendeley":{"formattedCitation":"(2015, p. 313)","plainTextFormattedCitation":"(2015, p. 313)","previouslyFormattedCitation":"(2015, p. 313)"},"properties":{"noteIndex":0},"schema":"https://github.com/citation-style-language/schema/raw/master/csl-citation.json"}</w:instrText>
      </w:r>
      <w:r w:rsidRPr="0045124B">
        <w:rPr>
          <w:rFonts w:ascii="Palatino Linotype" w:hAnsi="Palatino Linotype" w:cs="Times New Roman"/>
          <w:color w:val="000000" w:themeColor="text1"/>
          <w:sz w:val="18"/>
          <w:szCs w:val="18"/>
        </w:rPr>
        <w:fldChar w:fldCharType="separate"/>
      </w:r>
      <w:r w:rsidRPr="0045124B">
        <w:rPr>
          <w:rFonts w:ascii="Palatino Linotype" w:hAnsi="Palatino Linotype" w:cs="Times New Roman"/>
          <w:noProof/>
          <w:color w:val="000000" w:themeColor="text1"/>
          <w:sz w:val="18"/>
          <w:szCs w:val="18"/>
        </w:rPr>
        <w:t>(2015, p. 313)</w:t>
      </w:r>
      <w:r w:rsidRPr="0045124B">
        <w:rPr>
          <w:rFonts w:ascii="Palatino Linotype" w:hAnsi="Palatino Linotype" w:cs="Times New Roman"/>
          <w:color w:val="000000" w:themeColor="text1"/>
          <w:sz w:val="18"/>
          <w:szCs w:val="18"/>
        </w:rPr>
        <w:fldChar w:fldCharType="end"/>
      </w:r>
      <w:r w:rsidRPr="0045124B">
        <w:rPr>
          <w:rFonts w:ascii="Palatino Linotype" w:hAnsi="Palatino Linotype" w:cs="Times New Roman"/>
          <w:color w:val="000000" w:themeColor="text1"/>
          <w:sz w:val="18"/>
          <w:szCs w:val="18"/>
        </w:rPr>
        <w:t>.</w:t>
      </w:r>
    </w:p>
  </w:footnote>
  <w:footnote w:id="398">
    <w:p w14:paraId="26A67024"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Por ejemplo, según lo constata </w:t>
      </w:r>
      <w:r w:rsidRPr="0045124B">
        <w:rPr>
          <w:rFonts w:ascii="Palatino Linotype" w:hAnsi="Palatino Linotype" w:cs="Times New Roman"/>
          <w:color w:val="000000" w:themeColor="text1"/>
          <w:sz w:val="18"/>
          <w:szCs w:val="18"/>
          <w:lang w:val="es-ES_tradnl"/>
        </w:rPr>
        <w:t xml:space="preserve">Fernández López, en el ámbito español, la jurisprudencia se ha mostrado reticente a exigir la corroboración del relato de un coimputado o de una víctima </w:t>
      </w:r>
      <w:r w:rsidRPr="0045124B">
        <w:rPr>
          <w:rFonts w:ascii="Palatino Linotype" w:hAnsi="Palatino Linotype" w:cs="Times New Roman"/>
          <w:color w:val="000000" w:themeColor="text1"/>
          <w:sz w:val="18"/>
          <w:szCs w:val="18"/>
          <w:lang w:val="es-ES_tradnl"/>
        </w:rPr>
        <w:fldChar w:fldCharType="begin" w:fldLock="1"/>
      </w:r>
      <w:r w:rsidRPr="0045124B">
        <w:rPr>
          <w:rFonts w:ascii="Palatino Linotype" w:hAnsi="Palatino Linotype" w:cs="Times New Roman"/>
          <w:color w:val="000000" w:themeColor="text1"/>
          <w:sz w:val="18"/>
          <w:szCs w:val="18"/>
          <w:lang w:val="es-ES_tradnl"/>
        </w:rPr>
        <w:instrText>ADDIN CSL_CITATION {"citationItems":[{"id":"ITEM-1","itemData":{"author":[{"dropping-particle":"","family":"Fernández López","given":"Mercedes","non-dropping-particle":"","parse-names":false,"suffix":""}],"container-title":"Cuadernos electrónicos de filosofía del derecho","id":"ITEM-1","issue":"15","issued":{"date-parts":[["2007","3"]]},"page":"1-12","publisher-place":"Alcalá","title":"La valoración de pruebas personales y el estándar de duda razonable","type":"article-magazine"},"locator":"8","suppress-author":1,"uris":["http://www.mendeley.com/documents/?uuid=1a904c95-189e-41a5-9e52-8a686267590c"]}],"mendeley":{"formattedCitation":"(2007, p. 8)","plainTextFormattedCitation":"(2007, p. 8)","previouslyFormattedCitation":"(2007, p. 8)"},"properties":{"noteIndex":0},"schema":"https://github.com/citation-style-language/schema/raw/master/csl-citation.json"}</w:instrText>
      </w:r>
      <w:r w:rsidRPr="0045124B">
        <w:rPr>
          <w:rFonts w:ascii="Palatino Linotype" w:hAnsi="Palatino Linotype" w:cs="Times New Roman"/>
          <w:color w:val="000000" w:themeColor="text1"/>
          <w:sz w:val="18"/>
          <w:szCs w:val="18"/>
          <w:lang w:val="es-ES_tradnl"/>
        </w:rPr>
        <w:fldChar w:fldCharType="separate"/>
      </w:r>
      <w:r w:rsidRPr="0045124B">
        <w:rPr>
          <w:rFonts w:ascii="Palatino Linotype" w:hAnsi="Palatino Linotype" w:cs="Times New Roman"/>
          <w:noProof/>
          <w:color w:val="000000" w:themeColor="text1"/>
          <w:sz w:val="18"/>
          <w:szCs w:val="18"/>
          <w:lang w:val="es-ES_tradnl"/>
        </w:rPr>
        <w:t>(2007, p. 8)</w:t>
      </w:r>
      <w:r w:rsidRPr="0045124B">
        <w:rPr>
          <w:rFonts w:ascii="Palatino Linotype" w:hAnsi="Palatino Linotype" w:cs="Times New Roman"/>
          <w:color w:val="000000" w:themeColor="text1"/>
          <w:sz w:val="18"/>
          <w:szCs w:val="18"/>
          <w:lang w:val="es-ES_tradnl"/>
        </w:rPr>
        <w:fldChar w:fldCharType="end"/>
      </w:r>
      <w:r w:rsidRPr="0045124B">
        <w:rPr>
          <w:rFonts w:ascii="Palatino Linotype" w:hAnsi="Palatino Linotype" w:cs="Times New Roman"/>
          <w:color w:val="000000" w:themeColor="text1"/>
          <w:sz w:val="18"/>
          <w:szCs w:val="18"/>
          <w:lang w:val="es-ES_tradnl"/>
        </w:rPr>
        <w:t>, lo que supone, en la práctica, la mengua del estándar dispuesto para la generalidad de los delitos.</w:t>
      </w:r>
    </w:p>
  </w:footnote>
  <w:footnote w:id="399">
    <w:p w14:paraId="5A28D7FD" w14:textId="77777777" w:rsidR="00E87246" w:rsidRPr="0045124B" w:rsidRDefault="00E87246" w:rsidP="0045124B">
      <w:pPr>
        <w:pStyle w:val="Textonotapie"/>
        <w:jc w:val="both"/>
        <w:rPr>
          <w:rFonts w:ascii="Palatino Linotype" w:hAnsi="Palatino Linotype" w:cs="Times New Roman"/>
          <w:color w:val="000000" w:themeColor="text1"/>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color w:val="000000" w:themeColor="text1"/>
          <w:sz w:val="18"/>
          <w:szCs w:val="18"/>
        </w:rPr>
        <w:t xml:space="preserve"> En la sentencia 282/2018, la Sala Penal del Tribunal Supremo de España, con ocasión de un caso en donde se debatía la existencia de una víctima de violencia de género, señaló que ésta ostenta una condición privilegiada en el proceso penal, por lo que “su categorización probatoria está en un grado mayor que el mero testigo ajeno y externo al hecho, como mero perceptor visual de lo que ha ocurrido</w:t>
      </w:r>
      <w:r w:rsidRPr="0045124B">
        <w:rPr>
          <w:rFonts w:ascii="Palatino Linotype" w:hAnsi="Palatino Linotype" w:cs="Times New Roman"/>
          <w:i/>
          <w:color w:val="000000" w:themeColor="text1"/>
          <w:sz w:val="18"/>
          <w:szCs w:val="18"/>
        </w:rPr>
        <w:t xml:space="preserve">”. </w:t>
      </w:r>
      <w:r w:rsidRPr="0045124B">
        <w:rPr>
          <w:rFonts w:ascii="Palatino Linotype" w:hAnsi="Palatino Linotype" w:cs="Times New Roman"/>
          <w:color w:val="000000" w:themeColor="text1"/>
          <w:sz w:val="18"/>
          <w:szCs w:val="18"/>
        </w:rPr>
        <w:t xml:space="preserve">No se entiende a qué se refiere la Sala al referirse a la “categorización probatoria” ni cuál sería la relevancia de esa posición privilegiada que se le atribuye en el proceso, de cara al umbral probatorio necesario para derrotar el principio de presunción de inocencia, pero se estima por completo desafortunado el argumento. En el ámbito costarricense, mediante voto </w:t>
      </w:r>
      <w:r w:rsidRPr="0045124B">
        <w:rPr>
          <w:rFonts w:ascii="Palatino Linotype" w:eastAsia="Times New Roman" w:hAnsi="Palatino Linotype" w:cs="Times New Roman"/>
          <w:sz w:val="18"/>
          <w:szCs w:val="18"/>
          <w:lang w:eastAsia="es-ES_tradnl"/>
        </w:rPr>
        <w:t>2008-014918</w:t>
      </w:r>
      <w:r w:rsidRPr="0045124B">
        <w:rPr>
          <w:rFonts w:ascii="Palatino Linotype" w:hAnsi="Palatino Linotype" w:cs="Times New Roman"/>
          <w:color w:val="000000" w:themeColor="text1"/>
          <w:sz w:val="18"/>
          <w:szCs w:val="18"/>
        </w:rPr>
        <w:t xml:space="preserve">, la Sala Constitucional avaló la línea jurisprudencial de la Sala Tercera que permitía el dictado de sentencias basadas en el único testimonio de la víctima, lo cual es correcto, siempre que no se establezca subrepticiamente un umbral probatorio menos riguroso y se cuente con otros medios de prueba que corroboren el relato. </w:t>
      </w:r>
    </w:p>
  </w:footnote>
  <w:footnote w:id="400">
    <w:p w14:paraId="6BF2E69D" w14:textId="77777777" w:rsidR="00E87246" w:rsidRPr="0045124B" w:rsidRDefault="00E87246" w:rsidP="0045124B">
      <w:pPr>
        <w:pStyle w:val="Textonotapie"/>
        <w:jc w:val="both"/>
        <w:rPr>
          <w:rFonts w:ascii="Palatino Linotype" w:hAnsi="Palatino Linotype" w:cs="Times New Roman"/>
          <w:color w:val="000000" w:themeColor="text1"/>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color w:val="000000" w:themeColor="text1"/>
          <w:sz w:val="18"/>
          <w:szCs w:val="18"/>
        </w:rPr>
        <w:t xml:space="preserve"> </w:t>
      </w:r>
      <w:r w:rsidRPr="0045124B">
        <w:rPr>
          <w:rFonts w:ascii="Palatino Linotype" w:hAnsi="Palatino Linotype" w:cs="Times New Roman"/>
          <w:color w:val="000000" w:themeColor="text1"/>
          <w:sz w:val="18"/>
          <w:szCs w:val="18"/>
          <w:lang w:val="es-ES"/>
        </w:rPr>
        <w:t xml:space="preserve">Se ha discutido si la presunción de inocencia se ve mermada cuando existe una sentencia condenatoria, aunque esta no se encuentre firme, o cuando se trate de delitos cometidos en flagrancia. Por ejemplo, desde la concepción relativista de Enrico Ferri, “la presunción de inocencia debe ceder gradualmente con el avance del procedimiento hacia la sentencia definitiva, porque a medida que la instrucción avanza acumula indicios y pruebas contra quién es juzgado, la presunción de inocencia se debe atenuar, hasta desvanecerse frente a la sentencia que encierra el juicio penal” </w:t>
      </w:r>
      <w:r w:rsidRPr="0045124B">
        <w:rPr>
          <w:rFonts w:ascii="Palatino Linotype" w:hAnsi="Palatino Linotype" w:cs="Times New Roman"/>
          <w:color w:val="000000" w:themeColor="text1"/>
          <w:sz w:val="18"/>
          <w:szCs w:val="18"/>
          <w:lang w:val="es-ES"/>
        </w:rPr>
        <w:fldChar w:fldCharType="begin" w:fldLock="1"/>
      </w:r>
      <w:r w:rsidRPr="0045124B">
        <w:rPr>
          <w:rFonts w:ascii="Palatino Linotype" w:hAnsi="Palatino Linotype" w:cs="Times New Roman"/>
          <w:color w:val="000000" w:themeColor="text1"/>
          <w:sz w:val="18"/>
          <w:szCs w:val="18"/>
          <w:lang w:val="es-ES"/>
        </w:rPr>
        <w:instrText>ADDIN CSL_CITATION {"citationItems":[{"id":"ITEM-1","itemData":{"ISBN":"978-9968-561-20-4","author":[{"dropping-particle":"","family":"Llobet Rodríguez","given":"Javier","non-dropping-particle":"","parse-names":false,"suffix":""}],"edition":"3ª edición","id":"ITEM-1","issued":{"date-parts":[["2010"]]},"number-of-pages":"394","publisher":"Editorial Jurídica Continental","publisher-place":"San José","title":"La prisión preventiva (Límites constitucionales)","type":"book"},"locator":"80","uris":["http://www.mendeley.com/documents/?uuid=05f27824-26d2-4c27-b724-bd28649ead66"]}],"mendeley":{"formattedCitation":"(Llobet Rodríguez, 2010, p. 80)","plainTextFormattedCitation":"(Llobet Rodríguez, 2010, p. 80)","previouslyFormattedCitation":"(Llobet Rodríguez, 2010, p. 80)"},"properties":{"noteIndex":0},"schema":"https://github.com/citation-style-language/schema/raw/master/csl-citation.json"}</w:instrText>
      </w:r>
      <w:r w:rsidRPr="0045124B">
        <w:rPr>
          <w:rFonts w:ascii="Palatino Linotype" w:hAnsi="Palatino Linotype" w:cs="Times New Roman"/>
          <w:color w:val="000000" w:themeColor="text1"/>
          <w:sz w:val="18"/>
          <w:szCs w:val="18"/>
          <w:lang w:val="es-ES"/>
        </w:rPr>
        <w:fldChar w:fldCharType="separate"/>
      </w:r>
      <w:r w:rsidRPr="0045124B">
        <w:rPr>
          <w:rFonts w:ascii="Palatino Linotype" w:hAnsi="Palatino Linotype" w:cs="Times New Roman"/>
          <w:noProof/>
          <w:color w:val="000000" w:themeColor="text1"/>
          <w:sz w:val="18"/>
          <w:szCs w:val="18"/>
          <w:lang w:val="es-ES"/>
        </w:rPr>
        <w:t>(Llobet Rodríguez, 2010, p. 80)</w:t>
      </w:r>
      <w:r w:rsidRPr="0045124B">
        <w:rPr>
          <w:rFonts w:ascii="Palatino Linotype" w:hAnsi="Palatino Linotype" w:cs="Times New Roman"/>
          <w:color w:val="000000" w:themeColor="text1"/>
          <w:sz w:val="18"/>
          <w:szCs w:val="18"/>
          <w:lang w:val="es-ES"/>
        </w:rPr>
        <w:fldChar w:fldCharType="end"/>
      </w:r>
      <w:r w:rsidRPr="0045124B">
        <w:rPr>
          <w:rFonts w:ascii="Palatino Linotype" w:hAnsi="Palatino Linotype" w:cs="Times New Roman"/>
          <w:color w:val="000000" w:themeColor="text1"/>
          <w:sz w:val="18"/>
          <w:szCs w:val="18"/>
          <w:lang w:val="es-ES"/>
        </w:rPr>
        <w:t>. Se trata de una postura evidentemente insostenible.</w:t>
      </w:r>
    </w:p>
  </w:footnote>
  <w:footnote w:id="401">
    <w:p w14:paraId="60860FD7" w14:textId="77777777" w:rsidR="00E87246" w:rsidRPr="0045124B" w:rsidRDefault="00E87246" w:rsidP="0045124B">
      <w:pPr>
        <w:pStyle w:val="Textonotapie"/>
        <w:jc w:val="both"/>
        <w:rPr>
          <w:rFonts w:ascii="Palatino Linotype" w:hAnsi="Palatino Linotype" w:cs="Times New Roman"/>
          <w:color w:val="000000" w:themeColor="text1"/>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color w:val="000000" w:themeColor="text1"/>
          <w:sz w:val="18"/>
          <w:szCs w:val="18"/>
        </w:rPr>
        <w:t xml:space="preserve"> En</w:t>
      </w:r>
      <w:r w:rsidRPr="0045124B">
        <w:rPr>
          <w:rFonts w:ascii="Palatino Linotype" w:hAnsi="Palatino Linotype" w:cs="Times New Roman"/>
          <w:color w:val="000000" w:themeColor="text1"/>
          <w:sz w:val="18"/>
          <w:szCs w:val="18"/>
          <w:lang w:val="es-ES_tradnl"/>
        </w:rPr>
        <w:t xml:space="preserve"> tanto se considera que, dicho principio, “reclama imperativamente un modo de actuar rigurosamente inspirado en el paradigma indiciario. El paradigma indiciario tiene indudable trascendencia epistémica. En efecto, pues impone deliberada ignorancia, o, lo que es lo mismo, la ya aludida neutralidad en el punto de partida, es decir, ausencia de prejuicios. Exige una razonable presencia de contenido empírico en la imputación, que la dote de plausibilidad: no sirve cualquier sospecha; proscribe operar por simple olfato o corazonada. Y, con ello, procura una aproximación tendencialmente objetiva a la verdad empírica ya desde el inicio” </w:t>
      </w:r>
      <w:r w:rsidRPr="0045124B">
        <w:rPr>
          <w:rFonts w:ascii="Palatino Linotype" w:hAnsi="Palatino Linotype" w:cs="Times New Roman"/>
          <w:color w:val="000000" w:themeColor="text1"/>
          <w:sz w:val="18"/>
          <w:szCs w:val="18"/>
          <w:lang w:val="es-ES_tradnl"/>
        </w:rPr>
        <w:fldChar w:fldCharType="begin" w:fldLock="1"/>
      </w:r>
      <w:r w:rsidRPr="0045124B">
        <w:rPr>
          <w:rFonts w:ascii="Palatino Linotype" w:hAnsi="Palatino Linotype" w:cs="Times New Roman"/>
          <w:color w:val="000000" w:themeColor="text1"/>
          <w:sz w:val="18"/>
          <w:szCs w:val="18"/>
          <w:lang w:val="es-ES_tradnl"/>
        </w:rPr>
        <w:instrText>ADDIN CSL_CITATION {"citationItems":[{"id":"ITEM-1","itemData":{"ISBN":"978-84-9879-572-1","author":[{"dropping-particle":"","family":"Ibáñez","given":"Perfecto Andrés","non-dropping-particle":"","parse-names":false,"suffix":""}],"id":"ITEM-1","issued":{"date-parts":[["2015"]]},"number-of-pages":"556","publisher":"Editorial Trotta","publisher-place":"Madrid","title":"Tercero en discordia. Jurisdicción y Juez del Estado Constitucional","type":"book"},"locator":"312","uris":["http://www.mendeley.com/documents/?uuid=db0a4cc6-bda8-4599-874b-30f83a2d8111"]}],"mendeley":{"formattedCitation":"(Ibáñez, 2015, p. 312)","plainTextFormattedCitation":"(Ibáñez, 2015, p. 312)","previouslyFormattedCitation":"(Ibáñez, 2015, p. 312)"},"properties":{"noteIndex":0},"schema":"https://github.com/citation-style-language/schema/raw/master/csl-citation.json"}</w:instrText>
      </w:r>
      <w:r w:rsidRPr="0045124B">
        <w:rPr>
          <w:rFonts w:ascii="Palatino Linotype" w:hAnsi="Palatino Linotype" w:cs="Times New Roman"/>
          <w:color w:val="000000" w:themeColor="text1"/>
          <w:sz w:val="18"/>
          <w:szCs w:val="18"/>
          <w:lang w:val="es-ES_tradnl"/>
        </w:rPr>
        <w:fldChar w:fldCharType="separate"/>
      </w:r>
      <w:r w:rsidRPr="0045124B">
        <w:rPr>
          <w:rFonts w:ascii="Palatino Linotype" w:hAnsi="Palatino Linotype" w:cs="Times New Roman"/>
          <w:noProof/>
          <w:color w:val="000000" w:themeColor="text1"/>
          <w:sz w:val="18"/>
          <w:szCs w:val="18"/>
          <w:lang w:val="es-ES_tradnl"/>
        </w:rPr>
        <w:t>(Ibáñez, 2015, p. 312)</w:t>
      </w:r>
      <w:r w:rsidRPr="0045124B">
        <w:rPr>
          <w:rFonts w:ascii="Palatino Linotype" w:hAnsi="Palatino Linotype" w:cs="Times New Roman"/>
          <w:color w:val="000000" w:themeColor="text1"/>
          <w:sz w:val="18"/>
          <w:szCs w:val="18"/>
          <w:lang w:val="es-ES_tradnl"/>
        </w:rPr>
        <w:fldChar w:fldCharType="end"/>
      </w:r>
      <w:r w:rsidRPr="0045124B">
        <w:rPr>
          <w:rFonts w:ascii="Palatino Linotype" w:hAnsi="Palatino Linotype" w:cs="Times New Roman"/>
          <w:color w:val="000000" w:themeColor="text1"/>
          <w:sz w:val="18"/>
          <w:szCs w:val="18"/>
          <w:lang w:val="es-ES_tradnl"/>
        </w:rPr>
        <w:t>.</w:t>
      </w:r>
    </w:p>
  </w:footnote>
  <w:footnote w:id="402">
    <w:p w14:paraId="121AA039" w14:textId="77777777" w:rsidR="00E87246" w:rsidRPr="0045124B" w:rsidRDefault="00E87246" w:rsidP="0045124B">
      <w:pPr>
        <w:pStyle w:val="Textonotapie"/>
        <w:jc w:val="both"/>
        <w:rPr>
          <w:rFonts w:ascii="Palatino Linotype" w:hAnsi="Palatino Linotype" w:cs="Times New Roman"/>
          <w:color w:val="000000" w:themeColor="text1"/>
          <w:sz w:val="18"/>
          <w:szCs w:val="18"/>
          <w:lang w:val="es-ES_tradnl"/>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color w:val="000000" w:themeColor="text1"/>
          <w:sz w:val="18"/>
          <w:szCs w:val="18"/>
          <w:lang w:val="es-ES_tradnl"/>
        </w:rPr>
        <w:t xml:space="preserve"> Señala Schauer que “aun cuando un juez no cita revistas académicas no jurídicas o periódicos u otra cosa, está, aunque de manera menos evidente, apoyándose en fuentes de información que son fácticas de un modo fundamental, que bien pueden ser discutidas y que son incorporadas al derecho, de alguna manera, por debajo de la mesa. Esto va más allá del modo en el cual esas proposiciones pueden dar lugar a consecuencias adversas para una de las partes sin que ella tenga muchas oportunidades, o no tenga ninguna, para contradecir esas proposiciones mediante el proceso adversarial normal, incluyendo, pero no limitado a, la interpelación cruzada”.</w:t>
      </w:r>
    </w:p>
  </w:footnote>
  <w:footnote w:id="403">
    <w:p w14:paraId="22815A83"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A continuación se sigue, de forma resumida, lo expuesto por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author":[{"dropping-particle":"","family":"Pérez-Mata","given":"Nieves","non-dropping-particle":"","parse-names":false,"suffix":""},{"dropping-particle":"","family":"Diges","given":"Margarita","non-dropping-particle":"","parse-names":false,"suffix":""}],"id":"ITEM-1","issued":{"date-parts":[["2017"]]},"number-of-pages":"287","publisher":"Centro de Estudios Carbonell","publisher-place":"Ciudad de México","title":"La prueba testimonial","type":"book"},"uris":["http://www.mendeley.com/documents/?uuid=3f358167-e145-4496-80bb-fcbd2195c011"]},{"id":"ITEM-2","itemData":{"author":[{"dropping-particle":"","family":"Duce","given":"Mauricio","non-dropping-particle":"","parse-names":false,"suffix":""}],"container-title":"Política Criminal. Vol. 12, Nº 23","id":"ITEM-2","issued":{"date-parts":[["2017","7"]]},"page":"291-379","publisher-place":"Santiago","title":"Los reconocimientos oculares: una aproximación empírica a su funcionamiento y algunas recomendaciones para su mejora","type":"article-magazine"},"uris":["http://www.mendeley.com/documents/?uuid=6e0a1a90-c1b3-412b-b898-2809b25214c6"]},{"id":"ITEM-3","itemData":{"author":[{"dropping-particle":"","family":"Diges","given":"Margarita","non-dropping-particle":"","parse-names":false,"suffix":""},{"dropping-particle":"","family":"Pérez-Mata","given":"Nieves","non-dropping-particle":"","parse-names":false,"suffix":""}],"container-title":"Identificaciones fotográficas y en rueda de reconocimiento. Un análisis desde el Derecho procesal penal y la psicología del testimonio","id":"ITEM-3","issued":{"date-parts":[["2014"]]},"publisher":"Marcial Pons","title":"La prueba de identificación desde la psicología del testimonio","type":"chapter"},"uris":["http://www.mendeley.com/documents/?uuid=4239216f-cb8f-4db9-a5c2-b6609f2db014"]}],"mendeley":{"formattedCitation":"(Diges &amp; Pérez-Mata, 2014; Duce, 2017; Pérez-Mata &amp; Diges, 2017)","manualFormatting":"Diges &amp; Pérez-Mata, 2014; Duce, 2017; Pérez-Mata &amp; Diges, 2017.","plainTextFormattedCitation":"(Diges &amp; Pérez-Mata, 2014; Duce, 2017; Pérez-Mata &amp; Diges, 2017)","previouslyFormattedCitation":"(Diges &amp; Pérez-Mata, 2014; Duce, 2017; Pérez-Mata &amp; Diges, 2017)"},"properties":{"noteIndex":0},"schema":"https://github.com/citation-style-language/schema/raw/master/csl-citation.json"}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Diges &amp; Pérez-Mata, 2014; Duce, 2017; Pérez-Mata &amp; Diges, 2017.</w:t>
      </w:r>
      <w:r w:rsidRPr="0045124B">
        <w:rPr>
          <w:rFonts w:ascii="Palatino Linotype" w:hAnsi="Palatino Linotype" w:cs="Times New Roman"/>
          <w:sz w:val="18"/>
          <w:szCs w:val="18"/>
          <w:lang w:val="es-ES"/>
        </w:rPr>
        <w:fldChar w:fldCharType="end"/>
      </w:r>
    </w:p>
  </w:footnote>
  <w:footnote w:id="404">
    <w:p w14:paraId="577A2915"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Solamente una obra aborda con solvencia el tema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{"citationItems":[{"id":"ITEM-1","itemData":{"ISBN":"978-9968-561-50-1","author":[{"dropping-particle":"","family":"Llobet Rodríguez","given":"Javier","non-dropping-particle":"","parse-names":false,"suffix":""}],"edition":"5ª edición","id":"ITEM-1","issued":{"date-parts":[["2012"]]},"number-of-pages":"821","publisher":"Editorial Jurídica Continental","publisher-place":"San José","title":"Proceso penal comentado (Código procesal penal comentado)","type":"book"},"locator":"388-393","uris":["http://www.mendeley.com/documents/?uuid=b955d057-951c-45c2-8483-f56c3596c12a"]}],"mendeley":{"formattedCitation":"(Llobet Rodríguez, 2012, pp. 388–393)","plainTextFormattedCitation":"(Llobet Rodríguez, 2012, pp. 388–393)","previouslyFormattedCitation":"(Llobet Rodríguez, 2012, pp. 388–393)"},"properties":{"noteIndex":0},"schema":"https://github.com/citation-style-language/schema/raw/master/csl-citation.json"}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(Llobet Rodríguez, 2012, pp. 388–393)</w:t>
      </w:r>
      <w:r w:rsidRPr="0045124B">
        <w:rPr>
          <w:rFonts w:ascii="Palatino Linotype" w:hAnsi="Palatino Linotype" w:cs="Times New Roman"/>
          <w:sz w:val="18"/>
          <w:szCs w:val="18"/>
          <w:lang w:val="es-ES"/>
        </w:rPr>
        <w:fldChar w:fldCharType="end"/>
      </w:r>
      <w:r w:rsidRPr="0045124B">
        <w:rPr>
          <w:rFonts w:ascii="Palatino Linotype" w:hAnsi="Palatino Linotype" w:cs="Times New Roman"/>
          <w:sz w:val="18"/>
          <w:szCs w:val="18"/>
          <w:lang w:val="es-ES"/>
        </w:rPr>
        <w:t xml:space="preserve">, además de una tesis de grado con ya varios años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{"citationItems":[{"id":"ITEM-1","itemData":{"author":[{"dropping-particle":"","family":"Quirós Pereira","given":"José Asdrúbal","non-dropping-particle":"","parse-names":false,"suffix":""}],"container-title":"Tesis de graduación para optar por el título de Licenciado en Derecho","id":"ITEM-1","issued":{"date-parts":[["2007"]]},"number-of-pages":"233","publisher":"Universidad de Costa Rica","title":"El reconocimiento de personas como medio de prueba en el proceso penal: Su regulación normativa en el Código Procesal Penal y crítica de la jurisprudencia de la Sala Tercera de Justicia","type":"thesis"},"uris":["http://www.mendeley.com/documents/?uuid=9927088a-bf1e-41c6-98c7-689029adedc5"]}],"mendeley":{"formattedCitation":"(Quirós Pereira, 2007)","plainTextFormattedCitation":"(Quirós Pereira, 2007)","previouslyFormattedCitation":"(Quirós Pereira, 2007)"},"properties":{"noteIndex":0},"schema":"https://github.com/citation-style-language/schema/raw/master/csl-citation.json"}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(Quirós Pereira, 2007)</w:t>
      </w:r>
      <w:r w:rsidRPr="0045124B">
        <w:rPr>
          <w:rFonts w:ascii="Palatino Linotype" w:hAnsi="Palatino Linotype" w:cs="Times New Roman"/>
          <w:sz w:val="18"/>
          <w:szCs w:val="18"/>
          <w:lang w:val="es-ES"/>
        </w:rPr>
        <w:fldChar w:fldCharType="end"/>
      </w:r>
      <w:r w:rsidRPr="0045124B">
        <w:rPr>
          <w:rFonts w:ascii="Palatino Linotype" w:hAnsi="Palatino Linotype" w:cs="Times New Roman"/>
          <w:sz w:val="18"/>
          <w:szCs w:val="18"/>
          <w:lang w:val="es-ES"/>
        </w:rPr>
        <w:t>.</w:t>
      </w:r>
    </w:p>
  </w:footnote>
  <w:footnote w:id="405">
    <w:p w14:paraId="0486EE23"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La entrevista semi-estructurada la realicé personalmente a 12 funcionarios de los Tribunales de Justicia del Segundo Circuito Judicial de la Zona Sur (sede Golfito), en fecha 25 de octubre de 2018. La composición de la muestra fue la siguiente: 4 fiscales, 4 defensores públicos y 4 jueces de juicio. Evidentemente no se pretende derivar de la muestra información generalizable, sino simplemente ejemplificativa, a fin de hilvanar de mejor forma el estado de la situación en cuanto a la práctica de los reconocimientos oculares en el país.</w:t>
      </w:r>
    </w:p>
  </w:footnote>
  <w:footnote w:id="406">
    <w:p w14:paraId="476A7095"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Como se verá, existe una cantidad significativa de jurisprudencia sobre diversos aspectos relacionados con la práctica de los reconocimientos judiciales, incluyendo algunos votos esperanzadores, pues recogen ciertas tesis que acá se defienden. </w:t>
      </w:r>
    </w:p>
  </w:footnote>
  <w:footnote w:id="407">
    <w:p w14:paraId="596DE2FD"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Se habla acá de los reconocimientos regulados en el Código Procesal Penal (en adelante CPP), sea los reconocimientos en rueda de personas y fotográficos (artículos 228 y 230, respectivamente).</w:t>
      </w:r>
    </w:p>
  </w:footnote>
  <w:footnote w:id="408">
    <w:p w14:paraId="67A9DC19"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El 100% de los entrevistados manifestó que la utilización del reconocimiento ocular se daba esencialmente en delitos contra la propiedad, principalmente robos simples y agravados, mientras que un 17% además indicó otra tipología delictual (delitos contra la vida, sexuales, sicariato, etc.).</w:t>
      </w:r>
    </w:p>
  </w:footnote>
  <w:footnote w:id="409">
    <w:p w14:paraId="7A6DA344"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Por ejemplo, una de las personas que señaló que la diligencia es muy frecuente (</w:t>
      </w:r>
      <w:r w:rsidRPr="0045124B">
        <w:rPr>
          <w:rFonts w:ascii="Palatino Linotype" w:hAnsi="Palatino Linotype" w:cs="Times New Roman"/>
          <w:i/>
          <w:sz w:val="18"/>
          <w:szCs w:val="18"/>
          <w:lang w:val="es-ES"/>
        </w:rPr>
        <w:t>Defensora 1</w:t>
      </w:r>
      <w:r w:rsidRPr="0045124B">
        <w:rPr>
          <w:rFonts w:ascii="Palatino Linotype" w:hAnsi="Palatino Linotype" w:cs="Times New Roman"/>
          <w:sz w:val="18"/>
          <w:szCs w:val="18"/>
          <w:lang w:val="es-ES"/>
        </w:rPr>
        <w:t xml:space="preserve">) laboró anteriormente en la capital del país. De acuerdo con mi experiencia como Juez Penal en una zona rural durante siete años, los delitos contra la propiedad, con respecto a los cuales se ha afirmado que es más frecuente utilizar los reconocimientos oculares, tienen menor incidencia en estos lugares y cuando se dan suelen ser cometidos por personas reincidentes, ya conocidas por sus víctimas, lo que torna innecesario el reconocimiento. Adicionalmente, en comunidades pequeñas, las personas suelen conocerse entre sí, lo que implica problemas para conseguir cebos adecuados, esto aunado a las limitaciones de índole económica, dado el costo y el tiempo necesarios para efectuar una diligencia de este tipo. </w:t>
      </w:r>
    </w:p>
  </w:footnote>
  <w:footnote w:id="410">
    <w:p w14:paraId="5B1D4F07"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Similar al </w:t>
      </w:r>
      <w:r w:rsidRPr="0045124B">
        <w:rPr>
          <w:rFonts w:ascii="Palatino Linotype" w:hAnsi="Palatino Linotype" w:cs="Times New Roman"/>
          <w:i/>
          <w:sz w:val="18"/>
          <w:szCs w:val="18"/>
          <w:lang w:val="es-ES"/>
        </w:rPr>
        <w:t>kardex</w:t>
      </w:r>
      <w:r w:rsidRPr="0045124B">
        <w:rPr>
          <w:rFonts w:ascii="Palatino Linotype" w:hAnsi="Palatino Linotype" w:cs="Times New Roman"/>
          <w:sz w:val="18"/>
          <w:szCs w:val="18"/>
          <w:lang w:val="es-ES"/>
        </w:rPr>
        <w:t xml:space="preserve"> fotográfico descrito por Duce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{"citationItems":[{"id":"ITEM-1","itemData":{"author":[{"dropping-particle":"","family":"Duce","given":"Mauricio","non-dropping-particle":"","parse-names":false,"suffix":""}],"container-title":"Política Criminal. Vol. 12, Nº 23","id":"ITEM-1","issued":{"date-parts":[["2017","7"]]},"page":"291-379","publisher-place":"Santiago","title":"Los reconocimientos oculares: una aproximación empírica a su funcionamiento y algunas recomendaciones para su mejora","type":"article-magazine"},"locator":"297","suppress-author":1,"uris":["http://www.mendeley.com/documents/?uuid=6e0a1a90-c1b3-412b-b898-2809b25214c6"]}],"mendeley":{"formattedCitation":"(2017, p. 297)","plainTextFormattedCitation":"(2017, p. 297)","previouslyFormattedCitation":"(2017, p. 297)"},"properties":{"noteIndex":0},"schema":"https://github.com/citation-style-language/schema/raw/master/csl-citation.json"}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(2017, p. 297)</w:t>
      </w:r>
      <w:r w:rsidRPr="0045124B">
        <w:rPr>
          <w:rFonts w:ascii="Palatino Linotype" w:hAnsi="Palatino Linotype" w:cs="Times New Roman"/>
          <w:sz w:val="18"/>
          <w:szCs w:val="18"/>
          <w:lang w:val="es-ES"/>
        </w:rPr>
        <w:fldChar w:fldCharType="end"/>
      </w:r>
      <w:r w:rsidRPr="0045124B">
        <w:rPr>
          <w:rFonts w:ascii="Palatino Linotype" w:hAnsi="Palatino Linotype" w:cs="Times New Roman"/>
          <w:sz w:val="18"/>
          <w:szCs w:val="18"/>
          <w:lang w:val="es-ES"/>
        </w:rPr>
        <w:t>.</w:t>
      </w:r>
    </w:p>
  </w:footnote>
  <w:footnote w:id="411">
    <w:p w14:paraId="0E6DABF8"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La jurisprudencia sobre el tema es copiosa. En cuanto a los reconocimientos fotográficos sin sospechoso, se ha dicho que tienen validez únicamente como diligencia policial investigativa y no como prueba propiamente (entre muchos otros, los votos: Sala Tercera Nº 25-1998 y Nº 612-2015; Sala Constitucional Nº 1644-1993 y Nº 72-2001); sobre los reconocimientos espontáneos, se han avalado, siempre que la policía no induzca al testigo (Tribunal de Apelación de Sentencia Penal de San José Nº 2016-0333) y sobre los reconocimientos impropios, también han sido admitidos sin problemas, reconociéndose como una </w:t>
      </w:r>
      <w:r w:rsidRPr="0045124B">
        <w:rPr>
          <w:rFonts w:ascii="Palatino Linotype" w:hAnsi="Palatino Linotype" w:cs="Times New Roman"/>
          <w:sz w:val="18"/>
          <w:szCs w:val="18"/>
          <w:lang w:val="es-ES"/>
        </w:rPr>
        <w:t xml:space="preserve">actividad probatoria </w:t>
      </w:r>
      <w:r w:rsidRPr="0045124B">
        <w:rPr>
          <w:rFonts w:ascii="Palatino Linotype" w:hAnsi="Palatino Linotype" w:cs="Times New Roman"/>
          <w:i/>
          <w:sz w:val="18"/>
          <w:szCs w:val="18"/>
          <w:lang w:val="es-ES"/>
        </w:rPr>
        <w:t xml:space="preserve">absolutamente lícita </w:t>
      </w:r>
      <w:r w:rsidRPr="0045124B">
        <w:rPr>
          <w:rFonts w:ascii="Palatino Linotype" w:hAnsi="Palatino Linotype" w:cs="Times New Roman"/>
          <w:sz w:val="18"/>
          <w:szCs w:val="18"/>
          <w:lang w:val="es-ES"/>
        </w:rPr>
        <w:t xml:space="preserve">(Tribunal de Apelación de Sentencia Penal de Cartago Nº 239-2017). La doctrina nacional ha cuestionado esta línea jurisprudencial, sobre el tema puede verse: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{"citationItems":[{"id":"ITEM-1","itemData":{"ISBN":"978-9968-561-50-1","author":[{"dropping-particle":"","family":"Llobet Rodríguez","given":"Javier","non-dropping-particle":"","parse-names":false,"suffix":""}],"edition":"5ª edición","id":"ITEM-1","issued":{"date-parts":[["2012"]]},"number-of-pages":"821","publisher":"Editorial Jurídica Continental","publisher-place":"San José","title":"Proceso penal comentado (Código procesal penal comentado)","type":"book"},"uris":["http://www.mendeley.com/documents/?uuid=b955d057-951c-45c2-8483-f56c3596c12a"]},{"id":"ITEM-2","itemData":{"author":[{"dropping-particle":"","family":"Llobet Rodríguez","given":"Javier","non-dropping-particle":"","parse-names":false,"suffix":""}],"id":"ITEM-2","issued":{"date-parts":[["2017"]]},"publisher":"Editorial Jurídica Continental","title":"Proceso penal comentado (Código Procesal Penal comentado)","type":"book"},"uris":["http://www.mendeley.com/documents/?uuid=4f51241e-f296-42e8-adc0-4fc99f524deb"]}],"mendeley":{"formattedCitation":"(Llobet Rodríguez, 2012, 2017)","manualFormatting":"Llobet Rodríguez, 2012, 2017","plainTextFormattedCitation":"(Llobet Rodríguez, 2012, 2017)","previouslyFormattedCitation":"(Llobet Rodríguez, 2012, 2017)"},"properties":{"noteIndex":0},"schema":"https://github.com/citation-style-language/schema/raw/master/csl-citation.json"}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Llobet Rodríguez, 2012, 2017</w:t>
      </w:r>
      <w:r w:rsidRPr="0045124B">
        <w:rPr>
          <w:rFonts w:ascii="Palatino Linotype" w:hAnsi="Palatino Linotype" w:cs="Times New Roman"/>
          <w:sz w:val="18"/>
          <w:szCs w:val="18"/>
          <w:lang w:val="es-ES"/>
        </w:rPr>
        <w:fldChar w:fldCharType="end"/>
      </w:r>
      <w:r w:rsidRPr="0045124B">
        <w:rPr>
          <w:rFonts w:ascii="Palatino Linotype" w:hAnsi="Palatino Linotype" w:cs="Times New Roman"/>
          <w:sz w:val="18"/>
          <w:szCs w:val="18"/>
          <w:lang w:val="es-ES"/>
        </w:rPr>
        <w:t>.</w:t>
      </w:r>
    </w:p>
  </w:footnote>
  <w:footnote w:id="412">
    <w:p w14:paraId="206AF634"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La propia presidencia de la Corte Suprema de Justicia impulsó en su momento un proyecto de ley para, entre otras cosas, eliminar la etapa intermedia en el proceso penal costarricense. Sobre el tema puede verse: </w:t>
      </w:r>
      <w:hyperlink r:id="rId22" w:history="1">
        <w:r w:rsidRPr="0045124B">
          <w:rPr>
            <w:rStyle w:val="Hipervnculo"/>
            <w:rFonts w:ascii="Palatino Linotype" w:hAnsi="Palatino Linotype" w:cs="Times New Roman"/>
            <w:sz w:val="18"/>
            <w:szCs w:val="18"/>
            <w:lang w:val="es-ES"/>
          </w:rPr>
          <w:t>https://www.nacion.com/sucesos/judiciales/corte-alista-plan-para-ampliar-delitos-a-juzgar-en/7FDG6LMOBRF23FMNJ2L5A57JGY/story/</w:t>
        </w:r>
      </w:hyperlink>
      <w:r w:rsidRPr="0045124B">
        <w:rPr>
          <w:rFonts w:ascii="Palatino Linotype" w:hAnsi="Palatino Linotype" w:cs="Times New Roman"/>
          <w:sz w:val="18"/>
          <w:szCs w:val="18"/>
          <w:lang w:val="es-ES"/>
        </w:rPr>
        <w:t xml:space="preserve"> Visitado: 26 de octubre 2018.</w:t>
      </w:r>
    </w:p>
  </w:footnote>
  <w:footnote w:id="413">
    <w:p w14:paraId="4273E9B4"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Utilizando como criterio de búsqueda el restrictor “reconocimiento de personas en materia penal”, en:  </w:t>
      </w:r>
      <w:hyperlink r:id="rId23" w:history="1">
        <w:r w:rsidRPr="0045124B">
          <w:rPr>
            <w:rStyle w:val="Hipervnculo"/>
            <w:rFonts w:ascii="Palatino Linotype" w:hAnsi="Palatino Linotype" w:cs="Times New Roman"/>
            <w:sz w:val="18"/>
            <w:szCs w:val="18"/>
            <w:lang w:val="es-ES"/>
          </w:rPr>
          <w:t>http://jurisprudencia.poder-judicial.go.cr/SCIJ_PJ/busqueda/jurisprudencia/</w:t>
        </w:r>
      </w:hyperlink>
      <w:r w:rsidRPr="0045124B">
        <w:rPr>
          <w:rFonts w:ascii="Palatino Linotype" w:hAnsi="Palatino Linotype" w:cs="Times New Roman"/>
          <w:sz w:val="18"/>
          <w:szCs w:val="18"/>
          <w:lang w:val="es-ES"/>
        </w:rPr>
        <w:t xml:space="preserve"> Búsqueda realizada en fecha 25 de octubre 2018.</w:t>
      </w:r>
    </w:p>
  </w:footnote>
  <w:footnote w:id="414">
    <w:p w14:paraId="73D97CCC"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Tribunal de Apelación de Sentencia Penal del Segundo Circuito Judicial de San José. Voto 01118-2017.</w:t>
      </w:r>
    </w:p>
  </w:footnote>
  <w:footnote w:id="415">
    <w:p w14:paraId="79959937"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Supliéndose ese elemento con la declaración del testigo y del oficial actuante. Tribunal de Apelación de Sentencia Penal de Cartago. Voto 00513-2017.</w:t>
      </w:r>
    </w:p>
  </w:footnote>
  <w:footnote w:id="416">
    <w:p w14:paraId="7B23BD9A"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Identificándose como un reconocimiento “espontáneo”. Tribunal de Apelación de Sentencia Penal del Segundo Circuito Judicial de San José. Voto 2016-0333.</w:t>
      </w:r>
    </w:p>
  </w:footnote>
  <w:footnote w:id="417">
    <w:p w14:paraId="252DA912"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Tribunal de Apelación de Sentencia Penal de Cartago. Voto 00475-2017. También, con un extenso análisis, en sentido similar, puede verse: Tribunal de Apelación de Sentencia Penal del Segundo Circuito Judicial de San José. Voto 00947-2016.</w:t>
      </w:r>
    </w:p>
  </w:footnote>
  <w:footnote w:id="418">
    <w:p w14:paraId="370922E2"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Artículo 230. Se establece como un medio subsidiario, en caso de que el sospechoso no esté presente y no pueda ser habido, disponiéndose las mismas reglas establecidas para el reconocimiento en rueda de personas. </w:t>
      </w:r>
    </w:p>
  </w:footnote>
  <w:footnote w:id="419">
    <w:p w14:paraId="119E7475"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Artículo 228. Dentro de los aspectos positivos destacan los siguientes: a. Prevé que se tome la descripción previa brindada por el sujeto que realiza el reconocimiento, debiendo indicar si conoce o ha visto al sospechoso con anterioridad o en forma posterior al hecho, sea personalmente o en imagen; b. El sospechoso puede elegir su colocación en la rueda; c. Establece que los cebos deben ser de “aspecto físico semejante” al sospechoso.</w:t>
      </w:r>
    </w:p>
  </w:footnote>
  <w:footnote w:id="420">
    <w:p w14:paraId="748C10E4"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La </w:t>
      </w:r>
      <w:r w:rsidRPr="0045124B">
        <w:rPr>
          <w:rFonts w:ascii="Palatino Linotype" w:hAnsi="Palatino Linotype" w:cs="Times New Roman"/>
          <w:i/>
          <w:sz w:val="18"/>
          <w:szCs w:val="18"/>
        </w:rPr>
        <w:t>Defensora 2</w:t>
      </w:r>
      <w:r w:rsidRPr="0045124B">
        <w:rPr>
          <w:rFonts w:ascii="Palatino Linotype" w:hAnsi="Palatino Linotype" w:cs="Times New Roman"/>
          <w:sz w:val="18"/>
          <w:szCs w:val="18"/>
        </w:rPr>
        <w:t xml:space="preserve"> señaló que “</w:t>
      </w:r>
      <w:r w:rsidRPr="0045124B">
        <w:rPr>
          <w:rFonts w:ascii="Palatino Linotype" w:hAnsi="Palatino Linotype" w:cs="Times New Roman"/>
          <w:sz w:val="18"/>
          <w:szCs w:val="18"/>
          <w:lang w:val="es-ES"/>
        </w:rPr>
        <w:t>los descartes siempre son oficiales de policía, en pueblos pequeños todos los conocen. También la ropa de los imputados representa un problema, se les quita la faja y los cordones de los zapatos por seguridad, y los demás de la rueda se encuentran bien vestidos”.</w:t>
      </w:r>
    </w:p>
  </w:footnote>
  <w:footnote w:id="421">
    <w:p w14:paraId="3C70DE09"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i/>
          <w:sz w:val="18"/>
          <w:szCs w:val="18"/>
        </w:rPr>
        <w:t>Defensora 3</w:t>
      </w:r>
      <w:r w:rsidRPr="0045124B">
        <w:rPr>
          <w:rFonts w:ascii="Palatino Linotype" w:hAnsi="Palatino Linotype" w:cs="Times New Roman"/>
          <w:sz w:val="18"/>
          <w:szCs w:val="18"/>
        </w:rPr>
        <w:t xml:space="preserve">, </w:t>
      </w:r>
      <w:r w:rsidRPr="0045124B">
        <w:rPr>
          <w:rFonts w:ascii="Palatino Linotype" w:hAnsi="Palatino Linotype" w:cs="Times New Roman"/>
          <w:i/>
          <w:sz w:val="18"/>
          <w:szCs w:val="18"/>
        </w:rPr>
        <w:t>Juez 2</w:t>
      </w:r>
      <w:r w:rsidRPr="0045124B">
        <w:rPr>
          <w:rFonts w:ascii="Palatino Linotype" w:hAnsi="Palatino Linotype" w:cs="Times New Roman"/>
          <w:sz w:val="18"/>
          <w:szCs w:val="18"/>
        </w:rPr>
        <w:t xml:space="preserve">. Afirmando la dificultad de obtener descartes semejantes: </w:t>
      </w:r>
      <w:r w:rsidRPr="0045124B">
        <w:rPr>
          <w:rFonts w:ascii="Palatino Linotype" w:hAnsi="Palatino Linotype" w:cs="Times New Roman"/>
          <w:i/>
          <w:sz w:val="18"/>
          <w:szCs w:val="18"/>
        </w:rPr>
        <w:t>Juez 1, Juez 4, Fiscal 2, Fiscal 3</w:t>
      </w:r>
      <w:r w:rsidRPr="0045124B">
        <w:rPr>
          <w:rFonts w:ascii="Palatino Linotype" w:hAnsi="Palatino Linotype" w:cs="Times New Roman"/>
          <w:sz w:val="18"/>
          <w:szCs w:val="18"/>
        </w:rPr>
        <w:t xml:space="preserve">. Mencionando otros problemas con la selección de descartes, </w:t>
      </w:r>
      <w:r w:rsidRPr="0045124B">
        <w:rPr>
          <w:rFonts w:ascii="Palatino Linotype" w:hAnsi="Palatino Linotype" w:cs="Times New Roman"/>
          <w:i/>
          <w:sz w:val="18"/>
          <w:szCs w:val="18"/>
        </w:rPr>
        <w:t>Defensora 4</w:t>
      </w:r>
      <w:r w:rsidRPr="0045124B">
        <w:rPr>
          <w:rFonts w:ascii="Palatino Linotype" w:hAnsi="Palatino Linotype" w:cs="Times New Roman"/>
          <w:sz w:val="18"/>
          <w:szCs w:val="18"/>
        </w:rPr>
        <w:t>.</w:t>
      </w:r>
    </w:p>
  </w:footnote>
  <w:footnote w:id="422">
    <w:p w14:paraId="5102C5A0"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Esta situación se avala en la voto Nº 612-2015 de la </w:t>
      </w:r>
      <w:r w:rsidRPr="0045124B">
        <w:rPr>
          <w:rFonts w:ascii="Palatino Linotype" w:hAnsi="Palatino Linotype" w:cs="Times New Roman"/>
          <w:sz w:val="18"/>
          <w:szCs w:val="18"/>
          <w:lang w:val="es-ES"/>
        </w:rPr>
        <w:t>Sala Tercera, y se critica por el Tribunal de Apelación de Sentencia Penal de Cartago, voto 475-2017, siendo que, en este último caso, se mostraron 630 fotografías al testigo, identificando la número 626, cuestión que se analiza profusamente por parte del tribunal.</w:t>
      </w:r>
      <w:r w:rsidRPr="0045124B">
        <w:rPr>
          <w:rFonts w:ascii="Palatino Linotype" w:hAnsi="Palatino Linotype" w:cs="Times New Roman"/>
          <w:b/>
          <w:sz w:val="18"/>
          <w:szCs w:val="18"/>
          <w:lang w:val="es-ES"/>
        </w:rPr>
        <w:t xml:space="preserve"> </w:t>
      </w:r>
    </w:p>
  </w:footnote>
  <w:footnote w:id="423">
    <w:p w14:paraId="72647A77"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Artículo 229 CPP.</w:t>
      </w:r>
    </w:p>
  </w:footnote>
  <w:footnote w:id="424">
    <w:p w14:paraId="13BB244A"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El 100% de los entrevistados manifestó que nunca se videogrababa la diligencia, y solo dos funcionarios manifestaron que a veces ellos mismos toman fotos (</w:t>
      </w:r>
      <w:r w:rsidRPr="0045124B">
        <w:rPr>
          <w:rFonts w:ascii="Palatino Linotype" w:hAnsi="Palatino Linotype" w:cs="Times New Roman"/>
          <w:i/>
          <w:sz w:val="18"/>
          <w:szCs w:val="18"/>
          <w:lang w:val="es-ES"/>
        </w:rPr>
        <w:t>Defensa 2</w:t>
      </w:r>
      <w:r w:rsidRPr="0045124B">
        <w:rPr>
          <w:rFonts w:ascii="Palatino Linotype" w:hAnsi="Palatino Linotype" w:cs="Times New Roman"/>
          <w:sz w:val="18"/>
          <w:szCs w:val="18"/>
          <w:lang w:val="es-ES"/>
        </w:rPr>
        <w:t xml:space="preserve"> y </w:t>
      </w:r>
      <w:r w:rsidRPr="0045124B">
        <w:rPr>
          <w:rFonts w:ascii="Palatino Linotype" w:hAnsi="Palatino Linotype" w:cs="Times New Roman"/>
          <w:i/>
          <w:sz w:val="18"/>
          <w:szCs w:val="18"/>
          <w:lang w:val="es-ES"/>
        </w:rPr>
        <w:t>Defensa 3</w:t>
      </w:r>
      <w:r w:rsidRPr="0045124B">
        <w:rPr>
          <w:rFonts w:ascii="Palatino Linotype" w:hAnsi="Palatino Linotype" w:cs="Times New Roman"/>
          <w:sz w:val="18"/>
          <w:szCs w:val="18"/>
          <w:lang w:val="es-ES"/>
        </w:rPr>
        <w:t xml:space="preserve">). En mi experiencia tampoco he visto o escuchado que se haga este tipo de registro en video. </w:t>
      </w:r>
    </w:p>
  </w:footnote>
  <w:footnote w:id="425">
    <w:p w14:paraId="0D6BE482"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Artículo 228 </w:t>
      </w:r>
      <w:r w:rsidRPr="0045124B">
        <w:rPr>
          <w:rFonts w:ascii="Palatino Linotype" w:hAnsi="Palatino Linotype" w:cs="Times New Roman"/>
          <w:i/>
          <w:sz w:val="18"/>
          <w:szCs w:val="18"/>
          <w:lang w:val="es-ES"/>
        </w:rPr>
        <w:t>in fine</w:t>
      </w:r>
      <w:r w:rsidRPr="0045124B">
        <w:rPr>
          <w:rFonts w:ascii="Palatino Linotype" w:hAnsi="Palatino Linotype" w:cs="Times New Roman"/>
          <w:sz w:val="18"/>
          <w:szCs w:val="18"/>
          <w:lang w:val="es-ES"/>
        </w:rPr>
        <w:t xml:space="preserve">. La doctrina nacional ha sugerido que en estos casos sería preferible un reconocimiento fotográfico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{"citationItems":[{"id":"ITEM-1","itemData":{"ISBN":"978-9968-561-50-1","author":[{"dropping-particle":"","family":"Llobet Rodríguez","given":"Javier","non-dropping-particle":"","parse-names":false,"suffix":""}],"edition":"5ª edición","id":"ITEM-1","issued":{"date-parts":[["2012"]]},"number-of-pages":"821","publisher":"Editorial Jurídica Continental","publisher-place":"San José","title":"Proceso penal comentado (Código procesal penal comentado)","type":"book"},"locator":"391","uris":["http://www.mendeley.com/documents/?uuid=b955d057-951c-45c2-8483-f56c3596c12a"]}],"mendeley":{"formattedCitation":"(Llobet Rodríguez, 2012, p. 391)","plainTextFormattedCitation":"(Llobet Rodríguez, 2012, p. 391)","previouslyFormattedCitation":"(Llobet Rodríguez, 2012, p. 391)"},"properties":{"noteIndex":0},"schema":"https://github.com/citation-style-language/schema/raw/master/csl-citation.json"}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(Llobet Rodríguez, 2012, p. 391)</w:t>
      </w:r>
      <w:r w:rsidRPr="0045124B">
        <w:rPr>
          <w:rFonts w:ascii="Palatino Linotype" w:hAnsi="Palatino Linotype" w:cs="Times New Roman"/>
          <w:sz w:val="18"/>
          <w:szCs w:val="18"/>
          <w:lang w:val="es-ES"/>
        </w:rPr>
        <w:fldChar w:fldCharType="end"/>
      </w:r>
      <w:r w:rsidRPr="0045124B">
        <w:rPr>
          <w:rFonts w:ascii="Palatino Linotype" w:hAnsi="Palatino Linotype" w:cs="Times New Roman"/>
          <w:sz w:val="18"/>
          <w:szCs w:val="18"/>
          <w:lang w:val="es-ES"/>
        </w:rPr>
        <w:t>.</w:t>
      </w:r>
    </w:p>
  </w:footnote>
  <w:footnote w:id="426">
    <w:p w14:paraId="7F29F67C"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Por ejemplo, uno de los entrevistados (</w:t>
      </w:r>
      <w:r w:rsidRPr="0045124B">
        <w:rPr>
          <w:rFonts w:ascii="Palatino Linotype" w:hAnsi="Palatino Linotype" w:cs="Times New Roman"/>
          <w:i/>
          <w:sz w:val="18"/>
          <w:szCs w:val="18"/>
        </w:rPr>
        <w:t>Fiscal 4</w:t>
      </w:r>
      <w:r w:rsidRPr="0045124B">
        <w:rPr>
          <w:rFonts w:ascii="Palatino Linotype" w:hAnsi="Palatino Linotype" w:cs="Times New Roman"/>
          <w:sz w:val="18"/>
          <w:szCs w:val="18"/>
        </w:rPr>
        <w:t>), señaló que las exhibiciones sin sospechoso se realizan, en muchas ocasiones, sin coordinación con el Ministerio Público.</w:t>
      </w:r>
    </w:p>
  </w:footnote>
  <w:footnote w:id="427">
    <w:p w14:paraId="07E1FA25"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De hecho, en mi experiencia personal, es extraordinariamente inusual que la defensa objete el reconocimiento ocular practicado en sede de etapa intermedia. </w:t>
      </w:r>
    </w:p>
  </w:footnote>
  <w:footnote w:id="428">
    <w:p w14:paraId="0346241A"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La información del contexto del caso puede obtenerse en la página web: </w:t>
      </w:r>
      <w:hyperlink r:id="rId24" w:history="1">
        <w:r w:rsidRPr="0045124B">
          <w:rPr>
            <w:rStyle w:val="Hipervnculo"/>
            <w:rFonts w:ascii="Palatino Linotype" w:hAnsi="Palatino Linotype" w:cs="Times New Roman"/>
            <w:sz w:val="18"/>
            <w:szCs w:val="18"/>
            <w:lang w:val="es-ES"/>
          </w:rPr>
          <w:t>https://www.matelunainocente.com/proceso-judicial.html</w:t>
        </w:r>
      </w:hyperlink>
      <w:r w:rsidRPr="0045124B">
        <w:rPr>
          <w:rFonts w:ascii="Palatino Linotype" w:hAnsi="Palatino Linotype" w:cs="Times New Roman"/>
          <w:sz w:val="18"/>
          <w:szCs w:val="18"/>
          <w:lang w:val="es-ES"/>
        </w:rPr>
        <w:t>. Consultada: 26 de septiembre de 2018.</w:t>
      </w:r>
    </w:p>
  </w:footnote>
  <w:footnote w:id="429">
    <w:p w14:paraId="34E3B7F0"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Por ejemplo, se observa que Mateluna es más alto, con una complexión física más gruesa y con más cabello que Astorga, esto sin reparar en las evidentes discordancias de sus rostros.</w:t>
      </w:r>
    </w:p>
  </w:footnote>
  <w:footnote w:id="430">
    <w:p w14:paraId="1F143866"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El aspecto más notorio es la estatura, pero, en términos generales, las similitudes son prácticamente inexistentes.</w:t>
      </w:r>
    </w:p>
  </w:footnote>
  <w:footnote w:id="431">
    <w:p w14:paraId="65C47319"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Se recomienda que las vestimentas de los componentes sean similares, para que el sospechoso no resulte distintivo </w:t>
      </w:r>
      <w:r w:rsidRPr="0045124B">
        <w:rPr>
          <w:rFonts w:ascii="Palatino Linotype" w:hAnsi="Palatino Linotype" w:cs="Times New Roman"/>
          <w:sz w:val="18"/>
          <w:szCs w:val="18"/>
        </w:rPr>
        <w:fldChar w:fldCharType="begin" w:fldLock="1"/>
      </w:r>
      <w:r w:rsidRPr="0045124B">
        <w:rPr>
          <w:rFonts w:ascii="Palatino Linotype" w:hAnsi="Palatino Linotype" w:cs="Times New Roman"/>
          <w:sz w:val="18"/>
          <w:szCs w:val="18"/>
        </w:rPr>
        <w:instrText>ADDIN CSL_CITATION {"citationItems":[{"id":"ITEM-1","itemData":{"author":[{"dropping-particle":"","family":"Diges","given":"Margarita","non-dropping-particle":"","parse-names":false,"suffix":""},{"dropping-particle":"","family":"Pérez-Mata","given":"Nieves","non-dropping-particle":"","parse-names":false,"suffix":""}],"container-title":"Identificaciones fotográficas y en rueda de reconocimiento. Un análisis desde el Derecho procesal penal y la psicología del testimonio","id":"ITEM-1","issued":{"date-parts":[["2014"]]},"publisher":"Marcial Pons","title":"La prueba de identificación desde la psicología del testimonio","type":"chapter"},"locator":"68-69","uris":["http://www.mendeley.com/documents/?uuid=4239216f-cb8f-4db9-a5c2-b6609f2db014"]}],"mendeley":{"formattedCitation":"(Diges &amp; Pérez-Mata, 2014, pp. 68–69)","plainTextFormattedCitation":"(Diges &amp; Pérez-Mata, 2014, pp. 68–69)","previouslyFormattedCitation":"(Diges &amp; Pérez-Mata, 2014, pp. 68–69)"},"properties":{"noteIndex":0},"schema":"https://github.com/citation-style-language/schema/raw/master/csl-citation.json"}</w:instrText>
      </w:r>
      <w:r w:rsidRPr="0045124B">
        <w:rPr>
          <w:rFonts w:ascii="Palatino Linotype" w:hAnsi="Palatino Linotype" w:cs="Times New Roman"/>
          <w:sz w:val="18"/>
          <w:szCs w:val="18"/>
        </w:rPr>
        <w:fldChar w:fldCharType="separate"/>
      </w:r>
      <w:r w:rsidRPr="0045124B">
        <w:rPr>
          <w:rFonts w:ascii="Palatino Linotype" w:hAnsi="Palatino Linotype" w:cs="Times New Roman"/>
          <w:noProof/>
          <w:sz w:val="18"/>
          <w:szCs w:val="18"/>
        </w:rPr>
        <w:t>(Diges &amp; Pérez-Mata, 2014, pp. 68–69)</w:t>
      </w:r>
      <w:r w:rsidRPr="0045124B">
        <w:rPr>
          <w:rFonts w:ascii="Palatino Linotype" w:hAnsi="Palatino Linotype" w:cs="Times New Roman"/>
          <w:sz w:val="18"/>
          <w:szCs w:val="18"/>
        </w:rPr>
        <w:fldChar w:fldCharType="end"/>
      </w:r>
      <w:r w:rsidRPr="0045124B">
        <w:rPr>
          <w:rFonts w:ascii="Palatino Linotype" w:hAnsi="Palatino Linotype" w:cs="Times New Roman"/>
          <w:sz w:val="18"/>
          <w:szCs w:val="18"/>
        </w:rPr>
        <w:t>. En este caso dos sujetos visten camiseta, tres tienen chaqueta y uno camisa con manga larga, con variedad de colores y diseños, tanto en éstas como en los pantalones.</w:t>
      </w:r>
    </w:p>
  </w:footnote>
  <w:footnote w:id="432">
    <w:p w14:paraId="3C808250"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Diges habla de la distintividad del acusado o sospechoso, como un sesgo de la rueda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author":[{"dropping-particle":"","family":"Diges","given":"Margarita","non-dropping-particle":"","parse-names":false,"suffix":""},{"dropping-particle":"","family":"Pérez-Mata","given":"Nieves","non-dropping-particle":"","parse-names":false,"suffix":""}],"container-title":"Identificaciones fotográficas y en rueda de reconocimiento. Un análisis desde el Derecho procesal penal y la psicología del testimonio","id":"ITEM-1","issued":{"date-parts":[["2014"]]},"publisher":"Marcial Pons","title":"La prueba de identificación desde la psicología del testimonio","type":"chapter"},"locator":"68-69","suppress-author":1,"uris":["http://www.mendeley.com/documents/?uuid=4239216f-cb8f-4db9-a5c2-b6609f2db014"]}],"mendeley":{"formattedCitation":"(2014, pp. 68–69)","plainTextFormattedCitation":"(2014, pp. 68–69)","previouslyFormattedCitation":"(2014, pp. 68–69)"},"properties":{"noteIndex":0},"schema":"https://github.com/citation-style-language/schema/raw/master/csl-citation.json"}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(2014, pp. 68–69)</w:t>
      </w:r>
      <w:r w:rsidRPr="0045124B">
        <w:rPr>
          <w:rFonts w:ascii="Palatino Linotype" w:hAnsi="Palatino Linotype" w:cs="Times New Roman"/>
          <w:sz w:val="18"/>
          <w:szCs w:val="18"/>
          <w:lang w:val="es-ES"/>
        </w:rPr>
        <w:fldChar w:fldCharType="end"/>
      </w:r>
      <w:r w:rsidRPr="0045124B">
        <w:rPr>
          <w:rFonts w:ascii="Palatino Linotype" w:hAnsi="Palatino Linotype" w:cs="Times New Roman"/>
          <w:sz w:val="18"/>
          <w:szCs w:val="18"/>
          <w:lang w:val="es-ES"/>
        </w:rPr>
        <w:t>.</w:t>
      </w:r>
    </w:p>
  </w:footnote>
  <w:footnote w:id="433">
    <w:p w14:paraId="2914170C"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Otras cuestiones de importancia no pueden determinarse a partir del visionado, como la descripción previa brindada por el testigo, si se dio un reconocimiento fotográfico con anterioridad, su edad y condiciones físicas, etc. </w:t>
      </w:r>
    </w:p>
  </w:footnote>
  <w:footnote w:id="434">
    <w:p w14:paraId="02C4F4FD"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Información que también se ha obtenido de la página web </w:t>
      </w:r>
      <w:hyperlink r:id="rId25" w:history="1">
        <w:r w:rsidRPr="0045124B">
          <w:rPr>
            <w:rStyle w:val="Hipervnculo"/>
            <w:rFonts w:ascii="Palatino Linotype" w:hAnsi="Palatino Linotype" w:cs="Times New Roman"/>
            <w:sz w:val="18"/>
            <w:szCs w:val="18"/>
            <w:lang w:val="es-ES"/>
          </w:rPr>
          <w:t>https://www.matelunainocente.com/proceso-judicial.html</w:t>
        </w:r>
      </w:hyperlink>
      <w:r w:rsidRPr="0045124B">
        <w:rPr>
          <w:rFonts w:ascii="Palatino Linotype" w:hAnsi="Palatino Linotype" w:cs="Times New Roman"/>
          <w:sz w:val="18"/>
          <w:szCs w:val="18"/>
          <w:lang w:val="es-ES"/>
        </w:rPr>
        <w:t>. Consultada: 27 de septiembre de 2018.</w:t>
      </w:r>
    </w:p>
  </w:footnote>
  <w:footnote w:id="435">
    <w:p w14:paraId="58F74847"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Lo que se refleja en este extracto del diálogo: </w:t>
      </w:r>
      <w:r w:rsidRPr="0045124B">
        <w:rPr>
          <w:rFonts w:ascii="Palatino Linotype" w:hAnsi="Palatino Linotype" w:cs="Times New Roman"/>
          <w:sz w:val="18"/>
          <w:szCs w:val="18"/>
          <w:lang w:val="es-ES"/>
        </w:rPr>
        <w:t xml:space="preserve">Oficial: </w:t>
      </w:r>
      <w:r w:rsidRPr="0045124B">
        <w:rPr>
          <w:rFonts w:ascii="Palatino Linotype" w:hAnsi="Palatino Linotype" w:cs="Times New Roman"/>
          <w:i/>
          <w:sz w:val="18"/>
          <w:szCs w:val="18"/>
          <w:lang w:val="es-ES"/>
        </w:rPr>
        <w:t>¿Estaba hablando de él? ¿si? ¿si?</w:t>
      </w:r>
      <w:r w:rsidRPr="0045124B">
        <w:rPr>
          <w:rFonts w:ascii="Palatino Linotype" w:hAnsi="Palatino Linotype" w:cs="Times New Roman"/>
          <w:sz w:val="18"/>
          <w:szCs w:val="18"/>
          <w:lang w:val="es-ES"/>
        </w:rPr>
        <w:t xml:space="preserve"> Testigo: </w:t>
      </w:r>
      <w:r w:rsidRPr="0045124B">
        <w:rPr>
          <w:rFonts w:ascii="Palatino Linotype" w:hAnsi="Palatino Linotype" w:cs="Times New Roman"/>
          <w:i/>
          <w:sz w:val="18"/>
          <w:szCs w:val="18"/>
          <w:lang w:val="es-ES"/>
        </w:rPr>
        <w:t>Si.</w:t>
      </w:r>
    </w:p>
  </w:footnote>
  <w:footnote w:id="436">
    <w:p w14:paraId="219CB8BE"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Por ejemplo: </w:t>
      </w:r>
      <w:r w:rsidRPr="0045124B">
        <w:rPr>
          <w:rFonts w:ascii="Palatino Linotype" w:hAnsi="Palatino Linotype" w:cs="Times New Roman"/>
          <w:sz w:val="18"/>
          <w:szCs w:val="18"/>
          <w:lang w:val="es-ES"/>
        </w:rPr>
        <w:t xml:space="preserve">Oficial: </w:t>
      </w:r>
      <w:r w:rsidRPr="0045124B">
        <w:rPr>
          <w:rFonts w:ascii="Palatino Linotype" w:hAnsi="Palatino Linotype" w:cs="Times New Roman"/>
          <w:i/>
          <w:sz w:val="18"/>
          <w:szCs w:val="18"/>
          <w:lang w:val="es-ES"/>
        </w:rPr>
        <w:t>Ya… y las circunstancias por favor en la que lo reconoce</w:t>
      </w:r>
      <w:r w:rsidRPr="0045124B">
        <w:rPr>
          <w:rFonts w:ascii="Palatino Linotype" w:hAnsi="Palatino Linotype" w:cs="Times New Roman"/>
          <w:sz w:val="18"/>
          <w:szCs w:val="18"/>
          <w:lang w:val="es-ES"/>
        </w:rPr>
        <w:t xml:space="preserve">. Testigo: </w:t>
      </w:r>
      <w:r w:rsidRPr="0045124B">
        <w:rPr>
          <w:rFonts w:ascii="Palatino Linotype" w:hAnsi="Palatino Linotype" w:cs="Times New Roman"/>
          <w:i/>
          <w:sz w:val="18"/>
          <w:szCs w:val="18"/>
          <w:lang w:val="es-ES"/>
        </w:rPr>
        <w:t>Eehh</w:t>
      </w:r>
      <w:r w:rsidRPr="0045124B">
        <w:rPr>
          <w:rFonts w:ascii="Palatino Linotype" w:hAnsi="Palatino Linotype" w:cs="Times New Roman"/>
          <w:sz w:val="18"/>
          <w:szCs w:val="18"/>
          <w:lang w:val="es-ES"/>
        </w:rPr>
        <w:t xml:space="preserve">. Oficial: </w:t>
      </w:r>
      <w:r w:rsidRPr="0045124B">
        <w:rPr>
          <w:rFonts w:ascii="Palatino Linotype" w:hAnsi="Palatino Linotype" w:cs="Times New Roman"/>
          <w:i/>
          <w:sz w:val="18"/>
          <w:szCs w:val="18"/>
          <w:lang w:val="es-ES"/>
        </w:rPr>
        <w:t>O recuerda usted haberlo visto</w:t>
      </w:r>
      <w:r w:rsidRPr="0045124B">
        <w:rPr>
          <w:rFonts w:ascii="Palatino Linotype" w:hAnsi="Palatino Linotype" w:cs="Times New Roman"/>
          <w:sz w:val="18"/>
          <w:szCs w:val="18"/>
          <w:lang w:val="es-ES"/>
        </w:rPr>
        <w:t xml:space="preserve">. Testigo: </w:t>
      </w:r>
      <w:r w:rsidRPr="0045124B">
        <w:rPr>
          <w:rFonts w:ascii="Palatino Linotype" w:hAnsi="Palatino Linotype" w:cs="Times New Roman"/>
          <w:i/>
          <w:sz w:val="18"/>
          <w:szCs w:val="18"/>
          <w:lang w:val="es-ES"/>
        </w:rPr>
        <w:t>Haberlo visto ensangrentado en un paradero de buses</w:t>
      </w:r>
      <w:r w:rsidRPr="0045124B">
        <w:rPr>
          <w:rFonts w:ascii="Palatino Linotype" w:hAnsi="Palatino Linotype" w:cs="Times New Roman"/>
          <w:sz w:val="18"/>
          <w:szCs w:val="18"/>
          <w:lang w:val="es-ES"/>
        </w:rPr>
        <w:t>.</w:t>
      </w:r>
    </w:p>
  </w:footnote>
  <w:footnote w:id="437">
    <w:p w14:paraId="14681F8D" w14:textId="77777777" w:rsidR="00E87246" w:rsidRPr="0045124B" w:rsidRDefault="00E87246" w:rsidP="0045124B">
      <w:pPr>
        <w:pStyle w:val="NormalWeb"/>
        <w:spacing w:before="0" w:beforeAutospacing="0" w:after="0" w:afterAutospacing="0"/>
        <w:jc w:val="both"/>
        <w:rPr>
          <w:rFonts w:ascii="Palatino Linotype" w:hAnsi="Palatino Linotype"/>
          <w:sz w:val="18"/>
          <w:szCs w:val="18"/>
        </w:rPr>
      </w:pPr>
      <w:r w:rsidRPr="0045124B">
        <w:rPr>
          <w:rStyle w:val="Refdenotaalpie"/>
          <w:rFonts w:ascii="Palatino Linotype" w:eastAsiaTheme="majorEastAsia" w:hAnsi="Palatino Linotype"/>
          <w:sz w:val="18"/>
          <w:szCs w:val="18"/>
        </w:rPr>
        <w:footnoteRef/>
      </w:r>
      <w:r w:rsidRPr="0045124B">
        <w:rPr>
          <w:rFonts w:ascii="Palatino Linotype" w:hAnsi="Palatino Linotype"/>
          <w:sz w:val="18"/>
          <w:szCs w:val="18"/>
        </w:rPr>
        <w:t xml:space="preserve"> Se ha dicho, por ejemplo, que “los psicólogos del Poder Judicial de Costa Rica utilizan con frecuencia pruebas psicológicas que no satisfacen los parámetros psicométricos que la ciencia psicológica ha establecido como prerrequisitos científicos para su adecuada utilización, a raíz de que la mayoría de los tests que se utilizan fueron desarrollados en otras comunidades culturales y lingu</w:t>
      </w:r>
      <w:r w:rsidRPr="0045124B">
        <w:rPr>
          <w:sz w:val="18"/>
          <w:szCs w:val="18"/>
        </w:rPr>
        <w:t>̈</w:t>
      </w:r>
      <w:r w:rsidRPr="0045124B">
        <w:rPr>
          <w:rFonts w:ascii="Palatino Linotype" w:hAnsi="Palatino Linotype"/>
          <w:sz w:val="18"/>
          <w:szCs w:val="18"/>
        </w:rPr>
        <w:t xml:space="preserve">ísticas y que en Costa Rica aún no se ha realizado la necesaria investigación de base para evaluar si, en la población costarricense, dichos tests se comportan psicométricamente de la misma manera como en las poblaciones en las cuales fueron originalmente desarrollados y validados” </w:t>
      </w:r>
      <w:r w:rsidRPr="0045124B">
        <w:rPr>
          <w:rFonts w:ascii="Palatino Linotype" w:hAnsi="Palatino Linotype"/>
          <w:sz w:val="18"/>
          <w:szCs w:val="18"/>
        </w:rPr>
        <w:fldChar w:fldCharType="begin" w:fldLock="1"/>
      </w:r>
      <w:r w:rsidRPr="0045124B">
        <w:rPr>
          <w:rFonts w:ascii="Palatino Linotype" w:hAnsi="Palatino Linotype"/>
          <w:sz w:val="18"/>
          <w:szCs w:val="18"/>
        </w:rPr>
        <w:instrText>ADDIN CSL_CITATION {"citationItems":[{"id":"ITEM-1","itemData":{"author":[{"dropping-particle":"","family":"Harbottle-Quirós","given":"Frank","non-dropping-particle":"","parse-names":false,"suffix":""}],"container-title":"Revista Costarricense de Psicología","id":"ITEM-1","issued":{"date-parts":[["2013"]]},"page":"89-107","publisher-place":"San José","title":"Psicología forense y responsabilidad penal en Costa Rica","type":"article-magazine"},"locator":"100","uris":["http://www.mendeley.com/documents/?uuid=6453474b-6ba4-4be0-a206-66d6a164fac6"]}],"mendeley":{"formattedCitation":"(Harbottle-Quirós, 2013, p. 100)","plainTextFormattedCitation":"(Harbottle-Quirós, 2013, p. 100)"},"properties":{"noteIndex":0},"schema":"https://github.com/citation-style-language/schema/raw/master/csl-citation.json"}</w:instrText>
      </w:r>
      <w:r w:rsidRPr="0045124B">
        <w:rPr>
          <w:rFonts w:ascii="Palatino Linotype" w:hAnsi="Palatino Linotype"/>
          <w:sz w:val="18"/>
          <w:szCs w:val="18"/>
        </w:rPr>
        <w:fldChar w:fldCharType="separate"/>
      </w:r>
      <w:r w:rsidRPr="0045124B">
        <w:rPr>
          <w:rFonts w:ascii="Palatino Linotype" w:hAnsi="Palatino Linotype"/>
          <w:noProof/>
          <w:sz w:val="18"/>
          <w:szCs w:val="18"/>
        </w:rPr>
        <w:t>(Harbottle-Quirós, 2013, p. 100)</w:t>
      </w:r>
      <w:r w:rsidRPr="0045124B">
        <w:rPr>
          <w:rFonts w:ascii="Palatino Linotype" w:hAnsi="Palatino Linotype"/>
          <w:sz w:val="18"/>
          <w:szCs w:val="18"/>
        </w:rPr>
        <w:fldChar w:fldCharType="end"/>
      </w:r>
      <w:r w:rsidRPr="0045124B">
        <w:rPr>
          <w:rFonts w:ascii="Palatino Linotype" w:hAnsi="Palatino Linotype"/>
          <w:sz w:val="18"/>
          <w:szCs w:val="18"/>
        </w:rPr>
        <w:t xml:space="preserve">. </w:t>
      </w:r>
    </w:p>
  </w:footnote>
  <w:footnote w:id="438">
    <w:p w14:paraId="798F257B"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Lo expuesto corresponde con los dos niveles de análisis de admisibilidad relacionados con el criterio de necesidad, expuestos por Duce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{"citationItems":[{"id":"ITEM-1","itemData":{"author":[{"dropping-particle":"","family":"Duce","given":"Mauricio","non-dropping-particle":"","parse-names":false,"suffix":""}],"id":"ITEM-1","issued":{"date-parts":[["2013"]]},"publisher":"Ediciones Didot","publisher-place":"Buenos Aires","title":"La prueba pericial. Aspectos legales y estatégicos claves para el litigio en los sistemas procesales penales acusatorios","type":"book"},"locator":"65-75","suppress-author":1,"uris":["http://www.mendeley.com/documents/?uuid=abfa7124-1b58-4897-bac5-027097adf065"]}],"mendeley":{"formattedCitation":"(2013b, pp. 65–75)","plainTextFormattedCitation":"(2013b, pp. 65–75)","previouslyFormattedCitation":"(2013b, pp. 65–75)"},"properties":{"noteIndex":0},"schema":"https://github.com/citation-style-language/schema/raw/master/csl-citation.json"}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(2013b, pp. 65–75)</w:t>
      </w:r>
      <w:r w:rsidRPr="0045124B">
        <w:rPr>
          <w:rFonts w:ascii="Palatino Linotype" w:hAnsi="Palatino Linotype" w:cs="Times New Roman"/>
          <w:sz w:val="18"/>
          <w:szCs w:val="18"/>
          <w:lang w:val="es-ES"/>
        </w:rPr>
        <w:fldChar w:fldCharType="end"/>
      </w:r>
      <w:r w:rsidRPr="0045124B">
        <w:rPr>
          <w:rFonts w:ascii="Palatino Linotype" w:hAnsi="Palatino Linotype" w:cs="Times New Roman"/>
          <w:sz w:val="18"/>
          <w:szCs w:val="18"/>
          <w:lang w:val="es-ES"/>
        </w:rPr>
        <w:t>.</w:t>
      </w:r>
    </w:p>
  </w:footnote>
  <w:footnote w:id="439">
    <w:p w14:paraId="039DE7E8"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Es claro que, como bien refiere Duce, el estándar de necesidad es más riguroso que el de simple utilidad y conveniencia, dado que estos últimos bien podrían motivar a la admisión de este tipo de pericias, significando un descargo de las responsabilidades del juez, que, por demás, podría pasar por “útil” y “conveniente” para éste. No obstante, Duce si matiza el concepto de conveniencia y observa alguna utilidad como cláusula en favor de la admisibilidad en casos poco claros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{"citationItems":[{"id":"ITEM-1","itemData":{"author":[{"dropping-particle":"","family":"Duce","given":"Mauricio","non-dropping-particle":"","parse-names":false,"suffix":""}],"id":"ITEM-1","issued":{"date-parts":[["2013"]]},"publisher":"Ediciones Didot","publisher-place":"Buenos Aires","title":"La prueba pericial. Aspectos legales y estatégicos claves para el litigio en los sistemas procesales penales acusatorios","type":"book"},"locator":"67","suppress-author":1,"uris":["http://www.mendeley.com/documents/?uuid=abfa7124-1b58-4897-bac5-027097adf065"]}],"mendeley":{"formattedCitation":"(2013b, p. 67)","plainTextFormattedCitation":"(2013b, p. 67)","previouslyFormattedCitation":"(2013b, p. 67)"},"properties":{"noteIndex":0},"schema":"https://github.com/citation-style-language/schema/raw/master/csl-citation.json"}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(2013b, p. 67)</w:t>
      </w:r>
      <w:r w:rsidRPr="0045124B">
        <w:rPr>
          <w:rFonts w:ascii="Palatino Linotype" w:hAnsi="Palatino Linotype" w:cs="Times New Roman"/>
          <w:sz w:val="18"/>
          <w:szCs w:val="18"/>
          <w:lang w:val="es-ES"/>
        </w:rPr>
        <w:fldChar w:fldCharType="end"/>
      </w:r>
      <w:r w:rsidRPr="0045124B">
        <w:rPr>
          <w:rFonts w:ascii="Palatino Linotype" w:hAnsi="Palatino Linotype" w:cs="Times New Roman"/>
          <w:sz w:val="18"/>
          <w:szCs w:val="18"/>
          <w:lang w:val="es-ES"/>
        </w:rPr>
        <w:t xml:space="preserve">.   </w:t>
      </w:r>
    </w:p>
  </w:footnote>
  <w:footnote w:id="440">
    <w:p w14:paraId="5BD66B73"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Con relación a este tipo de falencias, ha señalado Duce que “los jueces no debieran tomar en consideración para resolver aquellos casos que ni siquiera en la disciplina a la que pertenece el experto se consideraría como un conocimiento asentado o incluso válido”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{"citationItems":[{"id":"ITEM-1","itemData":{"author":[{"dropping-particle":"","family":"Duce","given":"Mauricio","non-dropping-particle":"","parse-names":false,"suffix":""}],"id":"ITEM-1","issued":{"date-parts":[["2013"]]},"publisher":"Ediciones Didot","publisher-place":"Buenos Aires","title":"La prueba pericial. Aspectos legales y estatégicos claves para el litigio en los sistemas procesales penales acusatorios","type":"book"},"locator":"81","suppress-author":1,"uris":["http://www.mendeley.com/documents/?uuid=abfa7124-1b58-4897-bac5-027097adf065"]}],"mendeley":{"formattedCitation":"(2013b, p. 81)","plainTextFormattedCitation":"(2013b, p. 81)","previouslyFormattedCitation":"(2013b, p. 81)"},"properties":{"noteIndex":0},"schema":"https://github.com/citation-style-language/schema/raw/master/csl-citation.json"}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(2013b, p. 81)</w:t>
      </w:r>
      <w:r w:rsidRPr="0045124B">
        <w:rPr>
          <w:rFonts w:ascii="Palatino Linotype" w:hAnsi="Palatino Linotype" w:cs="Times New Roman"/>
          <w:sz w:val="18"/>
          <w:szCs w:val="18"/>
          <w:lang w:val="es-ES"/>
        </w:rPr>
        <w:fldChar w:fldCharType="end"/>
      </w:r>
      <w:r w:rsidRPr="0045124B">
        <w:rPr>
          <w:rFonts w:ascii="Palatino Linotype" w:hAnsi="Palatino Linotype" w:cs="Times New Roman"/>
          <w:sz w:val="18"/>
          <w:szCs w:val="18"/>
          <w:lang w:val="es-ES"/>
        </w:rPr>
        <w:t xml:space="preserve">. Para un análisis sobre la noción de confiabilidad, desde sus vertientes cognitivas y motivacionales, puede verse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{"citationItems":[{"id":"ITEM-1","itemData":{"ISBN":"978-84-16402-76-2","author":[{"dropping-particle":"","family":"Vázquez","given":"Carmen","non-dropping-particle":"","parse-names":false,"suffix":""}],"edition":"Primera ed","id":"ITEM-1","issued":{"date-parts":[["2015"]]},"number-of-pages":"310","publisher":"Marcial Pons","title":"De la prueba científica a la prueba pericial","type":"book"},"locator":"232-247","uris":["http://www.mendeley.com/documents/?uuid=a4f6242f-468d-49a7-a49c-2ae15ee36969"]}],"mendeley":{"formattedCitation":"(Vázquez, 2015, pp. 232–247)","manualFormatting":"Vázquez, 2015, pp. 232–247.","plainTextFormattedCitation":"(Vázquez, 2015, pp. 232–247)","previouslyFormattedCitation":"(Vázquez, 2015, pp. 232–247)"},"properties":{"noteIndex":0},"schema":"https://github.com/citation-style-language/schema/raw/master/csl-citation.json"}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Vázquez, 2015, pp. 232–247.</w:t>
      </w:r>
      <w:r w:rsidRPr="0045124B">
        <w:rPr>
          <w:rFonts w:ascii="Palatino Linotype" w:hAnsi="Palatino Linotype" w:cs="Times New Roman"/>
          <w:sz w:val="18"/>
          <w:szCs w:val="18"/>
          <w:lang w:val="es-ES"/>
        </w:rPr>
        <w:fldChar w:fldCharType="end"/>
      </w:r>
    </w:p>
  </w:footnote>
  <w:footnote w:id="441">
    <w:p w14:paraId="4BE4EF25" w14:textId="77777777" w:rsidR="00E87246" w:rsidRPr="0045124B" w:rsidRDefault="00E87246" w:rsidP="0045124B">
      <w:pPr>
        <w:pStyle w:val="Textonotapie"/>
        <w:jc w:val="both"/>
        <w:rPr>
          <w:rFonts w:ascii="Palatino Linotype" w:hAnsi="Palatino Linotype" w:cs="Times New Roman"/>
          <w:sz w:val="18"/>
          <w:szCs w:val="18"/>
          <w:lang w:val="es-ES_tradnl"/>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Sobre el paternalismo epistémico puede verse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{"citationItems":[{"id":"ITEM-1","itemData":{"ISBN":"978-84-16402-76-2","author":[{"dropping-particle":"","family":"Vázquez","given":"Carmen","non-dropping-particle":"","parse-names":false,"suffix":""}],"edition":"Primera ed","id":"ITEM-1","issued":{"date-parts":[["2015"]]},"number-of-pages":"310","publisher":"Marcial Pons","title":"De la prueba científica a la prueba pericial","type":"book"},"locator":"140-148","uris":["http://www.mendeley.com/documents/?uuid=a4f6242f-468d-49a7-a49c-2ae15ee36969"]}],"mendeley":{"formattedCitation":"(Vázquez, 2015, pp. 140–148)","manualFormatting":"Vázquez, 2015, pp. 140–148.  ","plainTextFormattedCitation":"(Vázquez, 2015, pp. 140–148)","previouslyFormattedCitation":"(Vázquez, 2015, pp. 140–148)"},"properties":{"noteIndex":0},"schema":"https://github.com/citation-style-language/schema/raw/master/csl-citation.json"}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 xml:space="preserve">Vázquez, 2015, pp. 140–148.  </w:t>
      </w:r>
      <w:r w:rsidRPr="0045124B">
        <w:rPr>
          <w:rFonts w:ascii="Palatino Linotype" w:hAnsi="Palatino Linotype" w:cs="Times New Roman"/>
          <w:sz w:val="18"/>
          <w:szCs w:val="18"/>
          <w:lang w:val="es-ES"/>
        </w:rPr>
        <w:fldChar w:fldCharType="end"/>
      </w:r>
      <w:r w:rsidRPr="0045124B">
        <w:rPr>
          <w:rFonts w:ascii="Palatino Linotype" w:hAnsi="Palatino Linotype" w:cs="Times New Roman"/>
          <w:sz w:val="18"/>
          <w:szCs w:val="18"/>
          <w:lang w:val="en-US"/>
        </w:rPr>
        <w:t xml:space="preserve">En cuanto a otros aspectos que deben tomarse en cuenta para potenciar los mecanismos de control de admisibilidad de prueba pericial, la Suprema Corte de Canadá, en el caso </w:t>
      </w:r>
      <w:r w:rsidRPr="0045124B">
        <w:rPr>
          <w:rFonts w:ascii="Palatino Linotype" w:hAnsi="Palatino Linotype" w:cs="Times New Roman"/>
          <w:i/>
          <w:sz w:val="18"/>
          <w:szCs w:val="18"/>
          <w:lang w:val="en-US"/>
        </w:rPr>
        <w:t>White Burgess vs. Abbott and Haliburton</w:t>
      </w:r>
      <w:r w:rsidRPr="0045124B">
        <w:rPr>
          <w:rFonts w:ascii="Palatino Linotype" w:hAnsi="Palatino Linotype" w:cs="Times New Roman"/>
          <w:sz w:val="18"/>
          <w:szCs w:val="18"/>
          <w:lang w:val="en-US"/>
        </w:rPr>
        <w:t>, destacó: “</w:t>
      </w:r>
      <w:r w:rsidRPr="0045124B">
        <w:rPr>
          <w:rFonts w:ascii="Palatino Linotype" w:hAnsi="Palatino Linotype" w:cs="Times New Roman"/>
          <w:i/>
          <w:sz w:val="18"/>
          <w:szCs w:val="18"/>
          <w:lang w:val="en-US"/>
        </w:rPr>
        <w:t xml:space="preserve">the jurisprudence has clarified and tightened the threshold requirements for admissibility, added new requirements in order to assure reliability, particularly of novel scientific evidence, and emphasized the important role that judges should play as “gatekeepers” to screen out proposed evidence whose value does not justify the risk of confusion, time and expense that may result from its admission”. </w:t>
      </w:r>
      <w:r w:rsidRPr="0045124B">
        <w:rPr>
          <w:rFonts w:ascii="Palatino Linotype" w:hAnsi="Palatino Linotype" w:cs="Times New Roman"/>
          <w:sz w:val="18"/>
          <w:szCs w:val="18"/>
          <w:lang w:val="es-ES_tradnl"/>
        </w:rPr>
        <w:t xml:space="preserve">Desde esta perspectiva, no se trata solamente de los riesgos que implica la admisión de prueba que puede ser sobre dimensionada por su sola “cientificidad”, por el llamado mito de la “infalibilidad de la prueba científica” </w:t>
      </w:r>
      <w:r w:rsidRPr="0045124B">
        <w:rPr>
          <w:rFonts w:ascii="Palatino Linotype" w:hAnsi="Palatino Linotype" w:cs="Times New Roman"/>
          <w:sz w:val="18"/>
          <w:szCs w:val="18"/>
          <w:lang w:val="es-ES_tradnl"/>
        </w:rPr>
        <w:fldChar w:fldCharType="begin" w:fldLock="1"/>
      </w:r>
      <w:r w:rsidRPr="0045124B">
        <w:rPr>
          <w:rFonts w:ascii="Palatino Linotype" w:hAnsi="Palatino Linotype" w:cs="Times New Roman"/>
          <w:sz w:val="18"/>
          <w:szCs w:val="18"/>
          <w:lang w:val="es-ES_tradnl"/>
        </w:rPr>
        <w:instrText>ADDIN CSL_CITATION {"citationItems":[{"id":"ITEM-1","itemData":{"ISBN":"978-84-16402-76-2","author":[{"dropping-particle":"","family":"Vázquez","given":"Carmen","non-dropping-particle":"","parse-names":false,"suffix":""}],"edition":"Primera ed","id":"ITEM-1","issued":{"date-parts":[["2015"]]},"number-of-pages":"310","publisher":"Marcial Pons","title":"De la prueba científica a la prueba pericial","type":"book"},"locator":"142","uris":["http://www.mendeley.com/documents/?uuid=a4f6242f-468d-49a7-a49c-2ae15ee36969"]}],"mendeley":{"formattedCitation":"(Vázquez, 2015, p. 142)","plainTextFormattedCitation":"(Vázquez, 2015, p. 142)","previouslyFormattedCitation":"(Vázquez, 2015, p. 142)"},"properties":{"noteIndex":0},"schema":"https://github.com/citation-style-language/schema/raw/master/csl-citation.json"}</w:instrText>
      </w:r>
      <w:r w:rsidRPr="0045124B">
        <w:rPr>
          <w:rFonts w:ascii="Palatino Linotype" w:hAnsi="Palatino Linotype" w:cs="Times New Roman"/>
          <w:sz w:val="18"/>
          <w:szCs w:val="18"/>
          <w:lang w:val="es-ES_tradnl"/>
        </w:rPr>
        <w:fldChar w:fldCharType="separate"/>
      </w:r>
      <w:r w:rsidRPr="0045124B">
        <w:rPr>
          <w:rFonts w:ascii="Palatino Linotype" w:hAnsi="Palatino Linotype" w:cs="Times New Roman"/>
          <w:noProof/>
          <w:sz w:val="18"/>
          <w:szCs w:val="18"/>
          <w:lang w:val="es-ES_tradnl"/>
        </w:rPr>
        <w:t>(Vázquez, 2015, p. 142)</w:t>
      </w:r>
      <w:r w:rsidRPr="0045124B">
        <w:rPr>
          <w:rFonts w:ascii="Palatino Linotype" w:hAnsi="Palatino Linotype" w:cs="Times New Roman"/>
          <w:sz w:val="18"/>
          <w:szCs w:val="18"/>
          <w:lang w:val="es-ES_tradnl"/>
        </w:rPr>
        <w:fldChar w:fldCharType="end"/>
      </w:r>
      <w:r w:rsidRPr="0045124B">
        <w:rPr>
          <w:rFonts w:ascii="Palatino Linotype" w:hAnsi="Palatino Linotype" w:cs="Times New Roman"/>
          <w:sz w:val="18"/>
          <w:szCs w:val="18"/>
          <w:lang w:val="es-ES_tradnl"/>
        </w:rPr>
        <w:t>, sino que también pesan  factores de carácter económico e incluso, en el caso concreto, relacionados con la revictimización de la persona evaluada, siendo preferible desechar medios de prueba cuyos riesgos sean mayores que sus potenciales beneficios.</w:t>
      </w:r>
    </w:p>
  </w:footnote>
  <w:footnote w:id="442">
    <w:p w14:paraId="28B74C83"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Señalan Manzanero y Muñoz que “la participación del psicólogo forense puede resultar de utilidad al juzgador para detectar alguna psicopatología que pueda afectar a la capacidad testifical del sujeto en cuestión” </w:t>
      </w:r>
      <w:r w:rsidRPr="0045124B">
        <w:rPr>
          <w:rFonts w:ascii="Palatino Linotype" w:hAnsi="Palatino Linotype" w:cs="Times New Roman"/>
          <w:sz w:val="18"/>
          <w:szCs w:val="18"/>
        </w:rPr>
        <w:fldChar w:fldCharType="begin" w:fldLock="1"/>
      </w:r>
      <w:r w:rsidRPr="0045124B">
        <w:rPr>
          <w:rFonts w:ascii="Palatino Linotype" w:hAnsi="Palatino Linotype" w:cs="Times New Roman"/>
          <w:sz w:val="18"/>
          <w:szCs w:val="18"/>
        </w:rPr>
        <w:instrText>ADDIN CSL_CITATION {"citationItems":[{"id":"ITEM-1","itemData":{"DOI":"10.13140/2.1.3978.2729","abstract":"\" probablemente una disputa legal es realmente un conflicto entre narraciones y una decisión judicial es, en realidad, un test de la credibilidad de dos versiones de una narración \" (Crombag, 1989) I. Planteamiento General Desde que en el año mil novecientos ochenta y tres, de forma experimental, el psicólogo entrase a formar parte del personal de la Administración de Justicia, con consolidación de plazas cuatro años después, hasta la actualidad hemos asistido a un incremento exponencial de la presencia de psicólogos en el organigrama de nuestro Sistema de Justicia, en un grado superior a otros técnicos-forenses (Vázquez, 2008). La Ley 1/2000 de Enjuiciamiento Civil al potenciar un proceso presidido por el principio dispositivo o de aportación de parte ha facilitado la participación de la figura del perito psicólogo privado, situación que también se ha producido, aunque en menor medida, en los procesos penales. En definitiva, la figura del psicólogo forense está plenamente integrada en la realidad judicial española, habiendo adquirido un estatus profesional reconocido por los distintos operadores jurídicos y otros profesionales de las ciencias forenses, fruto del riguroso trabajo realizado por los pioneros de la profesión (Santolaya, 2002; Alfaro, Real, Tortosa y Jölluskin, 2004, Chacón, 2008). Pero si hay una parcela donde el informe pericial psicológico, tanto en su vertiente pública como privada, ha adquirido una relevancia especial, reflejada en un incremento significativo en su demanda, ese ha sido el de la evaluación de la credibilidad del testimonio en menores presuntas víctimas de abuso sexual infantil (Ercoli, 2003; Manzanero, 2001). Situación entendible si atendemos a la escasez de medios de prueba que suele acompañar a estos procesos penales (son delitos que se producen en ausencia de testigos, sin dejar evidencias físicas, cuando es intrafamiliar la familia tiende a ocultar los hechos y además el juzgador se encuentra con versiones contradictorias victima-victimario). Tanto el Tribunal Constitucional (STC nº 44/1989 de 20 de febrero) como el Tribunal Supremo (SSTS nºs 732/1997, de 19 de mayo, de 28 de octubre de 1992, de 16 de enero de 1991, y de 18 de septiembre de 1990) establecen el valor de los testimonios infantiles como prueba suficiente para desvirtuar la presunción de inocencia en estos casos. De ahí, la utilidad de estas periciales como ayuda a la toma de decisiones judiciales, reconocida en distinta jurisprudencia del Tribunal Supr…","author":[{"dropping-particle":"","family":"Manzanero","given":"Antonio","non-dropping-particle":"","parse-names":false,"suffix":""},{"dropping-particle":"","family":"Muñoz","given":"José Manuel","non-dropping-particle":"","parse-names":false,"suffix":""}],"id":"ITEM-1","issue":"January 2015","issued":{"date-parts":[["2011"]]},"page":"1-13","title":"La prueba pericial psicológica sobre la credibilidad del testimonio: reflexiones psico-legales","type":"article-journal"},"locator":"9","suppress-author":1,"uris":["http://www.mendeley.com/documents/?uuid=676f8d35-bd17-448e-9d7a-7b6b5072a461"]}],"mendeley":{"formattedCitation":"(2011, p. 9)","plainTextFormattedCitation":"(2011, p. 9)","previouslyFormattedCitation":"(2011, p. 9)"},"properties":{"noteIndex":0},"schema":"https://github.com/citation-style-language/schema/raw/master/csl-citation.json"}</w:instrText>
      </w:r>
      <w:r w:rsidRPr="0045124B">
        <w:rPr>
          <w:rFonts w:ascii="Palatino Linotype" w:hAnsi="Palatino Linotype" w:cs="Times New Roman"/>
          <w:sz w:val="18"/>
          <w:szCs w:val="18"/>
        </w:rPr>
        <w:fldChar w:fldCharType="separate"/>
      </w:r>
      <w:r w:rsidRPr="0045124B">
        <w:rPr>
          <w:rFonts w:ascii="Palatino Linotype" w:hAnsi="Palatino Linotype" w:cs="Times New Roman"/>
          <w:noProof/>
          <w:sz w:val="18"/>
          <w:szCs w:val="18"/>
        </w:rPr>
        <w:t>(2011, p. 9)</w:t>
      </w:r>
      <w:r w:rsidRPr="0045124B">
        <w:rPr>
          <w:rFonts w:ascii="Palatino Linotype" w:hAnsi="Palatino Linotype" w:cs="Times New Roman"/>
          <w:sz w:val="18"/>
          <w:szCs w:val="18"/>
        </w:rPr>
        <w:fldChar w:fldCharType="end"/>
      </w:r>
      <w:r w:rsidRPr="0045124B">
        <w:rPr>
          <w:rFonts w:ascii="Palatino Linotype" w:hAnsi="Palatino Linotype" w:cs="Times New Roman"/>
          <w:sz w:val="18"/>
          <w:szCs w:val="18"/>
        </w:rPr>
        <w:t>.</w:t>
      </w:r>
    </w:p>
  </w:footnote>
  <w:footnote w:id="443">
    <w:p w14:paraId="1AFF10EA" w14:textId="77777777" w:rsidR="00E87246" w:rsidRPr="0045124B" w:rsidRDefault="00E87246" w:rsidP="0045124B">
      <w:pPr>
        <w:spacing w:after="0"/>
        <w:jc w:val="both"/>
        <w:rPr>
          <w:rFonts w:ascii="Palatino Linotype" w:hAnsi="Palatino Linotype" w:cs="Times New Roman"/>
          <w:i/>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Por ejemplo, Manzanero y Muñoz estiman que en los casos de “abuso sexual infantil esta técnica vería mermada aún más su validez en el caso de adolescentes, cuando el acto denunciado es de escasa complejidad y cuando el menor ha tenido experiencias sexuales previas” </w:t>
      </w:r>
      <w:r w:rsidRPr="0045124B">
        <w:rPr>
          <w:rFonts w:ascii="Palatino Linotype" w:hAnsi="Palatino Linotype" w:cs="Times New Roman"/>
          <w:i/>
          <w:sz w:val="18"/>
          <w:szCs w:val="18"/>
        </w:rPr>
        <w:fldChar w:fldCharType="begin" w:fldLock="1"/>
      </w:r>
      <w:r w:rsidRPr="0045124B">
        <w:rPr>
          <w:rFonts w:ascii="Palatino Linotype" w:hAnsi="Palatino Linotype" w:cs="Times New Roman"/>
          <w:i/>
          <w:sz w:val="18"/>
          <w:szCs w:val="18"/>
        </w:rPr>
        <w:instrText>ADDIN CSL_CITATION {"citationItems":[{"id":"ITEM-1","itemData":{"DOI":"10.13140/2.1.3978.2729","abstract":"\" probablemente una disputa legal es realmente un conflicto entre narraciones y una decisión judicial es, en realidad, un test de la credibilidad de dos versiones de una narración \" (Crombag, 1989) I. Planteamiento General Desde que en el año mil novecientos ochenta y tres, de forma experimental, el psicólogo entrase a formar parte del personal de la Administración de Justicia, con consolidación de plazas cuatro años después, hasta la actualidad hemos asistido a un incremento exponencial de la presencia de psicólogos en el organigrama de nuestro Sistema de Justicia, en un grado superior a otros técnicos-forenses (Vázquez, 2008). La Ley 1/2000 de Enjuiciamiento Civil al potenciar un proceso presidido por el principio dispositivo o de aportación de parte ha facilitado la participación de la figura del perito psicólogo privado, situación que también se ha producido, aunque en menor medida, en los procesos penales. En definitiva, la figura del psicólogo forense está plenamente integrada en la realidad judicial española, habiendo adquirido un estatus profesional reconocido por los distintos operadores jurídicos y otros profesionales de las ciencias forenses, fruto del riguroso trabajo realizado por los pioneros de la profesión (Santolaya, 2002; Alfaro, Real, Tortosa y Jölluskin, 2004, Chacón, 2008). Pero si hay una parcela donde el informe pericial psicológico, tanto en su vertiente pública como privada, ha adquirido una relevancia especial, reflejada en un incremento significativo en su demanda, ese ha sido el de la evaluación de la credibilidad del testimonio en menores presuntas víctimas de abuso sexual infantil (Ercoli, 2003; Manzanero, 2001). Situación entendible si atendemos a la escasez de medios de prueba que suele acompañar a estos procesos penales (son delitos que se producen en ausencia de testigos, sin dejar evidencias físicas, cuando es intrafamiliar la familia tiende a ocultar los hechos y además el juzgador se encuentra con versiones contradictorias victima-victimario). Tanto el Tribunal Constitucional (STC nº 44/1989 de 20 de febrero) como el Tribunal Supremo (SSTS nºs 732/1997, de 19 de mayo, de 28 de octubre de 1992, de 16 de enero de 1991, y de 18 de septiembre de 1990) establecen el valor de los testimonios infantiles como prueba suficiente para desvirtuar la presunción de inocencia en estos casos. De ahí, la utilidad de estas periciales como ayuda a la toma de decisiones judiciales, reconocida en distinta jurisprudencia del Tribunal Supr…","author":[{"dropping-particle":"","family":"Manzanero","given":"Antonio","non-dropping-particle":"","parse-names":false,"suffix":""},{"dropping-particle":"","family":"Muñoz","given":"José Manuel","non-dropping-particle":"","parse-names":false,"suffix":""}],"id":"ITEM-1","issue":"January 2015","issued":{"date-parts":[["2011"]]},"page":"1-13","title":"La prueba pericial psicológica sobre la credibilidad del testimonio: reflexiones psico-legales","type":"article-journal"},"locator":"10","suppress-author":1,"uris":["http://www.mendeley.com/documents/?uuid=676f8d35-bd17-448e-9d7a-7b6b5072a461"]}],"mendeley":{"formattedCitation":"(2011, p. 10)","plainTextFormattedCitation":"(2011, p. 10)","previouslyFormattedCitation":"(2011, p. 10)"},"properties":{"noteIndex":0},"schema":"https://github.com/citation-style-language/schema/raw/master/csl-citation.json"}</w:instrText>
      </w:r>
      <w:r w:rsidRPr="0045124B">
        <w:rPr>
          <w:rFonts w:ascii="Palatino Linotype" w:hAnsi="Palatino Linotype" w:cs="Times New Roman"/>
          <w:i/>
          <w:sz w:val="18"/>
          <w:szCs w:val="18"/>
        </w:rPr>
        <w:fldChar w:fldCharType="separate"/>
      </w:r>
      <w:r w:rsidRPr="0045124B">
        <w:rPr>
          <w:rFonts w:ascii="Palatino Linotype" w:hAnsi="Palatino Linotype" w:cs="Times New Roman"/>
          <w:noProof/>
          <w:sz w:val="18"/>
          <w:szCs w:val="18"/>
        </w:rPr>
        <w:t>(2011, p. 10)</w:t>
      </w:r>
      <w:r w:rsidRPr="0045124B">
        <w:rPr>
          <w:rFonts w:ascii="Palatino Linotype" w:hAnsi="Palatino Linotype" w:cs="Times New Roman"/>
          <w:i/>
          <w:sz w:val="18"/>
          <w:szCs w:val="18"/>
        </w:rPr>
        <w:fldChar w:fldCharType="end"/>
      </w:r>
      <w:r w:rsidRPr="0045124B">
        <w:rPr>
          <w:rFonts w:ascii="Palatino Linotype" w:hAnsi="Palatino Linotype" w:cs="Times New Roman"/>
          <w:sz w:val="18"/>
          <w:szCs w:val="18"/>
        </w:rPr>
        <w:t>, de allí la limitación para que solamente sea aplicada la técnica a niños preescolares.</w:t>
      </w:r>
    </w:p>
  </w:footnote>
  <w:footnote w:id="444">
    <w:p w14:paraId="463893E2"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Como se verá, en rasgos generales se coincide con lo expuesto en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{"citationItems":[{"id":"ITEM-1","itemData":{"author":[{"dropping-particle":"","family":"Duce","given":"Mauricio","non-dropping-particle":"","parse-names":false,"suffix":""}],"container-title":"Política Criminal. Vol. 12, Nº 23","id":"ITEM-1","issued":{"date-parts":[["2017","7"]]},"page":"291-379","publisher-place":"Santiago","title":"Los reconocimientos oculares: una aproximación empírica a su funcionamiento y algunas recomendaciones para su mejora","type":"article-magazine"},"locator":"360-372","uris":["http://www.mendeley.com/documents/?uuid=6e0a1a90-c1b3-412b-b898-2809b25214c6"]}],"mendeley":{"formattedCitation":"(Duce, 2017, pp. 360–372)","manualFormatting":"Duce, 2017, pp. 360–372.      ","plainTextFormattedCitation":"(Duce, 2017, pp. 360–372)","previouslyFormattedCitation":"(Duce, 2017, pp. 360–372)"},"properties":{"noteIndex":0},"schema":"https://github.com/citation-style-language/schema/raw/master/csl-citation.json"}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 xml:space="preserve">Duce, 2017, pp. 360–372.      </w:t>
      </w:r>
      <w:r w:rsidRPr="0045124B">
        <w:rPr>
          <w:rFonts w:ascii="Palatino Linotype" w:hAnsi="Palatino Linotype" w:cs="Times New Roman"/>
          <w:sz w:val="18"/>
          <w:szCs w:val="18"/>
          <w:lang w:val="es-ES"/>
        </w:rPr>
        <w:fldChar w:fldCharType="end"/>
      </w:r>
    </w:p>
  </w:footnote>
  <w:footnote w:id="445">
    <w:p w14:paraId="038E2BC2"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Para lo cual resulta de interés la propuesta de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{"citationItems":[{"id":"ITEM-1","itemData":{"author":[{"dropping-particle":"","family":"Alcaíno","given":"Eduardo","non-dropping-particle":"","parse-names":false,"suffix":""}],"container-title":"Política Criminal. Vol. 9, Nº 18","id":"ITEM-1","issued":{"date-parts":[["2014","12"]]},"page":"564-613","publisher-place":"Santiago","title":"La confiabilidad como estándar para evaluar la calidad de los reconocimientos de imputados","type":"article-magazine"},"uris":["http://www.mendeley.com/documents/?uuid=918242b6-9a16-48e4-8a78-91e78f72c1b4"]}],"mendeley":{"formattedCitation":"(Alcaíno, 2014)","manualFormatting":"Alcaíno, 2014.      ","plainTextFormattedCitation":"(Alcaíno, 2014)","previouslyFormattedCitation":"(Alcaíno, 2014)"},"properties":{"noteIndex":0},"schema":"https://github.com/citation-style-language/schema/raw/master/csl-citation.json"}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 xml:space="preserve">Alcaíno, 2014.      </w:t>
      </w:r>
      <w:r w:rsidRPr="0045124B">
        <w:rPr>
          <w:rFonts w:ascii="Palatino Linotype" w:hAnsi="Palatino Linotype" w:cs="Times New Roman"/>
          <w:sz w:val="18"/>
          <w:szCs w:val="18"/>
          <w:lang w:val="es-ES"/>
        </w:rPr>
        <w:fldChar w:fldCharType="end"/>
      </w:r>
    </w:p>
  </w:footnote>
  <w:footnote w:id="446">
    <w:p w14:paraId="00315F1D"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Diges refiere que “la segunda identificación no es independiente de la primera, y se aleja de constituir una verdadera prueba de la memoria”</w:t>
      </w:r>
      <w:r w:rsidRPr="0045124B">
        <w:rPr>
          <w:rFonts w:ascii="Palatino Linotype" w:hAnsi="Palatino Linotype" w:cs="Times New Roman"/>
          <w:i/>
          <w:sz w:val="18"/>
          <w:szCs w:val="18"/>
        </w:rPr>
        <w:t xml:space="preserve"> </w:t>
      </w:r>
      <w:r w:rsidRPr="0045124B">
        <w:rPr>
          <w:rFonts w:ascii="Palatino Linotype" w:hAnsi="Palatino Linotype" w:cs="Times New Roman"/>
          <w:i/>
          <w:sz w:val="18"/>
          <w:szCs w:val="18"/>
        </w:rPr>
        <w:fldChar w:fldCharType="begin" w:fldLock="1"/>
      </w:r>
      <w:r w:rsidRPr="0045124B">
        <w:rPr>
          <w:rFonts w:ascii="Palatino Linotype" w:hAnsi="Palatino Linotype" w:cs="Times New Roman"/>
          <w:i/>
          <w:sz w:val="18"/>
          <w:szCs w:val="18"/>
        </w:rPr>
        <w:instrText>ADDIN CSL_CITATION {"citationItems":[{"id":"ITEM-1","itemData":{"author":[{"dropping-particle":"","family":"Diges","given":"Margarita","non-dropping-particle":"","parse-names":false,"suffix":""},{"dropping-particle":"","family":"Pérez-Mata","given":"Nieves","non-dropping-particle":"","parse-names":false,"suffix":""}],"container-title":"Identificaciones fotográficas y en rueda de reconocimiento. Un análisis desde el Derecho procesal penal y la psicología del testimonio","id":"ITEM-1","issued":{"date-parts":[["2014"]]},"publisher":"Marcial Pons","title":"La prueba de identificación desde la psicología del testimonio","type":"chapter"},"locator":"75","uris":["http://www.mendeley.com/documents/?uuid=4239216f-cb8f-4db9-a5c2-b6609f2db014"]}],"mendeley":{"formattedCitation":"(Diges &amp; Pérez-Mata, 2014, p. 75)","plainTextFormattedCitation":"(Diges &amp; Pérez-Mata, 2014, p. 75)","previouslyFormattedCitation":"(Diges &amp; Pérez-Mata, 2014, p. 75)"},"properties":{"noteIndex":0},"schema":"https://github.com/citation-style-language/schema/raw/master/csl-citation.json"}</w:instrText>
      </w:r>
      <w:r w:rsidRPr="0045124B">
        <w:rPr>
          <w:rFonts w:ascii="Palatino Linotype" w:hAnsi="Palatino Linotype" w:cs="Times New Roman"/>
          <w:i/>
          <w:sz w:val="18"/>
          <w:szCs w:val="18"/>
        </w:rPr>
        <w:fldChar w:fldCharType="separate"/>
      </w:r>
      <w:r w:rsidRPr="0045124B">
        <w:rPr>
          <w:rFonts w:ascii="Palatino Linotype" w:hAnsi="Palatino Linotype" w:cs="Times New Roman"/>
          <w:noProof/>
          <w:sz w:val="18"/>
          <w:szCs w:val="18"/>
        </w:rPr>
        <w:t>(Diges &amp; Pérez-Mata, 2014, p. 75)</w:t>
      </w:r>
      <w:r w:rsidRPr="0045124B">
        <w:rPr>
          <w:rFonts w:ascii="Palatino Linotype" w:hAnsi="Palatino Linotype" w:cs="Times New Roman"/>
          <w:i/>
          <w:sz w:val="18"/>
          <w:szCs w:val="18"/>
        </w:rPr>
        <w:fldChar w:fldCharType="end"/>
      </w:r>
      <w:r w:rsidRPr="0045124B">
        <w:rPr>
          <w:rFonts w:ascii="Palatino Linotype" w:hAnsi="Palatino Linotype" w:cs="Times New Roman"/>
          <w:i/>
          <w:sz w:val="18"/>
          <w:szCs w:val="18"/>
        </w:rPr>
        <w:t>.</w:t>
      </w:r>
    </w:p>
  </w:footnote>
  <w:footnote w:id="447">
    <w:p w14:paraId="011A8067" w14:textId="77777777" w:rsidR="00E87246" w:rsidRPr="0045124B" w:rsidRDefault="00E87246" w:rsidP="0045124B">
      <w:pPr>
        <w:pStyle w:val="Textonotapie"/>
        <w:jc w:val="both"/>
        <w:rPr>
          <w:rFonts w:ascii="Palatino Linotype" w:hAnsi="Palatino Linotype" w:cs="Times New Roman"/>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Esto se ampliará en el siguiente apartado.</w:t>
      </w:r>
    </w:p>
  </w:footnote>
  <w:footnote w:id="448">
    <w:p w14:paraId="70BCB0FB"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Incluso podría utilizarse el </w:t>
      </w:r>
      <w:r w:rsidRPr="0045124B">
        <w:rPr>
          <w:rFonts w:ascii="Palatino Linotype" w:hAnsi="Palatino Linotype" w:cs="Times New Roman"/>
          <w:i/>
          <w:sz w:val="18"/>
          <w:szCs w:val="18"/>
          <w:lang w:val="es-ES"/>
        </w:rPr>
        <w:t>line up</w:t>
      </w:r>
      <w:r w:rsidRPr="0045124B">
        <w:rPr>
          <w:rFonts w:ascii="Palatino Linotype" w:hAnsi="Palatino Linotype" w:cs="Times New Roman"/>
          <w:sz w:val="18"/>
          <w:szCs w:val="18"/>
          <w:lang w:val="es-ES"/>
        </w:rPr>
        <w:t xml:space="preserve"> secuencial, que, se ha demostrado, reduce las falsas identificaciones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author":[{"dropping-particle":"","family":"Diges","given":"Margarita","non-dropping-particle":"","parse-names":false,"suffix":""},{"dropping-particle":"","family":"Pérez-Mata","given":"Nieves","non-dropping-particle":"","parse-names":false,"suffix":""}],"container-title":"Identificaciones fotográficas y en rueda de reconocimiento. Un análisis desde el Derecho procesal penal y la psicología del testimonio","id":"ITEM-1","issued":{"date-parts":[["2014"]]},"publisher":"Marcial Pons","title":"La prueba de identificación desde la psicología del testimonio","type":"chapter"},"uris":["http://www.mendeley.com/documents/?uuid=4239216f-cb8f-4db9-a5c2-b6609f2db014"]},{"id":"ITEM-2","itemData":{"ISBN":"978-84-9879-158-7","author":[{"dropping-particle":"","family":"Mazzoni","given":"Giuliana","non-dropping-particle":"","parse-names":false,"suffix":""}],"id":"ITEM-2","issued":{"date-parts":[["2010"]]},"number-of-pages":"182","publisher":"Editorial Trotta","publisher-place":"Madrid","title":"¿Se puede creer a un testigo? El testimonio y las trampas de la memoria","translator":[{"dropping-particle":"","family":"Revuelta","given":"José Manuel","non-dropping-particle":"","parse-names":false,"suffix":""}],"type":"book"},"uris":["http://www.mendeley.com/documents/?uuid=a5a7389f-5590-4583-91d5-6b53f07fc138"]}],"mendeley":{"formattedCitation":"(Diges &amp; Pérez-Mata, 2014; Mazzoni, 2010)","plainTextFormattedCitation":"(Diges &amp; Pérez-Mata, 2014; Mazzoni, 2010)","previouslyFormattedCitation":"(Diges &amp; Pérez-Mata, 2014; Mazzoni, 2010)"},"properties":{"noteIndex":0},"schema":"https://github.com/citation-style-language/schema/raw/master/csl-citation.json"}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(Diges &amp; Pérez-Mata, 2014; Mazzoni, 2010)</w:t>
      </w:r>
      <w:r w:rsidRPr="0045124B">
        <w:rPr>
          <w:rFonts w:ascii="Palatino Linotype" w:hAnsi="Palatino Linotype" w:cs="Times New Roman"/>
          <w:sz w:val="18"/>
          <w:szCs w:val="18"/>
          <w:lang w:val="es-ES"/>
        </w:rPr>
        <w:fldChar w:fldCharType="end"/>
      </w:r>
      <w:r w:rsidRPr="0045124B">
        <w:rPr>
          <w:rFonts w:ascii="Palatino Linotype" w:hAnsi="Palatino Linotype" w:cs="Times New Roman"/>
          <w:sz w:val="18"/>
          <w:szCs w:val="18"/>
          <w:lang w:val="es-ES"/>
        </w:rPr>
        <w:t>.</w:t>
      </w:r>
    </w:p>
  </w:footnote>
  <w:footnote w:id="449">
    <w:p w14:paraId="11DE72ED" w14:textId="77777777" w:rsidR="00E87246" w:rsidRPr="0045124B" w:rsidRDefault="00E87246" w:rsidP="0045124B">
      <w:pPr>
        <w:pStyle w:val="Textonotapie"/>
        <w:jc w:val="both"/>
        <w:rPr>
          <w:rFonts w:ascii="Palatino Linotype" w:hAnsi="Palatino Linotype" w:cs="Times New Roman"/>
          <w:sz w:val="18"/>
          <w:szCs w:val="18"/>
          <w:lang w:val="es-ES"/>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cs="Times New Roman"/>
          <w:sz w:val="18"/>
          <w:szCs w:val="18"/>
          <w:lang w:val="es-ES"/>
        </w:rPr>
        <w:t xml:space="preserve">Sobre este punto: </w:t>
      </w:r>
      <w:r w:rsidRPr="0045124B">
        <w:rPr>
          <w:rFonts w:ascii="Palatino Linotype" w:hAnsi="Palatino Linotype" w:cs="Times New Roman"/>
          <w:sz w:val="18"/>
          <w:szCs w:val="18"/>
          <w:lang w:val="es-ES"/>
        </w:rPr>
        <w:fldChar w:fldCharType="begin" w:fldLock="1"/>
      </w:r>
      <w:r w:rsidRPr="0045124B">
        <w:rPr>
          <w:rFonts w:ascii="Palatino Linotype" w:hAnsi="Palatino Linotype" w:cs="Times New Roman"/>
          <w:sz w:val="18"/>
          <w:szCs w:val="18"/>
          <w:lang w:val="es-ES"/>
        </w:rPr>
        <w:instrText>ADDIN CSL_CITATION {"citationItems":[{"id":"ITEM-1","itemData":{"ISBN":"978-9968-561-50-1","author":[{"dropping-particle":"","family":"Llobet Rodríguez","given":"Javier","non-dropping-particle":"","parse-names":false,"suffix":""}],"edition":"5ª edición","id":"ITEM-1","issued":{"date-parts":[["2012"]]},"number-of-pages":"821","publisher":"Editorial Jurídica Continental","publisher-place":"San José","title":"Proceso penal comentado (Código procesal penal comentado)","type":"book"},"locator":"391","uris":["http://www.mendeley.com/documents/?uuid=b955d057-951c-45c2-8483-f56c3596c12a"]}],"mendeley":{"formattedCitation":"(Llobet Rodríguez, 2012, p. 391)","manualFormatting":"Llobet Rodríguez, 2012, p. 391.     ","plainTextFormattedCitation":"(Llobet Rodríguez, 2012, p. 391)","previouslyFormattedCitation":"(Llobet Rodríguez, 2012, p. 391)"},"properties":{"noteIndex":0},"schema":"https://github.com/citation-style-language/schema/raw/master/csl-citation.json"}</w:instrText>
      </w:r>
      <w:r w:rsidRPr="0045124B">
        <w:rPr>
          <w:rFonts w:ascii="Palatino Linotype" w:hAnsi="Palatino Linotype" w:cs="Times New Roman"/>
          <w:sz w:val="18"/>
          <w:szCs w:val="18"/>
          <w:lang w:val="es-ES"/>
        </w:rPr>
        <w:fldChar w:fldCharType="separate"/>
      </w:r>
      <w:r w:rsidRPr="0045124B">
        <w:rPr>
          <w:rFonts w:ascii="Palatino Linotype" w:hAnsi="Palatino Linotype" w:cs="Times New Roman"/>
          <w:noProof/>
          <w:sz w:val="18"/>
          <w:szCs w:val="18"/>
          <w:lang w:val="es-ES"/>
        </w:rPr>
        <w:t xml:space="preserve">Llobet Rodríguez, 2012, p. 391.     </w:t>
      </w:r>
      <w:r w:rsidRPr="0045124B">
        <w:rPr>
          <w:rFonts w:ascii="Palatino Linotype" w:hAnsi="Palatino Linotype" w:cs="Times New Roman"/>
          <w:sz w:val="18"/>
          <w:szCs w:val="18"/>
          <w:lang w:val="es-ES"/>
        </w:rPr>
        <w:fldChar w:fldCharType="end"/>
      </w:r>
    </w:p>
  </w:footnote>
  <w:footnote w:id="450">
    <w:p w14:paraId="7048F26B"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cs="Times New Roman"/>
          <w:sz w:val="18"/>
          <w:szCs w:val="18"/>
        </w:rPr>
        <w:footnoteRef/>
      </w:r>
      <w:r w:rsidRPr="0045124B">
        <w:rPr>
          <w:rFonts w:ascii="Palatino Linotype" w:hAnsi="Palatino Linotype" w:cs="Times New Roman"/>
          <w:sz w:val="18"/>
          <w:szCs w:val="18"/>
        </w:rPr>
        <w:t xml:space="preserve"> </w:t>
      </w:r>
      <w:r w:rsidRPr="0045124B">
        <w:rPr>
          <w:rFonts w:ascii="Palatino Linotype" w:hAnsi="Palatino Linotype"/>
          <w:sz w:val="18"/>
          <w:szCs w:val="18"/>
        </w:rPr>
        <w:t xml:space="preserve">Abogado litigante. Profesor catedrático de la Facultad de Derecho de la Universidad de Costa Rica. Doctor en Derecho penal y procesal penal por la Universidad Ludwig Maximilians, Múnich, Alemania. </w:t>
      </w:r>
    </w:p>
  </w:footnote>
  <w:footnote w:id="451">
    <w:p w14:paraId="3988D7F3"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Así: Volk, p. 330.</w:t>
      </w:r>
    </w:p>
  </w:footnote>
  <w:footnote w:id="452">
    <w:p w14:paraId="51D16077"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Así: Zipf, p. 171.</w:t>
      </w:r>
    </w:p>
  </w:footnote>
  <w:footnote w:id="453">
    <w:p w14:paraId="686E913E"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Tal y como lo señala Ruthers, p. 195 ss., son múltiples los contenidos asignados a la palabra “justicia”, relacionándose lo justo con lo correcto, con lo verdadero, con lo que tiene la justa medida o relación, o lo que se corresponde al derecho, a la ley o a la equidad; asimismo, la Justicia se ha visto como una virtud o como una cualidad de las reglas, tratándose claramente de un concepto relativo e indeterminado. Este mismo autor, p. 224, concluye señalando sobre el particular: “</w:t>
      </w:r>
      <w:r w:rsidRPr="0045124B">
        <w:rPr>
          <w:rFonts w:ascii="Palatino Linotype" w:hAnsi="Palatino Linotype"/>
          <w:i/>
          <w:sz w:val="18"/>
          <w:szCs w:val="18"/>
        </w:rPr>
        <w:t>La valoración sobre qué hay que considerar “justo” ofrece, para el caso concreto, enormes dificultades</w:t>
      </w:r>
      <w:r w:rsidRPr="0045124B">
        <w:rPr>
          <w:rFonts w:ascii="Palatino Linotype" w:hAnsi="Palatino Linotype"/>
          <w:sz w:val="18"/>
          <w:szCs w:val="18"/>
        </w:rPr>
        <w:t>.”</w:t>
      </w:r>
    </w:p>
  </w:footnote>
  <w:footnote w:id="454">
    <w:p w14:paraId="74C6D375"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Así: Kuckein, § 337, Rn. 1. Mannheim, p. 21, afirma que los recursos tienen como meta la corrección de la Administración de Justicia, que se alcanza, primero, mediante la obtención de sentencias objetivamente justas y mediante la uniformidad de la jurisprudencia, y segundo, mediante el fortalecimiento de la confianza del sujeto sometido al derecho en la administración de justicia. </w:t>
      </w:r>
    </w:p>
  </w:footnote>
  <w:footnote w:id="455">
    <w:p w14:paraId="0AAB2AD7"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Así: Hanack, p. 82 </w:t>
      </w:r>
    </w:p>
  </w:footnote>
  <w:footnote w:id="456">
    <w:p w14:paraId="63972CFB"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Así: Roxin, p. 442 </w:t>
      </w:r>
    </w:p>
  </w:footnote>
  <w:footnote w:id="457">
    <w:p w14:paraId="39A57FD6"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Así denominado por Binding, p. 241. Según este autor, el debate ante el tribunal de apelación debe llevarse a cabo según las disposiciones que rigen el debate ante el tribunal de primera instancia. En la decisión respectiva, el Tribunal de apelación sería libre y no existiría ninguna limitación de la </w:t>
      </w:r>
      <w:r w:rsidRPr="0045124B">
        <w:rPr>
          <w:rFonts w:ascii="Palatino Linotype" w:hAnsi="Palatino Linotype"/>
          <w:i/>
          <w:sz w:val="18"/>
          <w:szCs w:val="18"/>
        </w:rPr>
        <w:t xml:space="preserve">reformatio in peius. </w:t>
      </w:r>
      <w:r w:rsidRPr="0045124B">
        <w:rPr>
          <w:rFonts w:ascii="Palatino Linotype" w:hAnsi="Palatino Linotype"/>
          <w:sz w:val="18"/>
          <w:szCs w:val="18"/>
        </w:rPr>
        <w:t xml:space="preserve">No sería nunca posible un reenvío al tribunal de primera instancia. Contra la decisión del tribunal de apelación se podría permitir una nueva apelación. </w:t>
      </w:r>
    </w:p>
  </w:footnote>
  <w:footnote w:id="458">
    <w:p w14:paraId="1D2608BD" w14:textId="77777777" w:rsidR="00E87246" w:rsidRPr="0045124B" w:rsidRDefault="00E87246" w:rsidP="0045124B">
      <w:pPr>
        <w:pStyle w:val="Textonotapie"/>
        <w:jc w:val="both"/>
        <w:rPr>
          <w:rFonts w:ascii="Palatino Linotype" w:hAnsi="Palatino Linotype"/>
          <w:sz w:val="18"/>
          <w:szCs w:val="18"/>
          <w:lang w:val="en-US"/>
        </w:rPr>
      </w:pPr>
      <w:r w:rsidRPr="0045124B">
        <w:rPr>
          <w:rStyle w:val="Refdenotaalpie"/>
          <w:rFonts w:ascii="Palatino Linotype" w:hAnsi="Palatino Linotype"/>
          <w:sz w:val="18"/>
          <w:szCs w:val="18"/>
        </w:rPr>
        <w:footnoteRef/>
      </w:r>
      <w:r w:rsidRPr="0045124B">
        <w:rPr>
          <w:rFonts w:ascii="Palatino Linotype" w:hAnsi="Palatino Linotype"/>
          <w:sz w:val="18"/>
          <w:szCs w:val="18"/>
          <w:lang w:val="en-US"/>
        </w:rPr>
        <w:t xml:space="preserve"> Así: Ranft, p. 601; Peters, p. 627. </w:t>
      </w:r>
    </w:p>
  </w:footnote>
  <w:footnote w:id="459">
    <w:p w14:paraId="572A05E3"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Así: Peters, p. 626. </w:t>
      </w:r>
    </w:p>
  </w:footnote>
  <w:footnote w:id="460">
    <w:p w14:paraId="0230BD65"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Vid. por todos: Roxin/Schünemann, p. 463.</w:t>
      </w:r>
    </w:p>
  </w:footnote>
  <w:footnote w:id="461">
    <w:p w14:paraId="22DE7CB2"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Así: Peters, p. 623. </w:t>
      </w:r>
    </w:p>
  </w:footnote>
  <w:footnote w:id="462">
    <w:p w14:paraId="4C628A90" w14:textId="77777777" w:rsidR="00E87246" w:rsidRPr="0045124B" w:rsidRDefault="00E87246" w:rsidP="0045124B">
      <w:pPr>
        <w:pStyle w:val="Textonotapie"/>
        <w:jc w:val="both"/>
        <w:rPr>
          <w:rFonts w:ascii="Palatino Linotype" w:hAnsi="Palatino Linotype"/>
          <w:i/>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 esto se refiere Armenta Deu, p. 345, como novedades probatorias y fácticas (</w:t>
      </w:r>
      <w:r w:rsidRPr="0045124B">
        <w:rPr>
          <w:rFonts w:ascii="Palatino Linotype" w:hAnsi="Palatino Linotype"/>
          <w:i/>
          <w:sz w:val="18"/>
          <w:szCs w:val="18"/>
        </w:rPr>
        <w:t>nova producta y nova reperta).</w:t>
      </w:r>
    </w:p>
  </w:footnote>
  <w:footnote w:id="463">
    <w:p w14:paraId="7B6A953E" w14:textId="77777777" w:rsidR="00E87246" w:rsidRPr="0045124B" w:rsidRDefault="00E87246" w:rsidP="0045124B">
      <w:pPr>
        <w:pStyle w:val="Textonotapie"/>
        <w:jc w:val="both"/>
        <w:rPr>
          <w:rFonts w:ascii="Palatino Linotype" w:hAnsi="Palatino Linotype"/>
          <w:sz w:val="18"/>
          <w:szCs w:val="18"/>
          <w:lang w:val="de-DE"/>
        </w:rPr>
      </w:pPr>
      <w:r w:rsidRPr="0045124B">
        <w:rPr>
          <w:rStyle w:val="Refdenotaalpie"/>
          <w:rFonts w:ascii="Palatino Linotype" w:hAnsi="Palatino Linotype"/>
          <w:sz w:val="18"/>
          <w:szCs w:val="18"/>
        </w:rPr>
        <w:footnoteRef/>
      </w:r>
      <w:r w:rsidRPr="0045124B">
        <w:rPr>
          <w:rFonts w:ascii="Palatino Linotype" w:hAnsi="Palatino Linotype"/>
          <w:sz w:val="18"/>
          <w:szCs w:val="18"/>
          <w:lang w:val="de-DE"/>
        </w:rPr>
        <w:t xml:space="preserve"> Así: Dürig, Art. 3 párrafo 1. Vid. asimismo, Müller, p. 123.</w:t>
      </w:r>
    </w:p>
  </w:footnote>
  <w:footnote w:id="464">
    <w:p w14:paraId="42EC710C" w14:textId="77777777" w:rsidR="00E87246" w:rsidRPr="0045124B" w:rsidRDefault="00E87246" w:rsidP="0045124B">
      <w:pPr>
        <w:pStyle w:val="Textonotapie"/>
        <w:jc w:val="both"/>
        <w:rPr>
          <w:rFonts w:ascii="Palatino Linotype" w:hAnsi="Palatino Linotype"/>
          <w:sz w:val="18"/>
          <w:szCs w:val="18"/>
          <w:lang w:val="de-DE"/>
        </w:rPr>
      </w:pPr>
      <w:r w:rsidRPr="0045124B">
        <w:rPr>
          <w:rStyle w:val="Refdenotaalpie"/>
          <w:rFonts w:ascii="Palatino Linotype" w:hAnsi="Palatino Linotype"/>
          <w:sz w:val="18"/>
          <w:szCs w:val="18"/>
        </w:rPr>
        <w:footnoteRef/>
      </w:r>
      <w:r w:rsidRPr="0045124B">
        <w:rPr>
          <w:rFonts w:ascii="Palatino Linotype" w:hAnsi="Palatino Linotype"/>
          <w:sz w:val="18"/>
          <w:szCs w:val="18"/>
          <w:lang w:val="de-DE"/>
        </w:rPr>
        <w:t xml:space="preserve"> Así: Dürig, Art. 3, párrafo. 1. </w:t>
      </w:r>
    </w:p>
  </w:footnote>
  <w:footnote w:id="465">
    <w:p w14:paraId="03B9A737"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Vid. Nieto, p. 35</w:t>
      </w:r>
    </w:p>
  </w:footnote>
  <w:footnote w:id="466">
    <w:p w14:paraId="045091E5"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Bottke, p. 18.</w:t>
      </w:r>
    </w:p>
  </w:footnote>
  <w:footnote w:id="467">
    <w:p w14:paraId="21F9B86A" w14:textId="77777777" w:rsidR="00E87246" w:rsidRPr="0045124B" w:rsidRDefault="00E87246" w:rsidP="0045124B">
      <w:pPr>
        <w:pStyle w:val="Textonotapie"/>
        <w:jc w:val="both"/>
        <w:rPr>
          <w:rFonts w:ascii="Palatino Linotype" w:hAnsi="Palatino Linotype"/>
          <w:sz w:val="18"/>
          <w:szCs w:val="18"/>
          <w:lang w:val="it-IT"/>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Cfr. Imboden, p. 16 y pie de página 33. </w:t>
      </w:r>
    </w:p>
  </w:footnote>
  <w:footnote w:id="468">
    <w:p w14:paraId="04247328"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lang w:val="de-DE"/>
        </w:rPr>
        <w:t xml:space="preserve"> Cfr. Volk, p. 334. </w:t>
      </w:r>
      <w:r w:rsidRPr="0045124B">
        <w:rPr>
          <w:rFonts w:ascii="Palatino Linotype" w:hAnsi="Palatino Linotype"/>
          <w:sz w:val="18"/>
          <w:szCs w:val="18"/>
        </w:rPr>
        <w:t>Vid. asimismo v. Hippel, p. 597 s.; Boller, p.p. 28, 87.</w:t>
      </w:r>
    </w:p>
  </w:footnote>
  <w:footnote w:id="469">
    <w:p w14:paraId="0562854D"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Sobre el particular vid. Gatgens, p. 11 ss. </w:t>
      </w:r>
    </w:p>
  </w:footnote>
  <w:footnote w:id="470">
    <w:p w14:paraId="2FA07E31"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Así Volk, p. 288 s.; v. Hippel, p.p. 386, 597 s.; Julius, § 261 Rn. 8, 20. Cf. También respecto del proceso civil: Marburger, p. 13, 35 s. </w:t>
      </w:r>
    </w:p>
  </w:footnote>
  <w:footnote w:id="471">
    <w:p w14:paraId="3B15DF83" w14:textId="77777777" w:rsidR="00E87246" w:rsidRPr="0045124B" w:rsidRDefault="00E87246" w:rsidP="0045124B">
      <w:pPr>
        <w:pStyle w:val="Textonotapie"/>
        <w:jc w:val="both"/>
        <w:rPr>
          <w:rFonts w:ascii="Palatino Linotype" w:hAnsi="Palatino Linotype"/>
          <w:sz w:val="18"/>
          <w:szCs w:val="18"/>
          <w:lang w:val="de-DE"/>
        </w:rPr>
      </w:pPr>
      <w:r w:rsidRPr="0045124B">
        <w:rPr>
          <w:rStyle w:val="Refdenotaalpie"/>
          <w:rFonts w:ascii="Palatino Linotype" w:hAnsi="Palatino Linotype"/>
          <w:sz w:val="18"/>
          <w:szCs w:val="18"/>
        </w:rPr>
        <w:footnoteRef/>
      </w:r>
      <w:r w:rsidRPr="0045124B">
        <w:rPr>
          <w:rFonts w:ascii="Palatino Linotype" w:hAnsi="Palatino Linotype"/>
          <w:sz w:val="18"/>
          <w:szCs w:val="18"/>
          <w:lang w:val="de-DE"/>
        </w:rPr>
        <w:t xml:space="preserve"> Así: Volk, p. 332 s.; Roxin, p. 442; Hanack, en: LR, § 337 Rn. 99, 108; Schünemann, p. 123. </w:t>
      </w:r>
    </w:p>
  </w:footnote>
  <w:footnote w:id="472">
    <w:p w14:paraId="512C89E4"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Ayan, p.p. 55-56.</w:t>
      </w:r>
    </w:p>
  </w:footnote>
  <w:footnote w:id="473">
    <w:p w14:paraId="34B2DFD9"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Ayan, p.p. 63,65. Esta distinción ya no se sigue prácticamente por ningún autor en la doctrina moderna. Sintetizando muy bien la razón de ser de eso, señala Iacoviello, cit. por Pastor, p. 52, lo siguiente: </w:t>
      </w:r>
      <w:r w:rsidRPr="0045124B">
        <w:rPr>
          <w:rFonts w:ascii="Palatino Linotype" w:hAnsi="Palatino Linotype"/>
          <w:i/>
          <w:sz w:val="18"/>
          <w:szCs w:val="18"/>
        </w:rPr>
        <w:t>“La aplicación de la norma al hecho no es una operación mecánica que deja indeformados norma y hecho. ¡Todo lo contrario! La norma sirve al diseño de los perfiles relevantes del hecho, el hecho sirve a aclarar los significados posibles de la norma: norma y hecho se acercan y se modelan el uno al otro”</w:t>
      </w:r>
    </w:p>
  </w:footnote>
  <w:footnote w:id="474">
    <w:p w14:paraId="4D425083"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Nieva Fenoll, p.p. 123, 130.  El referido autor, p. 129, citando a Ramos Méndez, señala que la diferenciación entre hecho y derecho constituye una clara reminiscencia del silogismo judicial. Y el referido silogismo no es más que una falacia dogmática. El Juicio jurisdiccional constituye una entidad compleja y se compone, entre otras cosas, de hecho y derecho, y no es posible imaginar su subsistencia sin uno de esos dos elementos. </w:t>
      </w:r>
    </w:p>
  </w:footnote>
  <w:footnote w:id="475">
    <w:p w14:paraId="041792C7"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CIDH. Caso Mohamed vs. Argentina. Excepciones preliminares, fondo, reparaciones y costas. Sentencia de 23 noviembre de 2012. Serie C No. 255. Párr.100.</w:t>
      </w:r>
    </w:p>
  </w:footnote>
  <w:footnote w:id="476">
    <w:p w14:paraId="17667FF6"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Ayan, p.p. 69-70.</w:t>
      </w:r>
    </w:p>
  </w:footnote>
  <w:footnote w:id="477">
    <w:p w14:paraId="5247C586"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Hanack, en: LR, § 337 Rn. 68.</w:t>
      </w:r>
    </w:p>
  </w:footnote>
  <w:footnote w:id="478">
    <w:p w14:paraId="2671989F"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Llobet, p. 645. </w:t>
      </w:r>
    </w:p>
  </w:footnote>
  <w:footnote w:id="479">
    <w:p w14:paraId="6EF8D7A9"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Un ejemplo en ese sentido lo constituye el artículo 256 CPP que establece la posibilidad de apelar la resolución que decrete por primera vez la prisión preventiva o, transcurridos los tres primeros meses, rechace una medida sustitutiva, la cual es apelable, sin efecto suspensivo; asimismo, los artículos 204 bis inciso 3 y 366.</w:t>
      </w:r>
    </w:p>
  </w:footnote>
  <w:footnote w:id="480">
    <w:p w14:paraId="5B766EAC"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Ayan, p. 86. </w:t>
      </w:r>
    </w:p>
  </w:footnote>
  <w:footnote w:id="481">
    <w:p w14:paraId="6980951F"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Vid. en ese sentido: Ayan, p. 87. </w:t>
      </w:r>
    </w:p>
  </w:footnote>
  <w:footnote w:id="482">
    <w:p w14:paraId="04E5C1E6"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Ayan, p.p. 87- 88. </w:t>
      </w:r>
    </w:p>
  </w:footnote>
  <w:footnote w:id="483">
    <w:p w14:paraId="7D4C3CCA"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Ayan, p. 106. </w:t>
      </w:r>
    </w:p>
  </w:footnote>
  <w:footnote w:id="484">
    <w:p w14:paraId="70C4FFF9"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Ejemplo interesante aquí es el recurso de apelación impropio que establece el artículo 34 de la Ley Orgánica del Organismo de Investigación Judicial No. 5524 contra los dictámenes médico-legales. La práctica de este recurso ha estado caracterizada por una serie de vaivenes y ocurrencias que no pueden ser objeto de este artículo, llegándose al extremo de tildar al Consejo Médico Forense como un órgano </w:t>
      </w:r>
      <w:r w:rsidRPr="0045124B">
        <w:rPr>
          <w:rFonts w:ascii="Palatino Linotype" w:hAnsi="Palatino Linotype"/>
          <w:i/>
          <w:sz w:val="18"/>
          <w:szCs w:val="18"/>
        </w:rPr>
        <w:t>ad quem</w:t>
      </w:r>
      <w:r w:rsidRPr="0045124B">
        <w:rPr>
          <w:rFonts w:ascii="Palatino Linotype" w:hAnsi="Palatino Linotype"/>
          <w:sz w:val="18"/>
          <w:szCs w:val="18"/>
        </w:rPr>
        <w:t xml:space="preserve">, el cual está limitado a conocer los agravios del recurrente, si antes no ha hecho valer los mismos ante el médico </w:t>
      </w:r>
      <w:r w:rsidRPr="0045124B">
        <w:rPr>
          <w:rFonts w:ascii="Palatino Linotype" w:hAnsi="Palatino Linotype"/>
          <w:i/>
          <w:sz w:val="18"/>
          <w:szCs w:val="18"/>
        </w:rPr>
        <w:t>a quo</w:t>
      </w:r>
      <w:r w:rsidRPr="0045124B">
        <w:rPr>
          <w:rFonts w:ascii="Palatino Linotype" w:hAnsi="Palatino Linotype"/>
          <w:sz w:val="18"/>
          <w:szCs w:val="18"/>
        </w:rPr>
        <w:t>!</w:t>
      </w:r>
    </w:p>
  </w:footnote>
  <w:footnote w:id="485">
    <w:p w14:paraId="509CF78E"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Clariá, p. 490.</w:t>
      </w:r>
    </w:p>
  </w:footnote>
  <w:footnote w:id="486">
    <w:p w14:paraId="30D1E56B"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Así: Llobet, p. 646.</w:t>
      </w:r>
    </w:p>
  </w:footnote>
  <w:footnote w:id="487">
    <w:p w14:paraId="7F5B03BF"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Sobre la evolución que ha tenido la apelación de sentencia en Costa Rica cfr. Llobet, p. 650 ss.; Arroyo, p. 27 ss.; Chirino, p. 123 ss.; Ureña, p. 50 ss. </w:t>
      </w:r>
    </w:p>
  </w:footnote>
  <w:footnote w:id="488">
    <w:p w14:paraId="61ABBA55"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Maier, p. 709 ss. </w:t>
      </w:r>
    </w:p>
  </w:footnote>
  <w:footnote w:id="489">
    <w:p w14:paraId="14184A24"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Caso Barreto Leiva vs. Venezuela, 2009, No. 206, párr.88</w:t>
      </w:r>
    </w:p>
  </w:footnote>
  <w:footnote w:id="490">
    <w:p w14:paraId="02E0F2D7"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Al respecto señala Llobet, p. 669: </w:t>
      </w:r>
      <w:r w:rsidRPr="0045124B">
        <w:rPr>
          <w:rFonts w:ascii="Palatino Linotype" w:hAnsi="Palatino Linotype"/>
          <w:i/>
          <w:sz w:val="18"/>
          <w:szCs w:val="18"/>
        </w:rPr>
        <w:t>“El término “revisión integral del fallo” no significa simplemente que al resolverse el recurso de apelación se resuelvan los reclamos formulados en el recurso planteado, de modo que no se deje de resolver ninguno. Más bien el examen integral del fallo implica un control no meramente formal, sino substancial, de modo que hace referencia al contenido el examen que se lleve a cabo. Téngase en cuenta que “integral” significa “total” … En este mismo sentido, se dice que “integral” se aplica a lo que comprende todas las partes de la cosa de que se trata..”</w:t>
      </w:r>
    </w:p>
  </w:footnote>
  <w:footnote w:id="491">
    <w:p w14:paraId="0AD0D895"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Así: Pastor, p. 164 s. </w:t>
      </w:r>
    </w:p>
  </w:footnote>
  <w:footnote w:id="492">
    <w:p w14:paraId="091181A2"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Paeffgen, p. 90. Vid. asimismo Pastor, Casación, p. 166.</w:t>
      </w:r>
    </w:p>
  </w:footnote>
  <w:footnote w:id="493">
    <w:p w14:paraId="7FA6E27B" w14:textId="77777777" w:rsidR="00E87246" w:rsidRPr="0045124B" w:rsidRDefault="00E87246" w:rsidP="0045124B">
      <w:pPr>
        <w:pStyle w:val="Textonotapie"/>
        <w:jc w:val="both"/>
        <w:rPr>
          <w:rFonts w:ascii="Palatino Linotype" w:hAnsi="Palatino Linotype"/>
          <w:sz w:val="18"/>
          <w:szCs w:val="18"/>
          <w:lang w:val="de-DE"/>
        </w:rPr>
      </w:pPr>
      <w:r w:rsidRPr="0045124B">
        <w:rPr>
          <w:rStyle w:val="Refdenotaalpie"/>
          <w:rFonts w:ascii="Palatino Linotype" w:hAnsi="Palatino Linotype"/>
          <w:sz w:val="18"/>
          <w:szCs w:val="18"/>
        </w:rPr>
        <w:footnoteRef/>
      </w:r>
      <w:r w:rsidRPr="0045124B">
        <w:rPr>
          <w:rFonts w:ascii="Palatino Linotype" w:hAnsi="Palatino Linotype"/>
          <w:sz w:val="18"/>
          <w:szCs w:val="18"/>
          <w:lang w:val="de-DE"/>
        </w:rPr>
        <w:t xml:space="preserve"> Paeffgen, p. 90.</w:t>
      </w:r>
    </w:p>
  </w:footnote>
  <w:footnote w:id="494">
    <w:p w14:paraId="404B73EF"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Paeffgen, p. 91 y pie de página 125. </w:t>
      </w:r>
    </w:p>
  </w:footnote>
  <w:footnote w:id="495">
    <w:p w14:paraId="29AB764F" w14:textId="77777777" w:rsidR="00E87246" w:rsidRPr="0045124B" w:rsidRDefault="00E87246" w:rsidP="0045124B">
      <w:pPr>
        <w:pStyle w:val="Textonotapie"/>
        <w:jc w:val="both"/>
        <w:rPr>
          <w:rFonts w:ascii="Palatino Linotype" w:hAnsi="Palatino Linotype"/>
          <w:sz w:val="18"/>
          <w:szCs w:val="18"/>
          <w:lang w:val="en-US"/>
        </w:rPr>
      </w:pPr>
      <w:r w:rsidRPr="0045124B">
        <w:rPr>
          <w:rStyle w:val="Refdenotaalpie"/>
          <w:rFonts w:ascii="Palatino Linotype" w:hAnsi="Palatino Linotype"/>
          <w:sz w:val="18"/>
          <w:szCs w:val="18"/>
        </w:rPr>
        <w:footnoteRef/>
      </w:r>
      <w:r w:rsidRPr="0045124B">
        <w:rPr>
          <w:rFonts w:ascii="Palatino Linotype" w:hAnsi="Palatino Linotype"/>
          <w:sz w:val="18"/>
          <w:szCs w:val="18"/>
          <w:lang w:val="en-US"/>
        </w:rPr>
        <w:t xml:space="preserve"> Maier, p.p. 484-485. </w:t>
      </w:r>
    </w:p>
  </w:footnote>
  <w:footnote w:id="496">
    <w:p w14:paraId="31E6906A" w14:textId="77777777" w:rsidR="00E87246" w:rsidRPr="0045124B" w:rsidRDefault="00E87246" w:rsidP="0045124B">
      <w:pPr>
        <w:pStyle w:val="Textonotapie"/>
        <w:jc w:val="both"/>
        <w:rPr>
          <w:rFonts w:ascii="Palatino Linotype" w:hAnsi="Palatino Linotype"/>
          <w:sz w:val="18"/>
          <w:szCs w:val="18"/>
          <w:lang w:val="en-US"/>
        </w:rPr>
      </w:pPr>
      <w:r w:rsidRPr="0045124B">
        <w:rPr>
          <w:rStyle w:val="Refdenotaalpie"/>
          <w:rFonts w:ascii="Palatino Linotype" w:hAnsi="Palatino Linotype"/>
          <w:sz w:val="18"/>
          <w:szCs w:val="18"/>
        </w:rPr>
        <w:footnoteRef/>
      </w:r>
      <w:r w:rsidRPr="0045124B">
        <w:rPr>
          <w:rFonts w:ascii="Palatino Linotype" w:hAnsi="Palatino Linotype"/>
          <w:sz w:val="18"/>
          <w:szCs w:val="18"/>
          <w:lang w:val="en-US"/>
        </w:rPr>
        <w:t xml:space="preserve"> Maier, p. 709. </w:t>
      </w:r>
    </w:p>
  </w:footnote>
  <w:footnote w:id="497">
    <w:p w14:paraId="753EF292"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Llobet, p. 683. </w:t>
      </w:r>
    </w:p>
  </w:footnote>
  <w:footnote w:id="498">
    <w:p w14:paraId="0AECB07F"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Esa norma señala, en lo que interesa, lo siguiente: “</w:t>
      </w:r>
      <w:r w:rsidRPr="0045124B">
        <w:rPr>
          <w:rFonts w:ascii="Palatino Linotype" w:hAnsi="Palatino Linotype"/>
          <w:i/>
          <w:sz w:val="18"/>
          <w:szCs w:val="18"/>
        </w:rPr>
        <w:t>Artículo 466 bis.- Juicio de reenvío. … El Ministerio Público, el querellante y el actor civil no podrán formular recurso de casación contra la sentencia que se produzca en el juicio de reenvío que reitere la absolución del imputado dispuesta en el primer juicio, pero sí podrán hacerlo en lo relativo a la acción civil, la restitución y las costas.”</w:t>
      </w:r>
    </w:p>
  </w:footnote>
  <w:footnote w:id="499">
    <w:p w14:paraId="353BA984"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En ese voto señaló la Sala Constitucional:  </w:t>
      </w:r>
      <w:r w:rsidRPr="0045124B">
        <w:rPr>
          <w:rFonts w:ascii="Palatino Linotype" w:hAnsi="Palatino Linotype"/>
          <w:i/>
          <w:sz w:val="18"/>
          <w:szCs w:val="18"/>
        </w:rPr>
        <w:t>“… tal limitación -es nuestro: del Ministerio Público, del querellante y del actor civil de la posibilidad de acudir una segunda vez a casación- está estrechamente relacionada con un ejercicio razonable y proporcional de la potestad represiva del Estado, pues el ejercicio de esta poder, no puede mantenerse de forma indefinida, hasta lograr el dictado de una sentencia condenatoria. Nótese que la cuestión de fondo va más allá de un asunto de política criminal, no se trata simplemente que el legislador en un momento dado incluyó la limitación, pero, posteriormente, optó por suprimirla. Sino que una materia tan delicada como lo es el ius puniendi estatal, no puede quedar librada al legislador ordinario. De los principios constitucionales que consagra nuestra Carta Magna, particularmente el principio de seguridad jurídica, se puede inferir la necesidad que el ius puniendi del Estado se encuentre limitado, una de las formas de hacerlo es, justamente, impidiendo acudir una segunda vez a casación, cuando se reitere la absolutoria. El Estado no puede actuar como perseguidor ad infinitum… En todas estas reglas que se han citado, se aprecia que los poderes ejercidos en el proceso penal, requieren límites precisos, no pueden ejercerse sin una limitación razonable. Es indudable que la posibilidad de impugnar un fallo absolutorio, sin ninguna limitación, se convierte en un exceso que contraviene los límites que como principio preside el derecho de la Constitución, según se mencionó…Por ello, en tanto la norma impugnada implicó la derogatoria de una regla que limitaba el ius puniendi, expresado en el poder de persecución, se contraviene el principio de seguridad jurídica y el de limitación a la potestad represiva del Estado, lesionándose, por esta razón, el derecho de la Constitución”.</w:t>
      </w:r>
    </w:p>
  </w:footnote>
  <w:footnote w:id="500">
    <w:p w14:paraId="4CE2FB54"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w:t>
      </w:r>
      <w:r w:rsidRPr="0045124B">
        <w:rPr>
          <w:rFonts w:ascii="Palatino Linotype" w:hAnsi="Palatino Linotype"/>
          <w:i/>
          <w:sz w:val="18"/>
          <w:szCs w:val="18"/>
        </w:rPr>
        <w:t>“…como la norma restablecida sólo se refiere al recurso de casación, lo allí previsto no puede extenderse al recurso de apelación. Conforme al sentido literal de la norma que se revive, la limitación estaba prevista sólo para la casación, y no para la apelación, pues la apelación fue incorporada hasta el año 2011 y la norma que revive esta limitación a la casación data del año 2006. Por ello, la norma revive la limitación solo para el recurso extraordinario de casación, en razón de que la norma estaba prevista originalmente solo para esta, pues la apelación en ese momento no existía (…)”</w:t>
      </w:r>
    </w:p>
  </w:footnote>
  <w:footnote w:id="501">
    <w:p w14:paraId="3AD09F35" w14:textId="77777777" w:rsidR="00E87246" w:rsidRPr="0045124B" w:rsidRDefault="00E87246" w:rsidP="0045124B">
      <w:pPr>
        <w:pStyle w:val="Textonotapie"/>
        <w:jc w:val="both"/>
        <w:rPr>
          <w:rFonts w:ascii="Palatino Linotype" w:hAnsi="Palatino Linotype"/>
          <w:sz w:val="18"/>
          <w:szCs w:val="18"/>
        </w:rPr>
      </w:pPr>
      <w:r w:rsidRPr="0045124B">
        <w:rPr>
          <w:rStyle w:val="Refdenotaalpie"/>
          <w:rFonts w:ascii="Palatino Linotype" w:hAnsi="Palatino Linotype"/>
          <w:sz w:val="18"/>
          <w:szCs w:val="18"/>
        </w:rPr>
        <w:footnoteRef/>
      </w:r>
      <w:r w:rsidRPr="0045124B">
        <w:rPr>
          <w:rFonts w:ascii="Palatino Linotype" w:hAnsi="Palatino Linotype"/>
          <w:sz w:val="18"/>
          <w:szCs w:val="18"/>
        </w:rPr>
        <w:t xml:space="preserve"> Llobet, p. 683.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2C94E" w14:textId="77777777" w:rsidR="00E87246" w:rsidRDefault="00E87246" w:rsidP="006D6B49">
    <w:pPr>
      <w:pStyle w:val="Encabezado"/>
      <w:pBdr>
        <w:bottom w:val="single" w:sz="4" w:space="1" w:color="auto"/>
      </w:pBdr>
      <w:jc w:val="center"/>
      <w:rPr>
        <w:sz w:val="26"/>
        <w:szCs w:val="26"/>
      </w:rPr>
    </w:pPr>
  </w:p>
  <w:p w14:paraId="3B7179E5" w14:textId="77777777" w:rsidR="00E87246" w:rsidRPr="003920ED" w:rsidRDefault="00E87246" w:rsidP="006D6B49">
    <w:pPr>
      <w:pStyle w:val="Encabezado"/>
      <w:pBdr>
        <w:bottom w:val="single" w:sz="4" w:space="1" w:color="auto"/>
      </w:pBdr>
      <w:jc w:val="center"/>
      <w:rPr>
        <w:rFonts w:ascii="Palatino Linotype" w:hAnsi="Palatino Linotype"/>
        <w:sz w:val="20"/>
        <w:szCs w:val="20"/>
      </w:rPr>
    </w:pPr>
    <w:r w:rsidRPr="003920ED">
      <w:rPr>
        <w:rFonts w:ascii="Palatino Linotype" w:hAnsi="Palatino Linotype"/>
        <w:sz w:val="20"/>
        <w:szCs w:val="20"/>
      </w:rPr>
      <w:t>Instituto Costarricense de Derecho Procesal</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28D01" w14:textId="22F4DD85" w:rsidR="00E87246" w:rsidRPr="006469CD" w:rsidRDefault="00E87246" w:rsidP="000117D4">
    <w:pPr>
      <w:pStyle w:val="Encabezado"/>
      <w:pBdr>
        <w:bottom w:val="single" w:sz="4" w:space="1" w:color="auto"/>
      </w:pBdr>
      <w:jc w:val="center"/>
      <w:rPr>
        <w:sz w:val="20"/>
        <w:szCs w:val="20"/>
      </w:rPr>
    </w:pPr>
    <w:r w:rsidRPr="00C11F9F">
      <w:rPr>
        <w:rFonts w:ascii="Palatino Linotype" w:eastAsia="Times New Roman" w:hAnsi="Palatino Linotype" w:cs="Times New Roman"/>
      </w:rPr>
      <w:t>Carlos A</w:t>
    </w:r>
    <w:r>
      <w:rPr>
        <w:rFonts w:ascii="Palatino Linotype" w:eastAsia="Times New Roman" w:hAnsi="Palatino Linotype" w:cs="Times New Roman"/>
      </w:rPr>
      <w:t>.</w:t>
    </w:r>
    <w:r w:rsidRPr="00C11F9F">
      <w:rPr>
        <w:rFonts w:ascii="Palatino Linotype" w:eastAsia="Times New Roman" w:hAnsi="Palatino Linotype" w:cs="Times New Roman"/>
      </w:rPr>
      <w:t xml:space="preserve"> Picado V</w:t>
    </w:r>
    <w:r w:rsidRPr="006469CD">
      <w:rPr>
        <w:rFonts w:ascii="Palatino Linotype" w:hAnsi="Palatino Linotype" w:cs="Arial"/>
        <w:sz w:val="20"/>
        <w:szCs w:val="20"/>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38C01" w14:textId="39B21256" w:rsidR="00E87246" w:rsidRPr="00C4535F" w:rsidRDefault="00E87246" w:rsidP="000117D4">
    <w:pPr>
      <w:pStyle w:val="Encabezado"/>
      <w:pBdr>
        <w:bottom w:val="single" w:sz="4" w:space="1" w:color="auto"/>
      </w:pBdr>
      <w:jc w:val="center"/>
      <w:rPr>
        <w:sz w:val="20"/>
        <w:szCs w:val="20"/>
      </w:rPr>
    </w:pPr>
    <w:r w:rsidRPr="00C4535F">
      <w:rPr>
        <w:rFonts w:ascii="Palatino Linotype" w:hAnsi="Palatino Linotype" w:cs="Times New Roman"/>
        <w:bCs/>
        <w:sz w:val="20"/>
        <w:szCs w:val="20"/>
      </w:rPr>
      <w:t>Carlos J. Carrera Castillo</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8307A" w14:textId="5222960E" w:rsidR="00E87246" w:rsidRPr="006469CD" w:rsidRDefault="00E87246" w:rsidP="000117D4">
    <w:pPr>
      <w:pStyle w:val="Encabezado"/>
      <w:pBdr>
        <w:bottom w:val="single" w:sz="4" w:space="1" w:color="auto"/>
      </w:pBdr>
      <w:jc w:val="center"/>
      <w:rPr>
        <w:rFonts w:ascii="Palatino Linotype" w:hAnsi="Palatino Linotype"/>
        <w:sz w:val="20"/>
        <w:szCs w:val="20"/>
      </w:rPr>
    </w:pPr>
    <w:r>
      <w:rPr>
        <w:rFonts w:ascii="Palatino Linotype" w:hAnsi="Palatino Linotype"/>
        <w:sz w:val="20"/>
        <w:szCs w:val="20"/>
        <w:shd w:val="clear" w:color="auto" w:fill="FFFFFF"/>
        <w:lang w:val="es-ES_tradnl"/>
      </w:rPr>
      <w:t>Sergio Artavia B</w:t>
    </w:r>
    <w:r w:rsidRPr="006469CD">
      <w:rPr>
        <w:rFonts w:ascii="Palatino Linotype" w:hAnsi="Palatino Linotype"/>
        <w:sz w:val="20"/>
        <w:szCs w:val="20"/>
        <w:shd w:val="clear" w:color="auto" w:fill="FFFFFF"/>
        <w:lang w:val="es-ES_tradnl"/>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3AC96" w14:textId="7EECB291" w:rsidR="00E87246" w:rsidRPr="006469CD" w:rsidRDefault="00E87246" w:rsidP="000117D4">
    <w:pPr>
      <w:pStyle w:val="Encabezado"/>
      <w:pBdr>
        <w:bottom w:val="single" w:sz="4" w:space="1" w:color="auto"/>
      </w:pBdr>
      <w:jc w:val="center"/>
      <w:rPr>
        <w:rFonts w:ascii="Palatino Linotype" w:hAnsi="Palatino Linotype"/>
        <w:sz w:val="20"/>
        <w:szCs w:val="20"/>
      </w:rPr>
    </w:pPr>
    <w:r>
      <w:rPr>
        <w:rFonts w:ascii="Palatino Linotype" w:hAnsi="Palatino Linotype"/>
        <w:sz w:val="20"/>
        <w:szCs w:val="20"/>
      </w:rPr>
      <w:t>Katherine Calvo 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C9699" w14:textId="6AFAB7B8" w:rsidR="00E87246" w:rsidRPr="00D141D3" w:rsidRDefault="00E87246" w:rsidP="00105650">
    <w:pPr>
      <w:pStyle w:val="Encabezado"/>
      <w:pBdr>
        <w:bottom w:val="single" w:sz="4" w:space="1" w:color="auto"/>
      </w:pBdr>
      <w:jc w:val="center"/>
      <w:rPr>
        <w:rFonts w:ascii="Palatino Linotype" w:hAnsi="Palatino Linotype"/>
        <w:sz w:val="20"/>
        <w:szCs w:val="20"/>
      </w:rPr>
    </w:pPr>
    <w:r>
      <w:rPr>
        <w:rFonts w:ascii="Palatino Linotype" w:hAnsi="Palatino Linotype"/>
        <w:sz w:val="20"/>
        <w:szCs w:val="20"/>
        <w:shd w:val="clear" w:color="auto" w:fill="FFFFFF"/>
        <w:lang w:val="es-ES_tradnl"/>
      </w:rPr>
      <w:t>Nohelia Vega C.</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621EC" w14:textId="29840A0F" w:rsidR="00E87246" w:rsidRPr="00D141D3" w:rsidRDefault="009A0252" w:rsidP="00DC6396">
    <w:pPr>
      <w:pStyle w:val="Encabezado"/>
      <w:pBdr>
        <w:bottom w:val="single" w:sz="4" w:space="1" w:color="auto"/>
      </w:pBdr>
      <w:jc w:val="center"/>
      <w:rPr>
        <w:rFonts w:ascii="Palatino Linotype" w:eastAsia="Times New Roman" w:hAnsi="Palatino Linotype" w:cs="Arial"/>
        <w:bCs/>
        <w:color w:val="000000"/>
        <w:sz w:val="20"/>
        <w:szCs w:val="20"/>
        <w:lang w:eastAsia="es-ES"/>
      </w:rPr>
    </w:pPr>
    <w:r>
      <w:rPr>
        <w:rFonts w:ascii="Palatino Linotype" w:eastAsia="Times New Roman" w:hAnsi="Palatino Linotype" w:cs="Arial"/>
        <w:bCs/>
        <w:color w:val="000000"/>
        <w:sz w:val="20"/>
        <w:szCs w:val="20"/>
        <w:lang w:eastAsia="es-ES"/>
      </w:rPr>
      <w:t>Roberto Yglesias M. y Juan C. Vásquez 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EEE91" w14:textId="77777777" w:rsidR="00E87246" w:rsidRPr="00D141D3" w:rsidRDefault="00E87246" w:rsidP="00DC6396">
    <w:pPr>
      <w:pStyle w:val="Encabezado"/>
      <w:pBdr>
        <w:bottom w:val="single" w:sz="4" w:space="1" w:color="auto"/>
      </w:pBdr>
      <w:jc w:val="center"/>
      <w:rPr>
        <w:sz w:val="20"/>
        <w:szCs w:val="20"/>
      </w:rPr>
    </w:pPr>
    <w:r w:rsidRPr="00D141D3">
      <w:rPr>
        <w:rFonts w:ascii="Palatino Linotype" w:eastAsia="Times New Roman" w:hAnsi="Palatino Linotype" w:cs="Arial"/>
        <w:bCs/>
        <w:color w:val="000000"/>
        <w:sz w:val="20"/>
        <w:szCs w:val="20"/>
        <w:lang w:eastAsia="es-ES"/>
      </w:rPr>
      <w:t>IX Congreso Derecho Procesal del ICDP</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88D59" w14:textId="4E8A68B0" w:rsidR="009A0252" w:rsidRPr="00D141D3" w:rsidRDefault="009A0252" w:rsidP="00DC6396">
    <w:pPr>
      <w:pStyle w:val="Encabezado"/>
      <w:pBdr>
        <w:bottom w:val="single" w:sz="4" w:space="1" w:color="auto"/>
      </w:pBdr>
      <w:jc w:val="center"/>
      <w:rPr>
        <w:rFonts w:ascii="Palatino Linotype" w:eastAsia="Times New Roman" w:hAnsi="Palatino Linotype" w:cs="Arial"/>
        <w:bCs/>
        <w:color w:val="000000"/>
        <w:sz w:val="20"/>
        <w:szCs w:val="20"/>
        <w:lang w:eastAsia="es-ES"/>
      </w:rPr>
    </w:pPr>
    <w:r>
      <w:rPr>
        <w:rFonts w:ascii="Palatino Linotype" w:eastAsia="Times New Roman" w:hAnsi="Palatino Linotype" w:cs="Arial"/>
        <w:bCs/>
        <w:color w:val="000000"/>
        <w:sz w:val="20"/>
        <w:szCs w:val="20"/>
        <w:lang w:eastAsia="es-ES"/>
      </w:rPr>
      <w:t>Luis A. Ortiz Z-</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99BC2" w14:textId="4109EEC2" w:rsidR="00E87246" w:rsidRPr="00D141D3" w:rsidRDefault="00E87246" w:rsidP="00DC6396">
    <w:pPr>
      <w:pStyle w:val="Encabezado"/>
      <w:pBdr>
        <w:bottom w:val="single" w:sz="4" w:space="1" w:color="auto"/>
      </w:pBdr>
      <w:jc w:val="center"/>
      <w:rPr>
        <w:rFonts w:ascii="Palatino Linotype" w:eastAsia="Times New Roman" w:hAnsi="Palatino Linotype" w:cs="Arial"/>
        <w:bCs/>
        <w:color w:val="000000"/>
        <w:sz w:val="20"/>
        <w:szCs w:val="20"/>
        <w:lang w:eastAsia="es-ES"/>
      </w:rPr>
    </w:pPr>
    <w:r>
      <w:rPr>
        <w:rFonts w:ascii="Palatino Linotype" w:hAnsi="Palatino Linotype"/>
        <w:sz w:val="20"/>
        <w:szCs w:val="20"/>
      </w:rPr>
      <w:t>Hubert Fernández 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53D2" w14:textId="2BC59A50" w:rsidR="00E87246" w:rsidRPr="00D141D3" w:rsidRDefault="00E87246" w:rsidP="00DC6396">
    <w:pPr>
      <w:pStyle w:val="Encabezado"/>
      <w:pBdr>
        <w:bottom w:val="single" w:sz="4" w:space="1" w:color="auto"/>
      </w:pBdr>
      <w:jc w:val="center"/>
      <w:rPr>
        <w:rFonts w:ascii="Palatino Linotype" w:eastAsia="Times New Roman" w:hAnsi="Palatino Linotype" w:cs="Arial"/>
        <w:bCs/>
        <w:color w:val="000000"/>
        <w:sz w:val="20"/>
        <w:szCs w:val="20"/>
        <w:lang w:eastAsia="es-ES"/>
      </w:rPr>
    </w:pPr>
    <w:r w:rsidRPr="00D141D3">
      <w:rPr>
        <w:rFonts w:ascii="Palatino Linotype" w:hAnsi="Palatino Linotype"/>
        <w:sz w:val="20"/>
        <w:szCs w:val="20"/>
        <w:shd w:val="clear" w:color="auto" w:fill="FFFFFF"/>
        <w:lang w:val="es-ES_tradnl"/>
      </w:rPr>
      <w:t>José R. Garita N</w:t>
    </w:r>
    <w:r>
      <w:rPr>
        <w:rFonts w:ascii="Palatino Linotype" w:hAnsi="Palatino Linotype"/>
        <w:sz w:val="20"/>
        <w:szCs w:val="20"/>
        <w:shd w:val="clear" w:color="auto" w:fill="FFFFFF"/>
        <w:lang w:val="es-ES_tradnl"/>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ED5C0" w14:textId="77777777" w:rsidR="00E87246" w:rsidRDefault="00E87246">
    <w:pPr>
      <w:pStyle w:val="Encabezado"/>
    </w:pPr>
  </w:p>
  <w:p w14:paraId="112B0430" w14:textId="77777777" w:rsidR="00E87246" w:rsidRDefault="00E87246">
    <w:pPr>
      <w:pStyle w:val="Encabezad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F8DAF" w14:textId="27155292" w:rsidR="00E87246" w:rsidRPr="00214F2D" w:rsidRDefault="00E87246" w:rsidP="00FD1BC8">
    <w:pPr>
      <w:pStyle w:val="Encabezado"/>
      <w:pBdr>
        <w:bottom w:val="single" w:sz="4" w:space="1" w:color="auto"/>
      </w:pBdr>
      <w:jc w:val="center"/>
      <w:rPr>
        <w:rFonts w:ascii="Palatino Linotype" w:eastAsia="Times New Roman" w:hAnsi="Palatino Linotype" w:cs="Arial"/>
        <w:bCs/>
        <w:color w:val="000000"/>
        <w:sz w:val="20"/>
        <w:szCs w:val="20"/>
        <w:lang w:eastAsia="es-ES"/>
      </w:rPr>
    </w:pPr>
    <w:r w:rsidRPr="00D141D3">
      <w:rPr>
        <w:rFonts w:ascii="Palatino Linotype" w:hAnsi="Palatino Linotype"/>
        <w:sz w:val="20"/>
        <w:szCs w:val="20"/>
      </w:rPr>
      <w:t>Adrián Torrealba N</w:t>
    </w:r>
    <w:r>
      <w:rPr>
        <w:rFonts w:ascii="Palatino Linotype" w:hAnsi="Palatino Linotype"/>
        <w:sz w:val="20"/>
        <w:szCs w:val="20"/>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76E67" w14:textId="77777777" w:rsidR="00E87246" w:rsidRPr="00214F2D" w:rsidRDefault="00E87246" w:rsidP="00DC6396">
    <w:pPr>
      <w:pStyle w:val="Encabezado"/>
      <w:pBdr>
        <w:bottom w:val="single" w:sz="4" w:space="1" w:color="auto"/>
      </w:pBdr>
      <w:jc w:val="center"/>
      <w:rPr>
        <w:sz w:val="20"/>
        <w:szCs w:val="20"/>
      </w:rPr>
    </w:pPr>
    <w:r w:rsidRPr="00214F2D">
      <w:rPr>
        <w:rFonts w:ascii="Palatino Linotype" w:eastAsia="Times New Roman" w:hAnsi="Palatino Linotype" w:cs="Arial"/>
        <w:bCs/>
        <w:color w:val="000000"/>
        <w:sz w:val="20"/>
        <w:szCs w:val="20"/>
        <w:lang w:eastAsia="es-ES"/>
      </w:rPr>
      <w:t>IX Congreso Derecho Procesal del ICDP</w:t>
    </w:r>
  </w:p>
  <w:p w14:paraId="1C177505" w14:textId="070A0611" w:rsidR="00E87246" w:rsidRPr="002C7665" w:rsidRDefault="00E87246" w:rsidP="00DC6396">
    <w:pPr>
      <w:pStyle w:val="Encabezado"/>
      <w:jc w:val="center"/>
      <w:rPr>
        <w:rFonts w:ascii="Times New Roman" w:eastAsiaTheme="majorEastAsia" w:hAnsi="Times New Roman" w:cs="Times New Roman"/>
        <w:sz w:val="20"/>
        <w:szCs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C476D" w14:textId="60C36D80" w:rsidR="00E87246" w:rsidRDefault="00E87246" w:rsidP="000117D4">
    <w:pPr>
      <w:pStyle w:val="Encabezado"/>
      <w:pBdr>
        <w:bottom w:val="single" w:sz="4" w:space="1" w:color="auto"/>
      </w:pBdr>
      <w:jc w:val="center"/>
      <w:rPr>
        <w:rFonts w:ascii="Palatino Linotype" w:hAnsi="Palatino Linotype" w:cs="Times New Roman"/>
        <w:lang w:val="es-ES_tradnl"/>
      </w:rPr>
    </w:pPr>
    <w:r w:rsidRPr="00214F2D">
      <w:rPr>
        <w:rFonts w:ascii="Palatino Linotype" w:hAnsi="Palatino Linotype" w:cs="Times New Roman"/>
        <w:lang w:val="es-ES_tradnl"/>
      </w:rPr>
      <w:t>J</w:t>
    </w:r>
    <w:r>
      <w:rPr>
        <w:rFonts w:ascii="Palatino Linotype" w:hAnsi="Palatino Linotype" w:cs="Times New Roman"/>
        <w:lang w:val="es-ES_tradnl"/>
      </w:rPr>
      <w:t>avier Fallas V.</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E3FC7" w14:textId="77777777" w:rsidR="00E87246" w:rsidRPr="00A163DA" w:rsidRDefault="00E87246" w:rsidP="00DC6396">
    <w:pPr>
      <w:pStyle w:val="Encabezado"/>
      <w:pBdr>
        <w:bottom w:val="single" w:sz="4" w:space="1" w:color="auto"/>
      </w:pBdr>
      <w:jc w:val="center"/>
    </w:pPr>
    <w:r w:rsidRPr="00A163DA">
      <w:rPr>
        <w:rFonts w:ascii="Palatino Linotype" w:eastAsia="Times New Roman" w:hAnsi="Palatino Linotype" w:cs="Arial"/>
        <w:bCs/>
        <w:color w:val="000000"/>
        <w:lang w:eastAsia="es-ES"/>
      </w:rPr>
      <w:t>IX Congreso Derecho Procesal del ICDP</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DABE1" w14:textId="7164ECB9" w:rsidR="00E87246" w:rsidRDefault="00E87246" w:rsidP="000117D4">
    <w:pPr>
      <w:pStyle w:val="Encabezado"/>
      <w:pBdr>
        <w:bottom w:val="single" w:sz="4" w:space="1" w:color="auto"/>
      </w:pBdr>
      <w:jc w:val="center"/>
      <w:rPr>
        <w:rFonts w:ascii="Palatino Linotype" w:hAnsi="Palatino Linotype" w:cs="Times New Roman"/>
        <w:lang w:val="es-ES_tradnl"/>
      </w:rPr>
    </w:pPr>
    <w:r w:rsidRPr="00214F2D">
      <w:rPr>
        <w:rFonts w:ascii="Palatino Linotype" w:eastAsia="Times New Roman" w:hAnsi="Palatino Linotype" w:cs="Arial"/>
        <w:bCs/>
        <w:color w:val="000000"/>
        <w:sz w:val="20"/>
        <w:szCs w:val="20"/>
        <w:lang w:eastAsia="es-ES"/>
      </w:rPr>
      <w:t>Enrique N. Ulate Ch</w:t>
    </w:r>
    <w:r>
      <w:rPr>
        <w:rFonts w:ascii="Palatino Linotype" w:eastAsia="Times New Roman" w:hAnsi="Palatino Linotype" w:cs="Arial"/>
        <w:bCs/>
        <w:color w:val="000000"/>
        <w:sz w:val="20"/>
        <w:szCs w:val="20"/>
        <w:lang w:eastAsia="es-ES"/>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BD312" w14:textId="4A58D782" w:rsidR="00E87246" w:rsidRDefault="00E87246" w:rsidP="000117D4">
    <w:pPr>
      <w:pStyle w:val="Encabezado"/>
      <w:pBdr>
        <w:bottom w:val="single" w:sz="4" w:space="1" w:color="auto"/>
      </w:pBdr>
      <w:jc w:val="center"/>
      <w:rPr>
        <w:rFonts w:ascii="Palatino Linotype" w:hAnsi="Palatino Linotype" w:cs="Times New Roman"/>
        <w:lang w:val="es-ES_tradnl"/>
      </w:rPr>
    </w:pPr>
    <w:r w:rsidRPr="00214F2D">
      <w:rPr>
        <w:rFonts w:ascii="Palatino Linotype" w:hAnsi="Palatino Linotype" w:cs="Times New Roman"/>
        <w:lang w:val="es-ES_tradnl"/>
      </w:rPr>
      <w:t>Jeffry J</w:t>
    </w:r>
    <w:r>
      <w:rPr>
        <w:rFonts w:ascii="Palatino Linotype" w:hAnsi="Palatino Linotype" w:cs="Times New Roman"/>
        <w:lang w:val="es-ES_tradnl"/>
      </w:rPr>
      <w:t>.</w:t>
    </w:r>
    <w:r w:rsidRPr="00214F2D">
      <w:rPr>
        <w:rFonts w:ascii="Palatino Linotype" w:hAnsi="Palatino Linotype" w:cs="Times New Roman"/>
        <w:lang w:val="es-ES_tradnl"/>
      </w:rPr>
      <w:t xml:space="preserve"> Mora S</w:t>
    </w:r>
    <w:r>
      <w:rPr>
        <w:rFonts w:ascii="Palatino Linotype" w:hAnsi="Palatino Linotype" w:cs="Times New Roman"/>
        <w:lang w:val="es-ES_tradnl"/>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5982B" w14:textId="77777777" w:rsidR="00E87246" w:rsidRPr="00A163DA" w:rsidRDefault="00E87246" w:rsidP="00DC6396">
    <w:pPr>
      <w:pStyle w:val="Encabezado"/>
      <w:pBdr>
        <w:bottom w:val="single" w:sz="4" w:space="1" w:color="auto"/>
      </w:pBdr>
      <w:jc w:val="center"/>
    </w:pPr>
    <w:r w:rsidRPr="00A163DA">
      <w:rPr>
        <w:rFonts w:ascii="Palatino Linotype" w:eastAsia="Times New Roman" w:hAnsi="Palatino Linotype" w:cs="Arial"/>
        <w:bCs/>
        <w:color w:val="000000"/>
        <w:lang w:eastAsia="es-ES"/>
      </w:rPr>
      <w:t>IX Congreso Derecho Procesal del ICDP</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3CAC1" w14:textId="5EF22444" w:rsidR="00E87246" w:rsidRPr="0045124B" w:rsidRDefault="00E87246" w:rsidP="000117D4">
    <w:pPr>
      <w:pStyle w:val="Encabezado"/>
      <w:pBdr>
        <w:bottom w:val="single" w:sz="4" w:space="1" w:color="auto"/>
      </w:pBdr>
      <w:jc w:val="center"/>
      <w:rPr>
        <w:rFonts w:ascii="Palatino Linotype" w:hAnsi="Palatino Linotype" w:cs="Times New Roman"/>
        <w:lang w:val="es-ES_tradnl"/>
      </w:rPr>
    </w:pPr>
    <w:r w:rsidRPr="0045124B">
      <w:rPr>
        <w:rFonts w:ascii="Palatino Linotype" w:eastAsia="Arial" w:hAnsi="Palatino Linotype" w:cs="Arial"/>
        <w:color w:val="000000"/>
        <w:lang w:val="es-ES_tradnl" w:eastAsia="es-ES_tradnl"/>
      </w:rPr>
      <w:t>Erick Gatgens G.</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626D8" w14:textId="77777777" w:rsidR="00E87246" w:rsidRPr="00A163DA" w:rsidRDefault="00E87246" w:rsidP="00DC6396">
    <w:pPr>
      <w:pStyle w:val="Encabezado"/>
      <w:pBdr>
        <w:bottom w:val="single" w:sz="4" w:space="1" w:color="auto"/>
      </w:pBdr>
      <w:jc w:val="center"/>
    </w:pPr>
    <w:r w:rsidRPr="00A163DA">
      <w:rPr>
        <w:rFonts w:ascii="Palatino Linotype" w:eastAsia="Times New Roman" w:hAnsi="Palatino Linotype" w:cs="Arial"/>
        <w:bCs/>
        <w:color w:val="000000"/>
        <w:lang w:eastAsia="es-ES"/>
      </w:rPr>
      <w:t>IX Congreso Derecho Procesal del ICDP</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E4A62" w14:textId="05C1D230" w:rsidR="00E87246" w:rsidRPr="00912169" w:rsidRDefault="00E87246" w:rsidP="000117D4">
    <w:pPr>
      <w:pStyle w:val="Encabezado"/>
      <w:pBdr>
        <w:bottom w:val="single" w:sz="4" w:space="1" w:color="auto"/>
      </w:pBdr>
      <w:jc w:val="center"/>
      <w:rPr>
        <w:rFonts w:ascii="Palatino Linotype" w:hAnsi="Palatino Linotype" w:cs="Times New Roman"/>
        <w:sz w:val="20"/>
        <w:szCs w:val="20"/>
        <w:lang w:val="es-ES_tradnl"/>
      </w:rPr>
    </w:pPr>
    <w:r w:rsidRPr="00912169">
      <w:rPr>
        <w:rFonts w:ascii="Palatino Linotype" w:hAnsi="Palatino Linotype" w:cs="Arial"/>
        <w:sz w:val="20"/>
        <w:szCs w:val="20"/>
      </w:rPr>
      <w:t>Rafael Á</w:t>
    </w:r>
    <w:r>
      <w:rPr>
        <w:rFonts w:ascii="Palatino Linotype" w:hAnsi="Palatino Linotype" w:cs="Arial"/>
        <w:sz w:val="20"/>
        <w:szCs w:val="20"/>
      </w:rPr>
      <w:t>.</w:t>
    </w:r>
    <w:r w:rsidRPr="00912169">
      <w:rPr>
        <w:rFonts w:ascii="Palatino Linotype" w:hAnsi="Palatino Linotype" w:cs="Arial"/>
        <w:sz w:val="20"/>
        <w:szCs w:val="20"/>
      </w:rPr>
      <w:t xml:space="preserve"> Sanabria 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870A" w14:textId="4E49BE9F" w:rsidR="00E87246" w:rsidRPr="00D66245" w:rsidRDefault="00E87246" w:rsidP="000117D4">
    <w:pPr>
      <w:pStyle w:val="Encabezado"/>
      <w:pBdr>
        <w:bottom w:val="single" w:sz="4" w:space="1" w:color="auto"/>
      </w:pBdr>
      <w:jc w:val="center"/>
      <w:rPr>
        <w:sz w:val="20"/>
        <w:szCs w:val="20"/>
      </w:rPr>
    </w:pPr>
    <w:r>
      <w:rPr>
        <w:rFonts w:ascii="Palatino Linotype" w:hAnsi="Palatino Linotype"/>
        <w:sz w:val="20"/>
        <w:szCs w:val="20"/>
      </w:rPr>
      <w:t>Mauricio París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6D880" w14:textId="77777777" w:rsidR="00E87246" w:rsidRPr="00D66245" w:rsidRDefault="00E87246" w:rsidP="00DC6396">
    <w:pPr>
      <w:pStyle w:val="Encabezado"/>
      <w:pBdr>
        <w:bottom w:val="single" w:sz="4" w:space="1" w:color="auto"/>
      </w:pBdr>
      <w:jc w:val="center"/>
      <w:rPr>
        <w:sz w:val="20"/>
        <w:szCs w:val="20"/>
      </w:rPr>
    </w:pPr>
    <w:r w:rsidRPr="00D66245">
      <w:rPr>
        <w:rFonts w:ascii="Palatino Linotype" w:eastAsia="Times New Roman" w:hAnsi="Palatino Linotype" w:cs="Arial"/>
        <w:bCs/>
        <w:color w:val="000000"/>
        <w:sz w:val="20"/>
        <w:szCs w:val="20"/>
        <w:lang w:eastAsia="es-ES"/>
      </w:rPr>
      <w:t>IX Congreso Derecho Procesal del ICDP</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A6AFF" w14:textId="77777777" w:rsidR="00E87246" w:rsidRPr="00D66245" w:rsidRDefault="00E87246" w:rsidP="00CB0C30">
    <w:pPr>
      <w:pStyle w:val="Encabezado"/>
      <w:pBdr>
        <w:bottom w:val="single" w:sz="4" w:space="1" w:color="auto"/>
      </w:pBdr>
      <w:jc w:val="center"/>
      <w:rPr>
        <w:sz w:val="20"/>
        <w:szCs w:val="20"/>
      </w:rPr>
    </w:pPr>
    <w:r w:rsidRPr="00D66245">
      <w:rPr>
        <w:rFonts w:ascii="Palatino Linotype" w:eastAsia="Times New Roman" w:hAnsi="Palatino Linotype" w:cs="Arial"/>
        <w:bCs/>
        <w:color w:val="000000"/>
        <w:sz w:val="20"/>
        <w:szCs w:val="20"/>
        <w:lang w:eastAsia="es-ES"/>
      </w:rPr>
      <w:t>IX Congreso Derecho Procesal del ICDP</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B188C" w14:textId="77777777" w:rsidR="00E87246" w:rsidRPr="00D66245" w:rsidRDefault="00E87246" w:rsidP="000117D4">
    <w:pPr>
      <w:pStyle w:val="Encabezado"/>
      <w:pBdr>
        <w:bottom w:val="single" w:sz="4" w:space="1" w:color="auto"/>
      </w:pBdr>
      <w:jc w:val="center"/>
      <w:rPr>
        <w:sz w:val="20"/>
        <w:szCs w:val="20"/>
      </w:rPr>
    </w:pPr>
    <w:r>
      <w:rPr>
        <w:rFonts w:ascii="Palatino Linotype" w:hAnsi="Palatino Linotype"/>
        <w:sz w:val="20"/>
        <w:szCs w:val="20"/>
      </w:rPr>
      <w:t>Mauricio París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1C3EA" w14:textId="0CA19A50" w:rsidR="00E87246" w:rsidRPr="006469CD" w:rsidRDefault="00E87246" w:rsidP="000117D4">
    <w:pPr>
      <w:pStyle w:val="Encabezado"/>
      <w:pBdr>
        <w:bottom w:val="single" w:sz="4" w:space="1" w:color="auto"/>
      </w:pBdr>
      <w:jc w:val="center"/>
      <w:rPr>
        <w:sz w:val="20"/>
        <w:szCs w:val="20"/>
      </w:rPr>
    </w:pPr>
    <w:r>
      <w:rPr>
        <w:rFonts w:ascii="Palatino Linotype" w:hAnsi="Palatino Linotype" w:cs="Arial"/>
        <w:sz w:val="20"/>
        <w:szCs w:val="20"/>
      </w:rPr>
      <w:t>Kendall D. Ruiz J.</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FBD3" w14:textId="77777777" w:rsidR="00E87246" w:rsidRPr="006469CD" w:rsidRDefault="00E87246" w:rsidP="00DC6396">
    <w:pPr>
      <w:pStyle w:val="Encabezado"/>
      <w:pBdr>
        <w:bottom w:val="single" w:sz="4" w:space="1" w:color="auto"/>
      </w:pBdr>
      <w:jc w:val="center"/>
      <w:rPr>
        <w:sz w:val="20"/>
        <w:szCs w:val="20"/>
      </w:rPr>
    </w:pPr>
    <w:r w:rsidRPr="006469CD">
      <w:rPr>
        <w:rFonts w:ascii="Palatino Linotype" w:eastAsia="Times New Roman" w:hAnsi="Palatino Linotype" w:cs="Arial"/>
        <w:bCs/>
        <w:color w:val="000000"/>
        <w:sz w:val="20"/>
        <w:szCs w:val="20"/>
        <w:lang w:eastAsia="es-ES"/>
      </w:rPr>
      <w:t>IX Congreso Derecho Procesal del ICDP</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38C20" w14:textId="77777777" w:rsidR="00E87246" w:rsidRDefault="00E87246" w:rsidP="00622E7C">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15:restartNumberingAfterBreak="0">
    <w:nsid w:val="00000002"/>
    <w:multiLevelType w:val="multilevel"/>
    <w:tmpl w:val="00000002"/>
    <w:lvl w:ilvl="0">
      <w:start w:val="1"/>
      <w:numFmt w:val="bullet"/>
      <w:lvlText w:val=""/>
      <w:lvlJc w:val="left"/>
      <w:rPr>
        <w:rFonts w:ascii="Symbol" w:hAnsi="Symbol" w:cs="Symbol"/>
      </w:rPr>
    </w:lvl>
    <w:lvl w:ilvl="1">
      <w:start w:val="1"/>
      <w:numFmt w:val="bullet"/>
      <w:lvlText w:val="o"/>
      <w:lvlJc w:val="left"/>
      <w:rPr>
        <w:rFonts w:ascii="Arial" w:hAnsi="Arial" w:cs="Arial"/>
      </w:rPr>
    </w:lvl>
    <w:lvl w:ilvl="2">
      <w:start w:val="1"/>
      <w:numFmt w:val="bullet"/>
      <w:lvlText w:val=""/>
      <w:lvlJc w:val="left"/>
      <w:rPr>
        <w:rFonts w:ascii="Arial" w:hAnsi="Arial" w:cs="Arial"/>
      </w:rPr>
    </w:lvl>
    <w:lvl w:ilvl="3">
      <w:start w:val="1"/>
      <w:numFmt w:val="bullet"/>
      <w:lvlText w:val=""/>
      <w:lvlJc w:val="left"/>
      <w:rPr>
        <w:rFonts w:ascii="Symbol" w:hAnsi="Symbol" w:cs="Symbol"/>
      </w:rPr>
    </w:lvl>
    <w:lvl w:ilvl="4">
      <w:start w:val="1"/>
      <w:numFmt w:val="bullet"/>
      <w:lvlText w:val="o"/>
      <w:lvlJc w:val="left"/>
      <w:rPr>
        <w:rFonts w:ascii="Arial" w:hAnsi="Arial" w:cs="Arial"/>
      </w:rPr>
    </w:lvl>
    <w:lvl w:ilvl="5">
      <w:start w:val="1"/>
      <w:numFmt w:val="bullet"/>
      <w:lvlText w:val=""/>
      <w:lvlJc w:val="left"/>
      <w:rPr>
        <w:rFonts w:ascii="Arial" w:hAnsi="Arial" w:cs="Arial"/>
      </w:rPr>
    </w:lvl>
    <w:lvl w:ilvl="6">
      <w:start w:val="1"/>
      <w:numFmt w:val="bullet"/>
      <w:lvlText w:val=""/>
      <w:lvlJc w:val="left"/>
      <w:rPr>
        <w:rFonts w:ascii="Symbol" w:hAnsi="Symbol" w:cs="Symbol"/>
      </w:rPr>
    </w:lvl>
    <w:lvl w:ilvl="7">
      <w:start w:val="1"/>
      <w:numFmt w:val="bullet"/>
      <w:lvlText w:val="o"/>
      <w:lvlJc w:val="left"/>
      <w:rPr>
        <w:rFonts w:ascii="Arial" w:hAnsi="Arial" w:cs="Arial"/>
      </w:rPr>
    </w:lvl>
    <w:lvl w:ilvl="8">
      <w:start w:val="1"/>
      <w:numFmt w:val="bullet"/>
      <w:lvlText w:val=""/>
      <w:lvlJc w:val="left"/>
      <w:rPr>
        <w:rFonts w:ascii="Arial" w:hAnsi="Arial" w:cs="Arial"/>
      </w:rPr>
    </w:lvl>
  </w:abstractNum>
  <w:abstractNum w:abstractNumId="2" w15:restartNumberingAfterBreak="0">
    <w:nsid w:val="004D3E81"/>
    <w:multiLevelType w:val="hybridMultilevel"/>
    <w:tmpl w:val="137A731C"/>
    <w:lvl w:ilvl="0" w:tplc="140A0003">
      <w:start w:val="1"/>
      <w:numFmt w:val="bullet"/>
      <w:lvlText w:val="o"/>
      <w:lvlJc w:val="left"/>
      <w:pPr>
        <w:ind w:left="1428" w:hanging="360"/>
      </w:pPr>
      <w:rPr>
        <w:rFonts w:ascii="Courier New" w:hAnsi="Courier New" w:cs="Courier New"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3" w15:restartNumberingAfterBreak="0">
    <w:nsid w:val="00C537F0"/>
    <w:multiLevelType w:val="hybridMultilevel"/>
    <w:tmpl w:val="84D4337C"/>
    <w:lvl w:ilvl="0" w:tplc="ABDA7FA2">
      <w:start w:val="1"/>
      <w:numFmt w:val="lowerRoman"/>
      <w:lvlText w:val="%1."/>
      <w:lvlJc w:val="left"/>
      <w:pPr>
        <w:ind w:left="720" w:hanging="360"/>
      </w:pPr>
      <w:rPr>
        <w:rFonts w:ascii="Times New Roman" w:eastAsia="Calibri" w:hAnsi="Times New Roman" w:cs="Times New Roman"/>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145AB5"/>
    <w:multiLevelType w:val="hybridMultilevel"/>
    <w:tmpl w:val="380C8B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21A3E30"/>
    <w:multiLevelType w:val="hybridMultilevel"/>
    <w:tmpl w:val="F2E027F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2EB1EDB"/>
    <w:multiLevelType w:val="hybridMultilevel"/>
    <w:tmpl w:val="699CFCD4"/>
    <w:lvl w:ilvl="0" w:tplc="13842268">
      <w:start w:val="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1D4F05"/>
    <w:multiLevelType w:val="hybridMultilevel"/>
    <w:tmpl w:val="6A8E4DCE"/>
    <w:lvl w:ilvl="0" w:tplc="140A0003">
      <w:start w:val="1"/>
      <w:numFmt w:val="bullet"/>
      <w:lvlText w:val="o"/>
      <w:lvlJc w:val="left"/>
      <w:pPr>
        <w:tabs>
          <w:tab w:val="num" w:pos="720"/>
        </w:tabs>
        <w:ind w:left="720" w:hanging="360"/>
      </w:pPr>
      <w:rPr>
        <w:rFonts w:ascii="Courier New" w:hAnsi="Courier New" w:cs="Courier New" w:hint="default"/>
      </w:rPr>
    </w:lvl>
    <w:lvl w:ilvl="1" w:tplc="8430B224" w:tentative="1">
      <w:start w:val="1"/>
      <w:numFmt w:val="bullet"/>
      <w:lvlText w:val=""/>
      <w:lvlJc w:val="left"/>
      <w:pPr>
        <w:tabs>
          <w:tab w:val="num" w:pos="1440"/>
        </w:tabs>
        <w:ind w:left="1440" w:hanging="360"/>
      </w:pPr>
      <w:rPr>
        <w:rFonts w:ascii="Wingdings 3" w:hAnsi="Wingdings 3" w:hint="default"/>
      </w:rPr>
    </w:lvl>
    <w:lvl w:ilvl="2" w:tplc="A93618B6" w:tentative="1">
      <w:start w:val="1"/>
      <w:numFmt w:val="bullet"/>
      <w:lvlText w:val=""/>
      <w:lvlJc w:val="left"/>
      <w:pPr>
        <w:tabs>
          <w:tab w:val="num" w:pos="2160"/>
        </w:tabs>
        <w:ind w:left="2160" w:hanging="360"/>
      </w:pPr>
      <w:rPr>
        <w:rFonts w:ascii="Wingdings 3" w:hAnsi="Wingdings 3" w:hint="default"/>
      </w:rPr>
    </w:lvl>
    <w:lvl w:ilvl="3" w:tplc="54C8D066" w:tentative="1">
      <w:start w:val="1"/>
      <w:numFmt w:val="bullet"/>
      <w:lvlText w:val=""/>
      <w:lvlJc w:val="left"/>
      <w:pPr>
        <w:tabs>
          <w:tab w:val="num" w:pos="2880"/>
        </w:tabs>
        <w:ind w:left="2880" w:hanging="360"/>
      </w:pPr>
      <w:rPr>
        <w:rFonts w:ascii="Wingdings 3" w:hAnsi="Wingdings 3" w:hint="default"/>
      </w:rPr>
    </w:lvl>
    <w:lvl w:ilvl="4" w:tplc="820A2786" w:tentative="1">
      <w:start w:val="1"/>
      <w:numFmt w:val="bullet"/>
      <w:lvlText w:val=""/>
      <w:lvlJc w:val="left"/>
      <w:pPr>
        <w:tabs>
          <w:tab w:val="num" w:pos="3600"/>
        </w:tabs>
        <w:ind w:left="3600" w:hanging="360"/>
      </w:pPr>
      <w:rPr>
        <w:rFonts w:ascii="Wingdings 3" w:hAnsi="Wingdings 3" w:hint="default"/>
      </w:rPr>
    </w:lvl>
    <w:lvl w:ilvl="5" w:tplc="B6BAB5A4" w:tentative="1">
      <w:start w:val="1"/>
      <w:numFmt w:val="bullet"/>
      <w:lvlText w:val=""/>
      <w:lvlJc w:val="left"/>
      <w:pPr>
        <w:tabs>
          <w:tab w:val="num" w:pos="4320"/>
        </w:tabs>
        <w:ind w:left="4320" w:hanging="360"/>
      </w:pPr>
      <w:rPr>
        <w:rFonts w:ascii="Wingdings 3" w:hAnsi="Wingdings 3" w:hint="default"/>
      </w:rPr>
    </w:lvl>
    <w:lvl w:ilvl="6" w:tplc="FCFCD300" w:tentative="1">
      <w:start w:val="1"/>
      <w:numFmt w:val="bullet"/>
      <w:lvlText w:val=""/>
      <w:lvlJc w:val="left"/>
      <w:pPr>
        <w:tabs>
          <w:tab w:val="num" w:pos="5040"/>
        </w:tabs>
        <w:ind w:left="5040" w:hanging="360"/>
      </w:pPr>
      <w:rPr>
        <w:rFonts w:ascii="Wingdings 3" w:hAnsi="Wingdings 3" w:hint="default"/>
      </w:rPr>
    </w:lvl>
    <w:lvl w:ilvl="7" w:tplc="56B6142C" w:tentative="1">
      <w:start w:val="1"/>
      <w:numFmt w:val="bullet"/>
      <w:lvlText w:val=""/>
      <w:lvlJc w:val="left"/>
      <w:pPr>
        <w:tabs>
          <w:tab w:val="num" w:pos="5760"/>
        </w:tabs>
        <w:ind w:left="5760" w:hanging="360"/>
      </w:pPr>
      <w:rPr>
        <w:rFonts w:ascii="Wingdings 3" w:hAnsi="Wingdings 3" w:hint="default"/>
      </w:rPr>
    </w:lvl>
    <w:lvl w:ilvl="8" w:tplc="24FAD07A"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05CF0073"/>
    <w:multiLevelType w:val="hybridMultilevel"/>
    <w:tmpl w:val="110C787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05F11B9F"/>
    <w:multiLevelType w:val="hybridMultilevel"/>
    <w:tmpl w:val="BB38EC78"/>
    <w:lvl w:ilvl="0" w:tplc="3CF862F6">
      <w:start w:val="1"/>
      <w:numFmt w:val="bullet"/>
      <w:lvlText w:val="•"/>
      <w:lvlJc w:val="left"/>
      <w:pPr>
        <w:tabs>
          <w:tab w:val="num" w:pos="720"/>
        </w:tabs>
        <w:ind w:left="720" w:hanging="360"/>
      </w:pPr>
      <w:rPr>
        <w:rFonts w:ascii="Arial" w:hAnsi="Arial" w:hint="default"/>
      </w:rPr>
    </w:lvl>
    <w:lvl w:ilvl="1" w:tplc="E3ACF368" w:tentative="1">
      <w:start w:val="1"/>
      <w:numFmt w:val="bullet"/>
      <w:lvlText w:val="•"/>
      <w:lvlJc w:val="left"/>
      <w:pPr>
        <w:tabs>
          <w:tab w:val="num" w:pos="1440"/>
        </w:tabs>
        <w:ind w:left="1440" w:hanging="360"/>
      </w:pPr>
      <w:rPr>
        <w:rFonts w:ascii="Arial" w:hAnsi="Arial" w:hint="default"/>
      </w:rPr>
    </w:lvl>
    <w:lvl w:ilvl="2" w:tplc="A52AEA44" w:tentative="1">
      <w:start w:val="1"/>
      <w:numFmt w:val="bullet"/>
      <w:lvlText w:val="•"/>
      <w:lvlJc w:val="left"/>
      <w:pPr>
        <w:tabs>
          <w:tab w:val="num" w:pos="2160"/>
        </w:tabs>
        <w:ind w:left="2160" w:hanging="360"/>
      </w:pPr>
      <w:rPr>
        <w:rFonts w:ascii="Arial" w:hAnsi="Arial" w:hint="default"/>
      </w:rPr>
    </w:lvl>
    <w:lvl w:ilvl="3" w:tplc="BF721522" w:tentative="1">
      <w:start w:val="1"/>
      <w:numFmt w:val="bullet"/>
      <w:lvlText w:val="•"/>
      <w:lvlJc w:val="left"/>
      <w:pPr>
        <w:tabs>
          <w:tab w:val="num" w:pos="2880"/>
        </w:tabs>
        <w:ind w:left="2880" w:hanging="360"/>
      </w:pPr>
      <w:rPr>
        <w:rFonts w:ascii="Arial" w:hAnsi="Arial" w:hint="default"/>
      </w:rPr>
    </w:lvl>
    <w:lvl w:ilvl="4" w:tplc="33D4D882" w:tentative="1">
      <w:start w:val="1"/>
      <w:numFmt w:val="bullet"/>
      <w:lvlText w:val="•"/>
      <w:lvlJc w:val="left"/>
      <w:pPr>
        <w:tabs>
          <w:tab w:val="num" w:pos="3600"/>
        </w:tabs>
        <w:ind w:left="3600" w:hanging="360"/>
      </w:pPr>
      <w:rPr>
        <w:rFonts w:ascii="Arial" w:hAnsi="Arial" w:hint="default"/>
      </w:rPr>
    </w:lvl>
    <w:lvl w:ilvl="5" w:tplc="937445C4" w:tentative="1">
      <w:start w:val="1"/>
      <w:numFmt w:val="bullet"/>
      <w:lvlText w:val="•"/>
      <w:lvlJc w:val="left"/>
      <w:pPr>
        <w:tabs>
          <w:tab w:val="num" w:pos="4320"/>
        </w:tabs>
        <w:ind w:left="4320" w:hanging="360"/>
      </w:pPr>
      <w:rPr>
        <w:rFonts w:ascii="Arial" w:hAnsi="Arial" w:hint="default"/>
      </w:rPr>
    </w:lvl>
    <w:lvl w:ilvl="6" w:tplc="CB32F774" w:tentative="1">
      <w:start w:val="1"/>
      <w:numFmt w:val="bullet"/>
      <w:lvlText w:val="•"/>
      <w:lvlJc w:val="left"/>
      <w:pPr>
        <w:tabs>
          <w:tab w:val="num" w:pos="5040"/>
        </w:tabs>
        <w:ind w:left="5040" w:hanging="360"/>
      </w:pPr>
      <w:rPr>
        <w:rFonts w:ascii="Arial" w:hAnsi="Arial" w:hint="default"/>
      </w:rPr>
    </w:lvl>
    <w:lvl w:ilvl="7" w:tplc="CF14C734" w:tentative="1">
      <w:start w:val="1"/>
      <w:numFmt w:val="bullet"/>
      <w:lvlText w:val="•"/>
      <w:lvlJc w:val="left"/>
      <w:pPr>
        <w:tabs>
          <w:tab w:val="num" w:pos="5760"/>
        </w:tabs>
        <w:ind w:left="5760" w:hanging="360"/>
      </w:pPr>
      <w:rPr>
        <w:rFonts w:ascii="Arial" w:hAnsi="Arial" w:hint="default"/>
      </w:rPr>
    </w:lvl>
    <w:lvl w:ilvl="8" w:tplc="C6F0673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734024C"/>
    <w:multiLevelType w:val="hybridMultilevel"/>
    <w:tmpl w:val="CAACC42E"/>
    <w:lvl w:ilvl="0" w:tplc="EE68BA26">
      <w:start w:val="1"/>
      <w:numFmt w:val="lowerRoman"/>
      <w:lvlText w:val="%1)"/>
      <w:lvlJc w:val="left"/>
      <w:pPr>
        <w:ind w:left="1428" w:hanging="72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1" w15:restartNumberingAfterBreak="0">
    <w:nsid w:val="0AC30B80"/>
    <w:multiLevelType w:val="hybridMultilevel"/>
    <w:tmpl w:val="D3CCF7DC"/>
    <w:lvl w:ilvl="0" w:tplc="140A000F">
      <w:start w:val="1"/>
      <w:numFmt w:val="decimal"/>
      <w:lvlText w:val="%1."/>
      <w:lvlJc w:val="left"/>
      <w:pPr>
        <w:ind w:left="1429" w:hanging="360"/>
      </w:pPr>
    </w:lvl>
    <w:lvl w:ilvl="1" w:tplc="140A0019" w:tentative="1">
      <w:start w:val="1"/>
      <w:numFmt w:val="lowerLetter"/>
      <w:lvlText w:val="%2."/>
      <w:lvlJc w:val="left"/>
      <w:pPr>
        <w:ind w:left="2149" w:hanging="360"/>
      </w:pPr>
    </w:lvl>
    <w:lvl w:ilvl="2" w:tplc="140A001B" w:tentative="1">
      <w:start w:val="1"/>
      <w:numFmt w:val="lowerRoman"/>
      <w:lvlText w:val="%3."/>
      <w:lvlJc w:val="right"/>
      <w:pPr>
        <w:ind w:left="2869" w:hanging="180"/>
      </w:pPr>
    </w:lvl>
    <w:lvl w:ilvl="3" w:tplc="140A000F" w:tentative="1">
      <w:start w:val="1"/>
      <w:numFmt w:val="decimal"/>
      <w:lvlText w:val="%4."/>
      <w:lvlJc w:val="left"/>
      <w:pPr>
        <w:ind w:left="3589" w:hanging="360"/>
      </w:pPr>
    </w:lvl>
    <w:lvl w:ilvl="4" w:tplc="140A0019" w:tentative="1">
      <w:start w:val="1"/>
      <w:numFmt w:val="lowerLetter"/>
      <w:lvlText w:val="%5."/>
      <w:lvlJc w:val="left"/>
      <w:pPr>
        <w:ind w:left="4309" w:hanging="360"/>
      </w:pPr>
    </w:lvl>
    <w:lvl w:ilvl="5" w:tplc="140A001B" w:tentative="1">
      <w:start w:val="1"/>
      <w:numFmt w:val="lowerRoman"/>
      <w:lvlText w:val="%6."/>
      <w:lvlJc w:val="right"/>
      <w:pPr>
        <w:ind w:left="5029" w:hanging="180"/>
      </w:pPr>
    </w:lvl>
    <w:lvl w:ilvl="6" w:tplc="140A000F" w:tentative="1">
      <w:start w:val="1"/>
      <w:numFmt w:val="decimal"/>
      <w:lvlText w:val="%7."/>
      <w:lvlJc w:val="left"/>
      <w:pPr>
        <w:ind w:left="5749" w:hanging="360"/>
      </w:pPr>
    </w:lvl>
    <w:lvl w:ilvl="7" w:tplc="140A0019" w:tentative="1">
      <w:start w:val="1"/>
      <w:numFmt w:val="lowerLetter"/>
      <w:lvlText w:val="%8."/>
      <w:lvlJc w:val="left"/>
      <w:pPr>
        <w:ind w:left="6469" w:hanging="360"/>
      </w:pPr>
    </w:lvl>
    <w:lvl w:ilvl="8" w:tplc="140A001B" w:tentative="1">
      <w:start w:val="1"/>
      <w:numFmt w:val="lowerRoman"/>
      <w:lvlText w:val="%9."/>
      <w:lvlJc w:val="right"/>
      <w:pPr>
        <w:ind w:left="7189" w:hanging="180"/>
      </w:pPr>
    </w:lvl>
  </w:abstractNum>
  <w:abstractNum w:abstractNumId="12" w15:restartNumberingAfterBreak="0">
    <w:nsid w:val="0B445BAB"/>
    <w:multiLevelType w:val="hybridMultilevel"/>
    <w:tmpl w:val="12E09128"/>
    <w:lvl w:ilvl="0" w:tplc="418CFD50">
      <w:start w:val="1"/>
      <w:numFmt w:val="lowerRoman"/>
      <w:lvlText w:val="%1."/>
      <w:lvlJc w:val="left"/>
      <w:pPr>
        <w:ind w:left="1425" w:hanging="720"/>
      </w:pPr>
      <w:rPr>
        <w:rFonts w:ascii="Times New Roman" w:eastAsia="Calibri" w:hAnsi="Times New Roman" w:cs="Times New Roman"/>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3" w15:restartNumberingAfterBreak="0">
    <w:nsid w:val="0FC06FF7"/>
    <w:multiLevelType w:val="hybridMultilevel"/>
    <w:tmpl w:val="014052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204556"/>
    <w:multiLevelType w:val="hybridMultilevel"/>
    <w:tmpl w:val="83EA41AE"/>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10496D5A"/>
    <w:multiLevelType w:val="hybridMultilevel"/>
    <w:tmpl w:val="AE48A204"/>
    <w:lvl w:ilvl="0" w:tplc="09E4E2B4">
      <w:start w:val="1"/>
      <w:numFmt w:val="bullet"/>
      <w:lvlText w:val="•"/>
      <w:lvlJc w:val="left"/>
      <w:pPr>
        <w:tabs>
          <w:tab w:val="num" w:pos="720"/>
        </w:tabs>
        <w:ind w:left="720" w:hanging="360"/>
      </w:pPr>
      <w:rPr>
        <w:rFonts w:ascii="Times New Roman" w:hAnsi="Times New Roman" w:hint="default"/>
      </w:rPr>
    </w:lvl>
    <w:lvl w:ilvl="1" w:tplc="C5F4A7F0" w:tentative="1">
      <w:start w:val="1"/>
      <w:numFmt w:val="bullet"/>
      <w:lvlText w:val="•"/>
      <w:lvlJc w:val="left"/>
      <w:pPr>
        <w:tabs>
          <w:tab w:val="num" w:pos="1440"/>
        </w:tabs>
        <w:ind w:left="1440" w:hanging="360"/>
      </w:pPr>
      <w:rPr>
        <w:rFonts w:ascii="Times New Roman" w:hAnsi="Times New Roman" w:hint="default"/>
      </w:rPr>
    </w:lvl>
    <w:lvl w:ilvl="2" w:tplc="400A1742" w:tentative="1">
      <w:start w:val="1"/>
      <w:numFmt w:val="bullet"/>
      <w:lvlText w:val="•"/>
      <w:lvlJc w:val="left"/>
      <w:pPr>
        <w:tabs>
          <w:tab w:val="num" w:pos="2160"/>
        </w:tabs>
        <w:ind w:left="2160" w:hanging="360"/>
      </w:pPr>
      <w:rPr>
        <w:rFonts w:ascii="Times New Roman" w:hAnsi="Times New Roman" w:hint="default"/>
      </w:rPr>
    </w:lvl>
    <w:lvl w:ilvl="3" w:tplc="AFD4F17A" w:tentative="1">
      <w:start w:val="1"/>
      <w:numFmt w:val="bullet"/>
      <w:lvlText w:val="•"/>
      <w:lvlJc w:val="left"/>
      <w:pPr>
        <w:tabs>
          <w:tab w:val="num" w:pos="2880"/>
        </w:tabs>
        <w:ind w:left="2880" w:hanging="360"/>
      </w:pPr>
      <w:rPr>
        <w:rFonts w:ascii="Times New Roman" w:hAnsi="Times New Roman" w:hint="default"/>
      </w:rPr>
    </w:lvl>
    <w:lvl w:ilvl="4" w:tplc="930A8492" w:tentative="1">
      <w:start w:val="1"/>
      <w:numFmt w:val="bullet"/>
      <w:lvlText w:val="•"/>
      <w:lvlJc w:val="left"/>
      <w:pPr>
        <w:tabs>
          <w:tab w:val="num" w:pos="3600"/>
        </w:tabs>
        <w:ind w:left="3600" w:hanging="360"/>
      </w:pPr>
      <w:rPr>
        <w:rFonts w:ascii="Times New Roman" w:hAnsi="Times New Roman" w:hint="default"/>
      </w:rPr>
    </w:lvl>
    <w:lvl w:ilvl="5" w:tplc="72B2793A" w:tentative="1">
      <w:start w:val="1"/>
      <w:numFmt w:val="bullet"/>
      <w:lvlText w:val="•"/>
      <w:lvlJc w:val="left"/>
      <w:pPr>
        <w:tabs>
          <w:tab w:val="num" w:pos="4320"/>
        </w:tabs>
        <w:ind w:left="4320" w:hanging="360"/>
      </w:pPr>
      <w:rPr>
        <w:rFonts w:ascii="Times New Roman" w:hAnsi="Times New Roman" w:hint="default"/>
      </w:rPr>
    </w:lvl>
    <w:lvl w:ilvl="6" w:tplc="0F8EF5DE" w:tentative="1">
      <w:start w:val="1"/>
      <w:numFmt w:val="bullet"/>
      <w:lvlText w:val="•"/>
      <w:lvlJc w:val="left"/>
      <w:pPr>
        <w:tabs>
          <w:tab w:val="num" w:pos="5040"/>
        </w:tabs>
        <w:ind w:left="5040" w:hanging="360"/>
      </w:pPr>
      <w:rPr>
        <w:rFonts w:ascii="Times New Roman" w:hAnsi="Times New Roman" w:hint="default"/>
      </w:rPr>
    </w:lvl>
    <w:lvl w:ilvl="7" w:tplc="EED2A5FC" w:tentative="1">
      <w:start w:val="1"/>
      <w:numFmt w:val="bullet"/>
      <w:lvlText w:val="•"/>
      <w:lvlJc w:val="left"/>
      <w:pPr>
        <w:tabs>
          <w:tab w:val="num" w:pos="5760"/>
        </w:tabs>
        <w:ind w:left="5760" w:hanging="360"/>
      </w:pPr>
      <w:rPr>
        <w:rFonts w:ascii="Times New Roman" w:hAnsi="Times New Roman" w:hint="default"/>
      </w:rPr>
    </w:lvl>
    <w:lvl w:ilvl="8" w:tplc="41F6CA7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1191A78"/>
    <w:multiLevelType w:val="hybridMultilevel"/>
    <w:tmpl w:val="0B842CC8"/>
    <w:lvl w:ilvl="0" w:tplc="3BD6E614">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129760B7"/>
    <w:multiLevelType w:val="hybridMultilevel"/>
    <w:tmpl w:val="0B0051EA"/>
    <w:lvl w:ilvl="0" w:tplc="D82EE5B6">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2A03091"/>
    <w:multiLevelType w:val="hybridMultilevel"/>
    <w:tmpl w:val="4738AC10"/>
    <w:lvl w:ilvl="0" w:tplc="8138CC54">
      <w:start w:val="1"/>
      <w:numFmt w:val="lowerRoman"/>
      <w:lvlText w:val="%1."/>
      <w:lvlJc w:val="left"/>
      <w:pPr>
        <w:ind w:left="1788" w:hanging="720"/>
      </w:pPr>
      <w:rPr>
        <w:rFonts w:hint="default"/>
        <w:b/>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9" w15:restartNumberingAfterBreak="0">
    <w:nsid w:val="12F6299A"/>
    <w:multiLevelType w:val="hybridMultilevel"/>
    <w:tmpl w:val="A8EE35E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0" w15:restartNumberingAfterBreak="0">
    <w:nsid w:val="139312E4"/>
    <w:multiLevelType w:val="hybridMultilevel"/>
    <w:tmpl w:val="AC886F3E"/>
    <w:lvl w:ilvl="0" w:tplc="140A0003">
      <w:start w:val="1"/>
      <w:numFmt w:val="bullet"/>
      <w:lvlText w:val="o"/>
      <w:lvlJc w:val="left"/>
      <w:pPr>
        <w:ind w:left="2136" w:hanging="360"/>
      </w:pPr>
      <w:rPr>
        <w:rFonts w:ascii="Courier New" w:hAnsi="Courier New" w:cs="Courier New" w:hint="default"/>
      </w:rPr>
    </w:lvl>
    <w:lvl w:ilvl="1" w:tplc="140A0003" w:tentative="1">
      <w:start w:val="1"/>
      <w:numFmt w:val="bullet"/>
      <w:lvlText w:val="o"/>
      <w:lvlJc w:val="left"/>
      <w:pPr>
        <w:ind w:left="2856" w:hanging="360"/>
      </w:pPr>
      <w:rPr>
        <w:rFonts w:ascii="Courier New" w:hAnsi="Courier New" w:cs="Courier New" w:hint="default"/>
      </w:rPr>
    </w:lvl>
    <w:lvl w:ilvl="2" w:tplc="140A0005" w:tentative="1">
      <w:start w:val="1"/>
      <w:numFmt w:val="bullet"/>
      <w:lvlText w:val=""/>
      <w:lvlJc w:val="left"/>
      <w:pPr>
        <w:ind w:left="3576" w:hanging="360"/>
      </w:pPr>
      <w:rPr>
        <w:rFonts w:ascii="Wingdings" w:hAnsi="Wingdings" w:hint="default"/>
      </w:rPr>
    </w:lvl>
    <w:lvl w:ilvl="3" w:tplc="140A0001" w:tentative="1">
      <w:start w:val="1"/>
      <w:numFmt w:val="bullet"/>
      <w:lvlText w:val=""/>
      <w:lvlJc w:val="left"/>
      <w:pPr>
        <w:ind w:left="4296" w:hanging="360"/>
      </w:pPr>
      <w:rPr>
        <w:rFonts w:ascii="Symbol" w:hAnsi="Symbol" w:hint="default"/>
      </w:rPr>
    </w:lvl>
    <w:lvl w:ilvl="4" w:tplc="140A0003" w:tentative="1">
      <w:start w:val="1"/>
      <w:numFmt w:val="bullet"/>
      <w:lvlText w:val="o"/>
      <w:lvlJc w:val="left"/>
      <w:pPr>
        <w:ind w:left="5016" w:hanging="360"/>
      </w:pPr>
      <w:rPr>
        <w:rFonts w:ascii="Courier New" w:hAnsi="Courier New" w:cs="Courier New" w:hint="default"/>
      </w:rPr>
    </w:lvl>
    <w:lvl w:ilvl="5" w:tplc="140A0005" w:tentative="1">
      <w:start w:val="1"/>
      <w:numFmt w:val="bullet"/>
      <w:lvlText w:val=""/>
      <w:lvlJc w:val="left"/>
      <w:pPr>
        <w:ind w:left="5736" w:hanging="360"/>
      </w:pPr>
      <w:rPr>
        <w:rFonts w:ascii="Wingdings" w:hAnsi="Wingdings" w:hint="default"/>
      </w:rPr>
    </w:lvl>
    <w:lvl w:ilvl="6" w:tplc="140A0001" w:tentative="1">
      <w:start w:val="1"/>
      <w:numFmt w:val="bullet"/>
      <w:lvlText w:val=""/>
      <w:lvlJc w:val="left"/>
      <w:pPr>
        <w:ind w:left="6456" w:hanging="360"/>
      </w:pPr>
      <w:rPr>
        <w:rFonts w:ascii="Symbol" w:hAnsi="Symbol" w:hint="default"/>
      </w:rPr>
    </w:lvl>
    <w:lvl w:ilvl="7" w:tplc="140A0003" w:tentative="1">
      <w:start w:val="1"/>
      <w:numFmt w:val="bullet"/>
      <w:lvlText w:val="o"/>
      <w:lvlJc w:val="left"/>
      <w:pPr>
        <w:ind w:left="7176" w:hanging="360"/>
      </w:pPr>
      <w:rPr>
        <w:rFonts w:ascii="Courier New" w:hAnsi="Courier New" w:cs="Courier New" w:hint="default"/>
      </w:rPr>
    </w:lvl>
    <w:lvl w:ilvl="8" w:tplc="140A0005" w:tentative="1">
      <w:start w:val="1"/>
      <w:numFmt w:val="bullet"/>
      <w:lvlText w:val=""/>
      <w:lvlJc w:val="left"/>
      <w:pPr>
        <w:ind w:left="7896" w:hanging="360"/>
      </w:pPr>
      <w:rPr>
        <w:rFonts w:ascii="Wingdings" w:hAnsi="Wingdings" w:hint="default"/>
      </w:rPr>
    </w:lvl>
  </w:abstractNum>
  <w:abstractNum w:abstractNumId="21" w15:restartNumberingAfterBreak="0">
    <w:nsid w:val="1469370C"/>
    <w:multiLevelType w:val="hybridMultilevel"/>
    <w:tmpl w:val="6B727D4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159F3A59"/>
    <w:multiLevelType w:val="hybridMultilevel"/>
    <w:tmpl w:val="3A6CAE04"/>
    <w:lvl w:ilvl="0" w:tplc="140A0003">
      <w:start w:val="1"/>
      <w:numFmt w:val="bullet"/>
      <w:lvlText w:val="o"/>
      <w:lvlJc w:val="left"/>
      <w:pPr>
        <w:ind w:left="1287" w:hanging="360"/>
      </w:pPr>
      <w:rPr>
        <w:rFonts w:ascii="Courier New" w:hAnsi="Courier New" w:cs="Courier New"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23" w15:restartNumberingAfterBreak="0">
    <w:nsid w:val="15D300B3"/>
    <w:multiLevelType w:val="hybridMultilevel"/>
    <w:tmpl w:val="9488BAE6"/>
    <w:lvl w:ilvl="0" w:tplc="140A0003">
      <w:start w:val="1"/>
      <w:numFmt w:val="bullet"/>
      <w:lvlText w:val="o"/>
      <w:lvlJc w:val="left"/>
      <w:pPr>
        <w:ind w:left="2136" w:hanging="360"/>
      </w:pPr>
      <w:rPr>
        <w:rFonts w:ascii="Courier New" w:hAnsi="Courier New" w:cs="Courier New" w:hint="default"/>
      </w:rPr>
    </w:lvl>
    <w:lvl w:ilvl="1" w:tplc="140A0003" w:tentative="1">
      <w:start w:val="1"/>
      <w:numFmt w:val="bullet"/>
      <w:lvlText w:val="o"/>
      <w:lvlJc w:val="left"/>
      <w:pPr>
        <w:ind w:left="2856" w:hanging="360"/>
      </w:pPr>
      <w:rPr>
        <w:rFonts w:ascii="Courier New" w:hAnsi="Courier New" w:cs="Courier New" w:hint="default"/>
      </w:rPr>
    </w:lvl>
    <w:lvl w:ilvl="2" w:tplc="140A0005" w:tentative="1">
      <w:start w:val="1"/>
      <w:numFmt w:val="bullet"/>
      <w:lvlText w:val=""/>
      <w:lvlJc w:val="left"/>
      <w:pPr>
        <w:ind w:left="3576" w:hanging="360"/>
      </w:pPr>
      <w:rPr>
        <w:rFonts w:ascii="Wingdings" w:hAnsi="Wingdings" w:hint="default"/>
      </w:rPr>
    </w:lvl>
    <w:lvl w:ilvl="3" w:tplc="140A0001" w:tentative="1">
      <w:start w:val="1"/>
      <w:numFmt w:val="bullet"/>
      <w:lvlText w:val=""/>
      <w:lvlJc w:val="left"/>
      <w:pPr>
        <w:ind w:left="4296" w:hanging="360"/>
      </w:pPr>
      <w:rPr>
        <w:rFonts w:ascii="Symbol" w:hAnsi="Symbol" w:hint="default"/>
      </w:rPr>
    </w:lvl>
    <w:lvl w:ilvl="4" w:tplc="140A0003" w:tentative="1">
      <w:start w:val="1"/>
      <w:numFmt w:val="bullet"/>
      <w:lvlText w:val="o"/>
      <w:lvlJc w:val="left"/>
      <w:pPr>
        <w:ind w:left="5016" w:hanging="360"/>
      </w:pPr>
      <w:rPr>
        <w:rFonts w:ascii="Courier New" w:hAnsi="Courier New" w:cs="Courier New" w:hint="default"/>
      </w:rPr>
    </w:lvl>
    <w:lvl w:ilvl="5" w:tplc="140A0005" w:tentative="1">
      <w:start w:val="1"/>
      <w:numFmt w:val="bullet"/>
      <w:lvlText w:val=""/>
      <w:lvlJc w:val="left"/>
      <w:pPr>
        <w:ind w:left="5736" w:hanging="360"/>
      </w:pPr>
      <w:rPr>
        <w:rFonts w:ascii="Wingdings" w:hAnsi="Wingdings" w:hint="default"/>
      </w:rPr>
    </w:lvl>
    <w:lvl w:ilvl="6" w:tplc="140A0001" w:tentative="1">
      <w:start w:val="1"/>
      <w:numFmt w:val="bullet"/>
      <w:lvlText w:val=""/>
      <w:lvlJc w:val="left"/>
      <w:pPr>
        <w:ind w:left="6456" w:hanging="360"/>
      </w:pPr>
      <w:rPr>
        <w:rFonts w:ascii="Symbol" w:hAnsi="Symbol" w:hint="default"/>
      </w:rPr>
    </w:lvl>
    <w:lvl w:ilvl="7" w:tplc="140A0003" w:tentative="1">
      <w:start w:val="1"/>
      <w:numFmt w:val="bullet"/>
      <w:lvlText w:val="o"/>
      <w:lvlJc w:val="left"/>
      <w:pPr>
        <w:ind w:left="7176" w:hanging="360"/>
      </w:pPr>
      <w:rPr>
        <w:rFonts w:ascii="Courier New" w:hAnsi="Courier New" w:cs="Courier New" w:hint="default"/>
      </w:rPr>
    </w:lvl>
    <w:lvl w:ilvl="8" w:tplc="140A0005" w:tentative="1">
      <w:start w:val="1"/>
      <w:numFmt w:val="bullet"/>
      <w:lvlText w:val=""/>
      <w:lvlJc w:val="left"/>
      <w:pPr>
        <w:ind w:left="7896" w:hanging="360"/>
      </w:pPr>
      <w:rPr>
        <w:rFonts w:ascii="Wingdings" w:hAnsi="Wingdings" w:hint="default"/>
      </w:rPr>
    </w:lvl>
  </w:abstractNum>
  <w:abstractNum w:abstractNumId="24" w15:restartNumberingAfterBreak="0">
    <w:nsid w:val="16CE1C2C"/>
    <w:multiLevelType w:val="hybridMultilevel"/>
    <w:tmpl w:val="E5FC75FC"/>
    <w:lvl w:ilvl="0" w:tplc="C87606E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73805C8"/>
    <w:multiLevelType w:val="hybridMultilevel"/>
    <w:tmpl w:val="F47250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191E497E"/>
    <w:multiLevelType w:val="hybridMultilevel"/>
    <w:tmpl w:val="BAB089A2"/>
    <w:lvl w:ilvl="0" w:tplc="B6F8E586">
      <w:start w:val="1"/>
      <w:numFmt w:val="bullet"/>
      <w:lvlText w:val=""/>
      <w:lvlJc w:val="left"/>
      <w:pPr>
        <w:ind w:left="720" w:hanging="360"/>
      </w:pPr>
      <w:rPr>
        <w:rFonts w:ascii="Symbol" w:hAnsi="Symbol" w:hint="default"/>
        <w:lang w:val="es-CR"/>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1AF97C5D"/>
    <w:multiLevelType w:val="hybridMultilevel"/>
    <w:tmpl w:val="4920A7AC"/>
    <w:lvl w:ilvl="0" w:tplc="040A0019">
      <w:start w:val="9"/>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1B682CE1"/>
    <w:multiLevelType w:val="hybridMultilevel"/>
    <w:tmpl w:val="ED986D60"/>
    <w:lvl w:ilvl="0" w:tplc="140A000F">
      <w:start w:val="1"/>
      <w:numFmt w:val="decimal"/>
      <w:lvlText w:val="%1."/>
      <w:lvlJc w:val="left"/>
      <w:pPr>
        <w:ind w:left="1428" w:hanging="360"/>
      </w:pPr>
    </w:lvl>
    <w:lvl w:ilvl="1" w:tplc="140A0019">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29" w15:restartNumberingAfterBreak="0">
    <w:nsid w:val="1C907D96"/>
    <w:multiLevelType w:val="hybridMultilevel"/>
    <w:tmpl w:val="569C2CBC"/>
    <w:lvl w:ilvl="0" w:tplc="B1ACA0A4">
      <w:start w:val="2"/>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1D27216A"/>
    <w:multiLevelType w:val="hybridMultilevel"/>
    <w:tmpl w:val="3166947C"/>
    <w:lvl w:ilvl="0" w:tplc="9D7AEA9E">
      <w:start w:val="1"/>
      <w:numFmt w:val="lowerLetter"/>
      <w:lvlText w:val="%1)"/>
      <w:lvlJc w:val="left"/>
      <w:pPr>
        <w:ind w:left="1060" w:hanging="360"/>
      </w:pPr>
      <w:rPr>
        <w:rFonts w:hint="default"/>
      </w:rPr>
    </w:lvl>
    <w:lvl w:ilvl="1" w:tplc="040A0019" w:tentative="1">
      <w:start w:val="1"/>
      <w:numFmt w:val="lowerLetter"/>
      <w:lvlText w:val="%2."/>
      <w:lvlJc w:val="left"/>
      <w:pPr>
        <w:ind w:left="1780" w:hanging="360"/>
      </w:pPr>
    </w:lvl>
    <w:lvl w:ilvl="2" w:tplc="040A001B" w:tentative="1">
      <w:start w:val="1"/>
      <w:numFmt w:val="lowerRoman"/>
      <w:lvlText w:val="%3."/>
      <w:lvlJc w:val="right"/>
      <w:pPr>
        <w:ind w:left="2500" w:hanging="180"/>
      </w:pPr>
    </w:lvl>
    <w:lvl w:ilvl="3" w:tplc="040A000F" w:tentative="1">
      <w:start w:val="1"/>
      <w:numFmt w:val="decimal"/>
      <w:lvlText w:val="%4."/>
      <w:lvlJc w:val="left"/>
      <w:pPr>
        <w:ind w:left="3220" w:hanging="360"/>
      </w:pPr>
    </w:lvl>
    <w:lvl w:ilvl="4" w:tplc="040A0019" w:tentative="1">
      <w:start w:val="1"/>
      <w:numFmt w:val="lowerLetter"/>
      <w:lvlText w:val="%5."/>
      <w:lvlJc w:val="left"/>
      <w:pPr>
        <w:ind w:left="3940" w:hanging="360"/>
      </w:pPr>
    </w:lvl>
    <w:lvl w:ilvl="5" w:tplc="040A001B" w:tentative="1">
      <w:start w:val="1"/>
      <w:numFmt w:val="lowerRoman"/>
      <w:lvlText w:val="%6."/>
      <w:lvlJc w:val="right"/>
      <w:pPr>
        <w:ind w:left="4660" w:hanging="180"/>
      </w:pPr>
    </w:lvl>
    <w:lvl w:ilvl="6" w:tplc="040A000F" w:tentative="1">
      <w:start w:val="1"/>
      <w:numFmt w:val="decimal"/>
      <w:lvlText w:val="%7."/>
      <w:lvlJc w:val="left"/>
      <w:pPr>
        <w:ind w:left="5380" w:hanging="360"/>
      </w:pPr>
    </w:lvl>
    <w:lvl w:ilvl="7" w:tplc="040A0019" w:tentative="1">
      <w:start w:val="1"/>
      <w:numFmt w:val="lowerLetter"/>
      <w:lvlText w:val="%8."/>
      <w:lvlJc w:val="left"/>
      <w:pPr>
        <w:ind w:left="6100" w:hanging="360"/>
      </w:pPr>
    </w:lvl>
    <w:lvl w:ilvl="8" w:tplc="040A001B" w:tentative="1">
      <w:start w:val="1"/>
      <w:numFmt w:val="lowerRoman"/>
      <w:lvlText w:val="%9."/>
      <w:lvlJc w:val="right"/>
      <w:pPr>
        <w:ind w:left="6820" w:hanging="180"/>
      </w:pPr>
    </w:lvl>
  </w:abstractNum>
  <w:abstractNum w:abstractNumId="31" w15:restartNumberingAfterBreak="0">
    <w:nsid w:val="1E821F6F"/>
    <w:multiLevelType w:val="hybridMultilevel"/>
    <w:tmpl w:val="5A9EE148"/>
    <w:lvl w:ilvl="0" w:tplc="46905E5A">
      <w:start w:val="1"/>
      <w:numFmt w:val="bullet"/>
      <w:lvlText w:val="o"/>
      <w:lvlJc w:val="left"/>
      <w:pPr>
        <w:ind w:left="1800" w:hanging="360"/>
      </w:pPr>
      <w:rPr>
        <w:rFonts w:ascii="Courier New" w:hAnsi="Courier New" w:cs="Courier New" w:hint="default"/>
        <w:b/>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32" w15:restartNumberingAfterBreak="0">
    <w:nsid w:val="20C263FE"/>
    <w:multiLevelType w:val="hybridMultilevel"/>
    <w:tmpl w:val="D828117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20F04BCC"/>
    <w:multiLevelType w:val="multilevel"/>
    <w:tmpl w:val="47AE50AA"/>
    <w:lvl w:ilvl="0">
      <w:start w:val="1"/>
      <w:numFmt w:val="decimal"/>
      <w:lvlText w:val="%1."/>
      <w:lvlJc w:val="left"/>
      <w:pPr>
        <w:ind w:left="720" w:hanging="360"/>
      </w:p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24895406"/>
    <w:multiLevelType w:val="hybridMultilevel"/>
    <w:tmpl w:val="EB32672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28B6773C"/>
    <w:multiLevelType w:val="hybridMultilevel"/>
    <w:tmpl w:val="D280F10C"/>
    <w:lvl w:ilvl="0" w:tplc="0FD605D4">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29112AC6"/>
    <w:multiLevelType w:val="hybridMultilevel"/>
    <w:tmpl w:val="78223416"/>
    <w:lvl w:ilvl="0" w:tplc="5B96F902">
      <w:start w:val="1"/>
      <w:numFmt w:val="upperRoman"/>
      <w:lvlText w:val="%1."/>
      <w:lvlJc w:val="left"/>
      <w:pPr>
        <w:ind w:left="5114"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9391C28"/>
    <w:multiLevelType w:val="hybridMultilevel"/>
    <w:tmpl w:val="FCA87DD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2A9A00E9"/>
    <w:multiLevelType w:val="hybridMultilevel"/>
    <w:tmpl w:val="68ECC0B4"/>
    <w:lvl w:ilvl="0" w:tplc="140A0003">
      <w:start w:val="1"/>
      <w:numFmt w:val="bullet"/>
      <w:lvlText w:val="o"/>
      <w:lvlJc w:val="left"/>
      <w:pPr>
        <w:ind w:left="1080" w:hanging="360"/>
      </w:pPr>
      <w:rPr>
        <w:rFonts w:ascii="Courier New" w:hAnsi="Courier New" w:cs="Courier New"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9" w15:restartNumberingAfterBreak="0">
    <w:nsid w:val="2C515FE4"/>
    <w:multiLevelType w:val="hybridMultilevel"/>
    <w:tmpl w:val="071880EE"/>
    <w:lvl w:ilvl="0" w:tplc="4EF6864E">
      <w:start w:val="1"/>
      <w:numFmt w:val="lowerLetter"/>
      <w:lvlText w:val="%1)"/>
      <w:lvlJc w:val="left"/>
      <w:pPr>
        <w:ind w:left="3216" w:hanging="360"/>
      </w:pPr>
      <w:rPr>
        <w:rFonts w:hint="default"/>
      </w:rPr>
    </w:lvl>
    <w:lvl w:ilvl="1" w:tplc="080A0019" w:tentative="1">
      <w:start w:val="1"/>
      <w:numFmt w:val="lowerLetter"/>
      <w:lvlText w:val="%2."/>
      <w:lvlJc w:val="left"/>
      <w:pPr>
        <w:ind w:left="3936" w:hanging="360"/>
      </w:pPr>
    </w:lvl>
    <w:lvl w:ilvl="2" w:tplc="080A001B" w:tentative="1">
      <w:start w:val="1"/>
      <w:numFmt w:val="lowerRoman"/>
      <w:lvlText w:val="%3."/>
      <w:lvlJc w:val="right"/>
      <w:pPr>
        <w:ind w:left="4656" w:hanging="180"/>
      </w:pPr>
    </w:lvl>
    <w:lvl w:ilvl="3" w:tplc="080A000F" w:tentative="1">
      <w:start w:val="1"/>
      <w:numFmt w:val="decimal"/>
      <w:lvlText w:val="%4."/>
      <w:lvlJc w:val="left"/>
      <w:pPr>
        <w:ind w:left="5376" w:hanging="360"/>
      </w:pPr>
    </w:lvl>
    <w:lvl w:ilvl="4" w:tplc="080A0019" w:tentative="1">
      <w:start w:val="1"/>
      <w:numFmt w:val="lowerLetter"/>
      <w:lvlText w:val="%5."/>
      <w:lvlJc w:val="left"/>
      <w:pPr>
        <w:ind w:left="6096" w:hanging="360"/>
      </w:pPr>
    </w:lvl>
    <w:lvl w:ilvl="5" w:tplc="080A001B" w:tentative="1">
      <w:start w:val="1"/>
      <w:numFmt w:val="lowerRoman"/>
      <w:lvlText w:val="%6."/>
      <w:lvlJc w:val="right"/>
      <w:pPr>
        <w:ind w:left="6816" w:hanging="180"/>
      </w:pPr>
    </w:lvl>
    <w:lvl w:ilvl="6" w:tplc="080A000F" w:tentative="1">
      <w:start w:val="1"/>
      <w:numFmt w:val="decimal"/>
      <w:lvlText w:val="%7."/>
      <w:lvlJc w:val="left"/>
      <w:pPr>
        <w:ind w:left="7536" w:hanging="360"/>
      </w:pPr>
    </w:lvl>
    <w:lvl w:ilvl="7" w:tplc="080A0019" w:tentative="1">
      <w:start w:val="1"/>
      <w:numFmt w:val="lowerLetter"/>
      <w:lvlText w:val="%8."/>
      <w:lvlJc w:val="left"/>
      <w:pPr>
        <w:ind w:left="8256" w:hanging="360"/>
      </w:pPr>
    </w:lvl>
    <w:lvl w:ilvl="8" w:tplc="080A001B" w:tentative="1">
      <w:start w:val="1"/>
      <w:numFmt w:val="lowerRoman"/>
      <w:lvlText w:val="%9."/>
      <w:lvlJc w:val="right"/>
      <w:pPr>
        <w:ind w:left="8976" w:hanging="180"/>
      </w:pPr>
    </w:lvl>
  </w:abstractNum>
  <w:abstractNum w:abstractNumId="40" w15:restartNumberingAfterBreak="0">
    <w:nsid w:val="2C946343"/>
    <w:multiLevelType w:val="hybridMultilevel"/>
    <w:tmpl w:val="A434CA16"/>
    <w:lvl w:ilvl="0" w:tplc="140A0003">
      <w:start w:val="1"/>
      <w:numFmt w:val="bullet"/>
      <w:lvlText w:val="o"/>
      <w:lvlJc w:val="left"/>
      <w:pPr>
        <w:tabs>
          <w:tab w:val="num" w:pos="720"/>
        </w:tabs>
        <w:ind w:left="720" w:hanging="360"/>
      </w:pPr>
      <w:rPr>
        <w:rFonts w:ascii="Courier New" w:hAnsi="Courier New" w:cs="Courier New" w:hint="default"/>
      </w:rPr>
    </w:lvl>
    <w:lvl w:ilvl="1" w:tplc="C834F4B4" w:tentative="1">
      <w:start w:val="1"/>
      <w:numFmt w:val="bullet"/>
      <w:lvlText w:val="•"/>
      <w:lvlJc w:val="left"/>
      <w:pPr>
        <w:tabs>
          <w:tab w:val="num" w:pos="1440"/>
        </w:tabs>
        <w:ind w:left="1440" w:hanging="360"/>
      </w:pPr>
      <w:rPr>
        <w:rFonts w:ascii="Arial" w:hAnsi="Arial" w:hint="default"/>
      </w:rPr>
    </w:lvl>
    <w:lvl w:ilvl="2" w:tplc="140A0003">
      <w:start w:val="1"/>
      <w:numFmt w:val="bullet"/>
      <w:lvlText w:val="o"/>
      <w:lvlJc w:val="left"/>
      <w:pPr>
        <w:tabs>
          <w:tab w:val="num" w:pos="2160"/>
        </w:tabs>
        <w:ind w:left="2160" w:hanging="360"/>
      </w:pPr>
      <w:rPr>
        <w:rFonts w:ascii="Courier New" w:hAnsi="Courier New" w:cs="Courier New" w:hint="default"/>
      </w:rPr>
    </w:lvl>
    <w:lvl w:ilvl="3" w:tplc="75EE86FE" w:tentative="1">
      <w:start w:val="1"/>
      <w:numFmt w:val="bullet"/>
      <w:lvlText w:val="•"/>
      <w:lvlJc w:val="left"/>
      <w:pPr>
        <w:tabs>
          <w:tab w:val="num" w:pos="2880"/>
        </w:tabs>
        <w:ind w:left="2880" w:hanging="360"/>
      </w:pPr>
      <w:rPr>
        <w:rFonts w:ascii="Arial" w:hAnsi="Arial" w:hint="default"/>
      </w:rPr>
    </w:lvl>
    <w:lvl w:ilvl="4" w:tplc="1DBE8022" w:tentative="1">
      <w:start w:val="1"/>
      <w:numFmt w:val="bullet"/>
      <w:lvlText w:val="•"/>
      <w:lvlJc w:val="left"/>
      <w:pPr>
        <w:tabs>
          <w:tab w:val="num" w:pos="3600"/>
        </w:tabs>
        <w:ind w:left="3600" w:hanging="360"/>
      </w:pPr>
      <w:rPr>
        <w:rFonts w:ascii="Arial" w:hAnsi="Arial" w:hint="default"/>
      </w:rPr>
    </w:lvl>
    <w:lvl w:ilvl="5" w:tplc="19147EF0" w:tentative="1">
      <w:start w:val="1"/>
      <w:numFmt w:val="bullet"/>
      <w:lvlText w:val="•"/>
      <w:lvlJc w:val="left"/>
      <w:pPr>
        <w:tabs>
          <w:tab w:val="num" w:pos="4320"/>
        </w:tabs>
        <w:ind w:left="4320" w:hanging="360"/>
      </w:pPr>
      <w:rPr>
        <w:rFonts w:ascii="Arial" w:hAnsi="Arial" w:hint="default"/>
      </w:rPr>
    </w:lvl>
    <w:lvl w:ilvl="6" w:tplc="212A99D8" w:tentative="1">
      <w:start w:val="1"/>
      <w:numFmt w:val="bullet"/>
      <w:lvlText w:val="•"/>
      <w:lvlJc w:val="left"/>
      <w:pPr>
        <w:tabs>
          <w:tab w:val="num" w:pos="5040"/>
        </w:tabs>
        <w:ind w:left="5040" w:hanging="360"/>
      </w:pPr>
      <w:rPr>
        <w:rFonts w:ascii="Arial" w:hAnsi="Arial" w:hint="default"/>
      </w:rPr>
    </w:lvl>
    <w:lvl w:ilvl="7" w:tplc="A26486AA" w:tentative="1">
      <w:start w:val="1"/>
      <w:numFmt w:val="bullet"/>
      <w:lvlText w:val="•"/>
      <w:lvlJc w:val="left"/>
      <w:pPr>
        <w:tabs>
          <w:tab w:val="num" w:pos="5760"/>
        </w:tabs>
        <w:ind w:left="5760" w:hanging="360"/>
      </w:pPr>
      <w:rPr>
        <w:rFonts w:ascii="Arial" w:hAnsi="Arial" w:hint="default"/>
      </w:rPr>
    </w:lvl>
    <w:lvl w:ilvl="8" w:tplc="9522B81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E0C47DF"/>
    <w:multiLevelType w:val="hybridMultilevel"/>
    <w:tmpl w:val="AD74C252"/>
    <w:lvl w:ilvl="0" w:tplc="140A0003">
      <w:start w:val="1"/>
      <w:numFmt w:val="bullet"/>
      <w:lvlText w:val="o"/>
      <w:lvlJc w:val="left"/>
      <w:pPr>
        <w:ind w:left="1776" w:hanging="360"/>
      </w:pPr>
      <w:rPr>
        <w:rFonts w:ascii="Courier New" w:hAnsi="Courier New" w:cs="Courier New" w:hint="default"/>
      </w:rPr>
    </w:lvl>
    <w:lvl w:ilvl="1" w:tplc="140A0003" w:tentative="1">
      <w:start w:val="1"/>
      <w:numFmt w:val="bullet"/>
      <w:lvlText w:val="o"/>
      <w:lvlJc w:val="left"/>
      <w:pPr>
        <w:ind w:left="2496" w:hanging="360"/>
      </w:pPr>
      <w:rPr>
        <w:rFonts w:ascii="Courier New" w:hAnsi="Courier New" w:cs="Courier New" w:hint="default"/>
      </w:rPr>
    </w:lvl>
    <w:lvl w:ilvl="2" w:tplc="140A0005" w:tentative="1">
      <w:start w:val="1"/>
      <w:numFmt w:val="bullet"/>
      <w:lvlText w:val=""/>
      <w:lvlJc w:val="left"/>
      <w:pPr>
        <w:ind w:left="3216" w:hanging="360"/>
      </w:pPr>
      <w:rPr>
        <w:rFonts w:ascii="Wingdings" w:hAnsi="Wingdings" w:hint="default"/>
      </w:rPr>
    </w:lvl>
    <w:lvl w:ilvl="3" w:tplc="140A0001" w:tentative="1">
      <w:start w:val="1"/>
      <w:numFmt w:val="bullet"/>
      <w:lvlText w:val=""/>
      <w:lvlJc w:val="left"/>
      <w:pPr>
        <w:ind w:left="3936" w:hanging="360"/>
      </w:pPr>
      <w:rPr>
        <w:rFonts w:ascii="Symbol" w:hAnsi="Symbol" w:hint="default"/>
      </w:rPr>
    </w:lvl>
    <w:lvl w:ilvl="4" w:tplc="140A0003" w:tentative="1">
      <w:start w:val="1"/>
      <w:numFmt w:val="bullet"/>
      <w:lvlText w:val="o"/>
      <w:lvlJc w:val="left"/>
      <w:pPr>
        <w:ind w:left="4656" w:hanging="360"/>
      </w:pPr>
      <w:rPr>
        <w:rFonts w:ascii="Courier New" w:hAnsi="Courier New" w:cs="Courier New" w:hint="default"/>
      </w:rPr>
    </w:lvl>
    <w:lvl w:ilvl="5" w:tplc="140A0005" w:tentative="1">
      <w:start w:val="1"/>
      <w:numFmt w:val="bullet"/>
      <w:lvlText w:val=""/>
      <w:lvlJc w:val="left"/>
      <w:pPr>
        <w:ind w:left="5376" w:hanging="360"/>
      </w:pPr>
      <w:rPr>
        <w:rFonts w:ascii="Wingdings" w:hAnsi="Wingdings" w:hint="default"/>
      </w:rPr>
    </w:lvl>
    <w:lvl w:ilvl="6" w:tplc="140A0001" w:tentative="1">
      <w:start w:val="1"/>
      <w:numFmt w:val="bullet"/>
      <w:lvlText w:val=""/>
      <w:lvlJc w:val="left"/>
      <w:pPr>
        <w:ind w:left="6096" w:hanging="360"/>
      </w:pPr>
      <w:rPr>
        <w:rFonts w:ascii="Symbol" w:hAnsi="Symbol" w:hint="default"/>
      </w:rPr>
    </w:lvl>
    <w:lvl w:ilvl="7" w:tplc="140A0003" w:tentative="1">
      <w:start w:val="1"/>
      <w:numFmt w:val="bullet"/>
      <w:lvlText w:val="o"/>
      <w:lvlJc w:val="left"/>
      <w:pPr>
        <w:ind w:left="6816" w:hanging="360"/>
      </w:pPr>
      <w:rPr>
        <w:rFonts w:ascii="Courier New" w:hAnsi="Courier New" w:cs="Courier New" w:hint="default"/>
      </w:rPr>
    </w:lvl>
    <w:lvl w:ilvl="8" w:tplc="140A0005" w:tentative="1">
      <w:start w:val="1"/>
      <w:numFmt w:val="bullet"/>
      <w:lvlText w:val=""/>
      <w:lvlJc w:val="left"/>
      <w:pPr>
        <w:ind w:left="7536" w:hanging="360"/>
      </w:pPr>
      <w:rPr>
        <w:rFonts w:ascii="Wingdings" w:hAnsi="Wingdings" w:hint="default"/>
      </w:rPr>
    </w:lvl>
  </w:abstractNum>
  <w:abstractNum w:abstractNumId="42" w15:restartNumberingAfterBreak="0">
    <w:nsid w:val="2F7E3394"/>
    <w:multiLevelType w:val="hybridMultilevel"/>
    <w:tmpl w:val="F480889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15:restartNumberingAfterBreak="0">
    <w:nsid w:val="31DC0153"/>
    <w:multiLevelType w:val="hybridMultilevel"/>
    <w:tmpl w:val="F1588792"/>
    <w:lvl w:ilvl="0" w:tplc="8F80CF3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15:restartNumberingAfterBreak="0">
    <w:nsid w:val="3225619F"/>
    <w:multiLevelType w:val="hybridMultilevel"/>
    <w:tmpl w:val="FC9CA6DA"/>
    <w:lvl w:ilvl="0" w:tplc="CF78A6FE">
      <w:start w:val="1"/>
      <w:numFmt w:val="lowerLetter"/>
      <w:lvlText w:val="%1)"/>
      <w:lvlJc w:val="left"/>
      <w:pPr>
        <w:ind w:left="960" w:hanging="60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4E6126D"/>
    <w:multiLevelType w:val="hybridMultilevel"/>
    <w:tmpl w:val="1950792E"/>
    <w:lvl w:ilvl="0" w:tplc="140A000F">
      <w:start w:val="1"/>
      <w:numFmt w:val="decimal"/>
      <w:lvlText w:val="%1."/>
      <w:lvlJc w:val="lef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46" w15:restartNumberingAfterBreak="0">
    <w:nsid w:val="35E306AF"/>
    <w:multiLevelType w:val="hybridMultilevel"/>
    <w:tmpl w:val="57B08744"/>
    <w:lvl w:ilvl="0" w:tplc="140A0003">
      <w:start w:val="1"/>
      <w:numFmt w:val="bullet"/>
      <w:lvlText w:val="o"/>
      <w:lvlJc w:val="left"/>
      <w:pPr>
        <w:tabs>
          <w:tab w:val="num" w:pos="720"/>
        </w:tabs>
        <w:ind w:left="720" w:hanging="360"/>
      </w:pPr>
      <w:rPr>
        <w:rFonts w:ascii="Courier New" w:hAnsi="Courier New" w:cs="Courier New" w:hint="default"/>
      </w:rPr>
    </w:lvl>
    <w:lvl w:ilvl="1" w:tplc="140A0003">
      <w:start w:val="1"/>
      <w:numFmt w:val="bullet"/>
      <w:lvlText w:val="o"/>
      <w:lvlJc w:val="left"/>
      <w:pPr>
        <w:tabs>
          <w:tab w:val="num" w:pos="1440"/>
        </w:tabs>
        <w:ind w:left="1440" w:hanging="360"/>
      </w:pPr>
      <w:rPr>
        <w:rFonts w:ascii="Courier New" w:hAnsi="Courier New" w:cs="Courier New" w:hint="default"/>
      </w:rPr>
    </w:lvl>
    <w:lvl w:ilvl="2" w:tplc="140A0003">
      <w:start w:val="1"/>
      <w:numFmt w:val="bullet"/>
      <w:lvlText w:val="o"/>
      <w:lvlJc w:val="left"/>
      <w:pPr>
        <w:tabs>
          <w:tab w:val="num" w:pos="2160"/>
        </w:tabs>
        <w:ind w:left="2160" w:hanging="360"/>
      </w:pPr>
      <w:rPr>
        <w:rFonts w:ascii="Courier New" w:hAnsi="Courier New" w:cs="Courier New" w:hint="default"/>
      </w:rPr>
    </w:lvl>
    <w:lvl w:ilvl="3" w:tplc="E8DAA6E8">
      <w:start w:val="1"/>
      <w:numFmt w:val="bullet"/>
      <w:lvlText w:val=""/>
      <w:lvlJc w:val="left"/>
      <w:pPr>
        <w:tabs>
          <w:tab w:val="num" w:pos="2880"/>
        </w:tabs>
        <w:ind w:left="2880" w:hanging="360"/>
      </w:pPr>
      <w:rPr>
        <w:rFonts w:ascii="Wingdings 3" w:hAnsi="Wingdings 3" w:hint="default"/>
      </w:rPr>
    </w:lvl>
    <w:lvl w:ilvl="4" w:tplc="86CA7898" w:tentative="1">
      <w:start w:val="1"/>
      <w:numFmt w:val="bullet"/>
      <w:lvlText w:val=""/>
      <w:lvlJc w:val="left"/>
      <w:pPr>
        <w:tabs>
          <w:tab w:val="num" w:pos="3600"/>
        </w:tabs>
        <w:ind w:left="3600" w:hanging="360"/>
      </w:pPr>
      <w:rPr>
        <w:rFonts w:ascii="Wingdings 3" w:hAnsi="Wingdings 3" w:hint="default"/>
      </w:rPr>
    </w:lvl>
    <w:lvl w:ilvl="5" w:tplc="E85E02CE" w:tentative="1">
      <w:start w:val="1"/>
      <w:numFmt w:val="bullet"/>
      <w:lvlText w:val=""/>
      <w:lvlJc w:val="left"/>
      <w:pPr>
        <w:tabs>
          <w:tab w:val="num" w:pos="4320"/>
        </w:tabs>
        <w:ind w:left="4320" w:hanging="360"/>
      </w:pPr>
      <w:rPr>
        <w:rFonts w:ascii="Wingdings 3" w:hAnsi="Wingdings 3" w:hint="default"/>
      </w:rPr>
    </w:lvl>
    <w:lvl w:ilvl="6" w:tplc="D27089F2" w:tentative="1">
      <w:start w:val="1"/>
      <w:numFmt w:val="bullet"/>
      <w:lvlText w:val=""/>
      <w:lvlJc w:val="left"/>
      <w:pPr>
        <w:tabs>
          <w:tab w:val="num" w:pos="5040"/>
        </w:tabs>
        <w:ind w:left="5040" w:hanging="360"/>
      </w:pPr>
      <w:rPr>
        <w:rFonts w:ascii="Wingdings 3" w:hAnsi="Wingdings 3" w:hint="default"/>
      </w:rPr>
    </w:lvl>
    <w:lvl w:ilvl="7" w:tplc="842622FC" w:tentative="1">
      <w:start w:val="1"/>
      <w:numFmt w:val="bullet"/>
      <w:lvlText w:val=""/>
      <w:lvlJc w:val="left"/>
      <w:pPr>
        <w:tabs>
          <w:tab w:val="num" w:pos="5760"/>
        </w:tabs>
        <w:ind w:left="5760" w:hanging="360"/>
      </w:pPr>
      <w:rPr>
        <w:rFonts w:ascii="Wingdings 3" w:hAnsi="Wingdings 3" w:hint="default"/>
      </w:rPr>
    </w:lvl>
    <w:lvl w:ilvl="8" w:tplc="6B26FECE" w:tentative="1">
      <w:start w:val="1"/>
      <w:numFmt w:val="bullet"/>
      <w:lvlText w:val=""/>
      <w:lvlJc w:val="left"/>
      <w:pPr>
        <w:tabs>
          <w:tab w:val="num" w:pos="6480"/>
        </w:tabs>
        <w:ind w:left="6480" w:hanging="360"/>
      </w:pPr>
      <w:rPr>
        <w:rFonts w:ascii="Wingdings 3" w:hAnsi="Wingdings 3" w:hint="default"/>
      </w:rPr>
    </w:lvl>
  </w:abstractNum>
  <w:abstractNum w:abstractNumId="47" w15:restartNumberingAfterBreak="0">
    <w:nsid w:val="384D30B8"/>
    <w:multiLevelType w:val="hybridMultilevel"/>
    <w:tmpl w:val="4DE2514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8" w15:restartNumberingAfterBreak="0">
    <w:nsid w:val="3AB27A43"/>
    <w:multiLevelType w:val="hybridMultilevel"/>
    <w:tmpl w:val="50809E88"/>
    <w:lvl w:ilvl="0" w:tplc="6BC4C054">
      <w:start w:val="1"/>
      <w:numFmt w:val="bullet"/>
      <w:lvlText w:val="•"/>
      <w:lvlJc w:val="left"/>
      <w:pPr>
        <w:ind w:left="720" w:hanging="360"/>
      </w:pPr>
      <w:rPr>
        <w:rFonts w:ascii="Arial" w:hAnsi="Aria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3D7D1A5F"/>
    <w:multiLevelType w:val="hybridMultilevel"/>
    <w:tmpl w:val="EBCC72E0"/>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0" w15:restartNumberingAfterBreak="0">
    <w:nsid w:val="3E173305"/>
    <w:multiLevelType w:val="hybridMultilevel"/>
    <w:tmpl w:val="195C4122"/>
    <w:lvl w:ilvl="0" w:tplc="140A0003">
      <w:start w:val="1"/>
      <w:numFmt w:val="bullet"/>
      <w:lvlText w:val="o"/>
      <w:lvlJc w:val="left"/>
      <w:pPr>
        <w:ind w:left="1428" w:hanging="360"/>
      </w:pPr>
      <w:rPr>
        <w:rFonts w:ascii="Courier New" w:hAnsi="Courier New" w:cs="Courier New"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51" w15:restartNumberingAfterBreak="0">
    <w:nsid w:val="3E1F5B13"/>
    <w:multiLevelType w:val="hybridMultilevel"/>
    <w:tmpl w:val="859C1D78"/>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2" w15:restartNumberingAfterBreak="0">
    <w:nsid w:val="40776217"/>
    <w:multiLevelType w:val="hybridMultilevel"/>
    <w:tmpl w:val="97EA5D1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1354DCA"/>
    <w:multiLevelType w:val="hybridMultilevel"/>
    <w:tmpl w:val="2AD6C2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4" w15:restartNumberingAfterBreak="0">
    <w:nsid w:val="41690C4A"/>
    <w:multiLevelType w:val="hybridMultilevel"/>
    <w:tmpl w:val="166A46EA"/>
    <w:lvl w:ilvl="0" w:tplc="01C8A57C">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5" w15:restartNumberingAfterBreak="0">
    <w:nsid w:val="418436AF"/>
    <w:multiLevelType w:val="hybridMultilevel"/>
    <w:tmpl w:val="47DAF246"/>
    <w:lvl w:ilvl="0" w:tplc="140A0003">
      <w:start w:val="1"/>
      <w:numFmt w:val="bullet"/>
      <w:lvlText w:val="o"/>
      <w:lvlJc w:val="left"/>
      <w:pPr>
        <w:ind w:left="2136" w:hanging="360"/>
      </w:pPr>
      <w:rPr>
        <w:rFonts w:ascii="Courier New" w:hAnsi="Courier New" w:cs="Courier New" w:hint="default"/>
      </w:rPr>
    </w:lvl>
    <w:lvl w:ilvl="1" w:tplc="140A0003" w:tentative="1">
      <w:start w:val="1"/>
      <w:numFmt w:val="bullet"/>
      <w:lvlText w:val="o"/>
      <w:lvlJc w:val="left"/>
      <w:pPr>
        <w:ind w:left="2856" w:hanging="360"/>
      </w:pPr>
      <w:rPr>
        <w:rFonts w:ascii="Courier New" w:hAnsi="Courier New" w:cs="Courier New" w:hint="default"/>
      </w:rPr>
    </w:lvl>
    <w:lvl w:ilvl="2" w:tplc="140A0005" w:tentative="1">
      <w:start w:val="1"/>
      <w:numFmt w:val="bullet"/>
      <w:lvlText w:val=""/>
      <w:lvlJc w:val="left"/>
      <w:pPr>
        <w:ind w:left="3576" w:hanging="360"/>
      </w:pPr>
      <w:rPr>
        <w:rFonts w:ascii="Wingdings" w:hAnsi="Wingdings" w:hint="default"/>
      </w:rPr>
    </w:lvl>
    <w:lvl w:ilvl="3" w:tplc="140A0001" w:tentative="1">
      <w:start w:val="1"/>
      <w:numFmt w:val="bullet"/>
      <w:lvlText w:val=""/>
      <w:lvlJc w:val="left"/>
      <w:pPr>
        <w:ind w:left="4296" w:hanging="360"/>
      </w:pPr>
      <w:rPr>
        <w:rFonts w:ascii="Symbol" w:hAnsi="Symbol" w:hint="default"/>
      </w:rPr>
    </w:lvl>
    <w:lvl w:ilvl="4" w:tplc="140A0003" w:tentative="1">
      <w:start w:val="1"/>
      <w:numFmt w:val="bullet"/>
      <w:lvlText w:val="o"/>
      <w:lvlJc w:val="left"/>
      <w:pPr>
        <w:ind w:left="5016" w:hanging="360"/>
      </w:pPr>
      <w:rPr>
        <w:rFonts w:ascii="Courier New" w:hAnsi="Courier New" w:cs="Courier New" w:hint="default"/>
      </w:rPr>
    </w:lvl>
    <w:lvl w:ilvl="5" w:tplc="140A0005" w:tentative="1">
      <w:start w:val="1"/>
      <w:numFmt w:val="bullet"/>
      <w:lvlText w:val=""/>
      <w:lvlJc w:val="left"/>
      <w:pPr>
        <w:ind w:left="5736" w:hanging="360"/>
      </w:pPr>
      <w:rPr>
        <w:rFonts w:ascii="Wingdings" w:hAnsi="Wingdings" w:hint="default"/>
      </w:rPr>
    </w:lvl>
    <w:lvl w:ilvl="6" w:tplc="140A0001" w:tentative="1">
      <w:start w:val="1"/>
      <w:numFmt w:val="bullet"/>
      <w:lvlText w:val=""/>
      <w:lvlJc w:val="left"/>
      <w:pPr>
        <w:ind w:left="6456" w:hanging="360"/>
      </w:pPr>
      <w:rPr>
        <w:rFonts w:ascii="Symbol" w:hAnsi="Symbol" w:hint="default"/>
      </w:rPr>
    </w:lvl>
    <w:lvl w:ilvl="7" w:tplc="140A0003" w:tentative="1">
      <w:start w:val="1"/>
      <w:numFmt w:val="bullet"/>
      <w:lvlText w:val="o"/>
      <w:lvlJc w:val="left"/>
      <w:pPr>
        <w:ind w:left="7176" w:hanging="360"/>
      </w:pPr>
      <w:rPr>
        <w:rFonts w:ascii="Courier New" w:hAnsi="Courier New" w:cs="Courier New" w:hint="default"/>
      </w:rPr>
    </w:lvl>
    <w:lvl w:ilvl="8" w:tplc="140A0005" w:tentative="1">
      <w:start w:val="1"/>
      <w:numFmt w:val="bullet"/>
      <w:lvlText w:val=""/>
      <w:lvlJc w:val="left"/>
      <w:pPr>
        <w:ind w:left="7896" w:hanging="360"/>
      </w:pPr>
      <w:rPr>
        <w:rFonts w:ascii="Wingdings" w:hAnsi="Wingdings" w:hint="default"/>
      </w:rPr>
    </w:lvl>
  </w:abstractNum>
  <w:abstractNum w:abstractNumId="56" w15:restartNumberingAfterBreak="0">
    <w:nsid w:val="420442DD"/>
    <w:multiLevelType w:val="hybridMultilevel"/>
    <w:tmpl w:val="B40A8BA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 w15:restartNumberingAfterBreak="0">
    <w:nsid w:val="43C46A89"/>
    <w:multiLevelType w:val="hybridMultilevel"/>
    <w:tmpl w:val="9BDA865A"/>
    <w:lvl w:ilvl="0" w:tplc="92E86F90">
      <w:start w:val="1"/>
      <w:numFmt w:val="bullet"/>
      <w:lvlText w:val="•"/>
      <w:lvlJc w:val="left"/>
      <w:pPr>
        <w:tabs>
          <w:tab w:val="num" w:pos="720"/>
        </w:tabs>
        <w:ind w:left="720" w:hanging="360"/>
      </w:pPr>
      <w:rPr>
        <w:rFonts w:ascii="Arial" w:hAnsi="Arial" w:cs="Times New Roman" w:hint="default"/>
      </w:rPr>
    </w:lvl>
    <w:lvl w:ilvl="1" w:tplc="6D68CF06">
      <w:start w:val="1"/>
      <w:numFmt w:val="bullet"/>
      <w:lvlText w:val="•"/>
      <w:lvlJc w:val="left"/>
      <w:pPr>
        <w:tabs>
          <w:tab w:val="num" w:pos="1440"/>
        </w:tabs>
        <w:ind w:left="1440" w:hanging="360"/>
      </w:pPr>
      <w:rPr>
        <w:rFonts w:ascii="Arial" w:hAnsi="Arial" w:cs="Times New Roman" w:hint="default"/>
      </w:rPr>
    </w:lvl>
    <w:lvl w:ilvl="2" w:tplc="931ACC8E">
      <w:start w:val="1"/>
      <w:numFmt w:val="bullet"/>
      <w:lvlText w:val="•"/>
      <w:lvlJc w:val="left"/>
      <w:pPr>
        <w:tabs>
          <w:tab w:val="num" w:pos="2160"/>
        </w:tabs>
        <w:ind w:left="2160" w:hanging="360"/>
      </w:pPr>
      <w:rPr>
        <w:rFonts w:ascii="Arial" w:hAnsi="Arial" w:cs="Times New Roman" w:hint="default"/>
      </w:rPr>
    </w:lvl>
    <w:lvl w:ilvl="3" w:tplc="09822F62">
      <w:start w:val="1"/>
      <w:numFmt w:val="bullet"/>
      <w:lvlText w:val="•"/>
      <w:lvlJc w:val="left"/>
      <w:pPr>
        <w:tabs>
          <w:tab w:val="num" w:pos="2880"/>
        </w:tabs>
        <w:ind w:left="2880" w:hanging="360"/>
      </w:pPr>
      <w:rPr>
        <w:rFonts w:ascii="Arial" w:hAnsi="Arial" w:cs="Times New Roman" w:hint="default"/>
      </w:rPr>
    </w:lvl>
    <w:lvl w:ilvl="4" w:tplc="34CCFE12">
      <w:start w:val="1"/>
      <w:numFmt w:val="bullet"/>
      <w:lvlText w:val="•"/>
      <w:lvlJc w:val="left"/>
      <w:pPr>
        <w:tabs>
          <w:tab w:val="num" w:pos="3600"/>
        </w:tabs>
        <w:ind w:left="3600" w:hanging="360"/>
      </w:pPr>
      <w:rPr>
        <w:rFonts w:ascii="Arial" w:hAnsi="Arial" w:cs="Times New Roman" w:hint="default"/>
      </w:rPr>
    </w:lvl>
    <w:lvl w:ilvl="5" w:tplc="B7FCC4C2">
      <w:start w:val="1"/>
      <w:numFmt w:val="bullet"/>
      <w:lvlText w:val="•"/>
      <w:lvlJc w:val="left"/>
      <w:pPr>
        <w:tabs>
          <w:tab w:val="num" w:pos="4320"/>
        </w:tabs>
        <w:ind w:left="4320" w:hanging="360"/>
      </w:pPr>
      <w:rPr>
        <w:rFonts w:ascii="Arial" w:hAnsi="Arial" w:cs="Times New Roman" w:hint="default"/>
      </w:rPr>
    </w:lvl>
    <w:lvl w:ilvl="6" w:tplc="C4941576">
      <w:start w:val="1"/>
      <w:numFmt w:val="bullet"/>
      <w:lvlText w:val="•"/>
      <w:lvlJc w:val="left"/>
      <w:pPr>
        <w:tabs>
          <w:tab w:val="num" w:pos="5040"/>
        </w:tabs>
        <w:ind w:left="5040" w:hanging="360"/>
      </w:pPr>
      <w:rPr>
        <w:rFonts w:ascii="Arial" w:hAnsi="Arial" w:cs="Times New Roman" w:hint="default"/>
      </w:rPr>
    </w:lvl>
    <w:lvl w:ilvl="7" w:tplc="B70A8996">
      <w:start w:val="1"/>
      <w:numFmt w:val="bullet"/>
      <w:lvlText w:val="•"/>
      <w:lvlJc w:val="left"/>
      <w:pPr>
        <w:tabs>
          <w:tab w:val="num" w:pos="5760"/>
        </w:tabs>
        <w:ind w:left="5760" w:hanging="360"/>
      </w:pPr>
      <w:rPr>
        <w:rFonts w:ascii="Arial" w:hAnsi="Arial" w:cs="Times New Roman" w:hint="default"/>
      </w:rPr>
    </w:lvl>
    <w:lvl w:ilvl="8" w:tplc="C3426D6E">
      <w:start w:val="1"/>
      <w:numFmt w:val="bullet"/>
      <w:lvlText w:val="•"/>
      <w:lvlJc w:val="left"/>
      <w:pPr>
        <w:tabs>
          <w:tab w:val="num" w:pos="6480"/>
        </w:tabs>
        <w:ind w:left="6480" w:hanging="360"/>
      </w:pPr>
      <w:rPr>
        <w:rFonts w:ascii="Arial" w:hAnsi="Arial" w:cs="Times New Roman" w:hint="default"/>
      </w:rPr>
    </w:lvl>
  </w:abstractNum>
  <w:abstractNum w:abstractNumId="58" w15:restartNumberingAfterBreak="0">
    <w:nsid w:val="46C64D4F"/>
    <w:multiLevelType w:val="hybridMultilevel"/>
    <w:tmpl w:val="7F00B16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9" w15:restartNumberingAfterBreak="0">
    <w:nsid w:val="471946A3"/>
    <w:multiLevelType w:val="hybridMultilevel"/>
    <w:tmpl w:val="3B742594"/>
    <w:lvl w:ilvl="0" w:tplc="140A0003">
      <w:start w:val="1"/>
      <w:numFmt w:val="bullet"/>
      <w:lvlText w:val="o"/>
      <w:lvlJc w:val="left"/>
      <w:pPr>
        <w:ind w:left="1440" w:hanging="360"/>
      </w:pPr>
      <w:rPr>
        <w:rFonts w:ascii="Courier New" w:hAnsi="Courier New" w:cs="Courier New"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60" w15:restartNumberingAfterBreak="0">
    <w:nsid w:val="48193537"/>
    <w:multiLevelType w:val="hybridMultilevel"/>
    <w:tmpl w:val="8998F9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94A61C0"/>
    <w:multiLevelType w:val="hybridMultilevel"/>
    <w:tmpl w:val="FDB0E1B8"/>
    <w:lvl w:ilvl="0" w:tplc="140A0003">
      <w:start w:val="1"/>
      <w:numFmt w:val="bullet"/>
      <w:lvlText w:val="o"/>
      <w:lvlJc w:val="left"/>
      <w:pPr>
        <w:ind w:left="2136" w:hanging="360"/>
      </w:pPr>
      <w:rPr>
        <w:rFonts w:ascii="Courier New" w:hAnsi="Courier New" w:cs="Courier New" w:hint="default"/>
      </w:rPr>
    </w:lvl>
    <w:lvl w:ilvl="1" w:tplc="140A0003" w:tentative="1">
      <w:start w:val="1"/>
      <w:numFmt w:val="bullet"/>
      <w:lvlText w:val="o"/>
      <w:lvlJc w:val="left"/>
      <w:pPr>
        <w:ind w:left="2856" w:hanging="360"/>
      </w:pPr>
      <w:rPr>
        <w:rFonts w:ascii="Courier New" w:hAnsi="Courier New" w:cs="Courier New" w:hint="default"/>
      </w:rPr>
    </w:lvl>
    <w:lvl w:ilvl="2" w:tplc="140A0005" w:tentative="1">
      <w:start w:val="1"/>
      <w:numFmt w:val="bullet"/>
      <w:lvlText w:val=""/>
      <w:lvlJc w:val="left"/>
      <w:pPr>
        <w:ind w:left="3576" w:hanging="360"/>
      </w:pPr>
      <w:rPr>
        <w:rFonts w:ascii="Wingdings" w:hAnsi="Wingdings" w:hint="default"/>
      </w:rPr>
    </w:lvl>
    <w:lvl w:ilvl="3" w:tplc="140A0001" w:tentative="1">
      <w:start w:val="1"/>
      <w:numFmt w:val="bullet"/>
      <w:lvlText w:val=""/>
      <w:lvlJc w:val="left"/>
      <w:pPr>
        <w:ind w:left="4296" w:hanging="360"/>
      </w:pPr>
      <w:rPr>
        <w:rFonts w:ascii="Symbol" w:hAnsi="Symbol" w:hint="default"/>
      </w:rPr>
    </w:lvl>
    <w:lvl w:ilvl="4" w:tplc="140A0003" w:tentative="1">
      <w:start w:val="1"/>
      <w:numFmt w:val="bullet"/>
      <w:lvlText w:val="o"/>
      <w:lvlJc w:val="left"/>
      <w:pPr>
        <w:ind w:left="5016" w:hanging="360"/>
      </w:pPr>
      <w:rPr>
        <w:rFonts w:ascii="Courier New" w:hAnsi="Courier New" w:cs="Courier New" w:hint="default"/>
      </w:rPr>
    </w:lvl>
    <w:lvl w:ilvl="5" w:tplc="140A0005" w:tentative="1">
      <w:start w:val="1"/>
      <w:numFmt w:val="bullet"/>
      <w:lvlText w:val=""/>
      <w:lvlJc w:val="left"/>
      <w:pPr>
        <w:ind w:left="5736" w:hanging="360"/>
      </w:pPr>
      <w:rPr>
        <w:rFonts w:ascii="Wingdings" w:hAnsi="Wingdings" w:hint="default"/>
      </w:rPr>
    </w:lvl>
    <w:lvl w:ilvl="6" w:tplc="140A0001" w:tentative="1">
      <w:start w:val="1"/>
      <w:numFmt w:val="bullet"/>
      <w:lvlText w:val=""/>
      <w:lvlJc w:val="left"/>
      <w:pPr>
        <w:ind w:left="6456" w:hanging="360"/>
      </w:pPr>
      <w:rPr>
        <w:rFonts w:ascii="Symbol" w:hAnsi="Symbol" w:hint="default"/>
      </w:rPr>
    </w:lvl>
    <w:lvl w:ilvl="7" w:tplc="140A0003" w:tentative="1">
      <w:start w:val="1"/>
      <w:numFmt w:val="bullet"/>
      <w:lvlText w:val="o"/>
      <w:lvlJc w:val="left"/>
      <w:pPr>
        <w:ind w:left="7176" w:hanging="360"/>
      </w:pPr>
      <w:rPr>
        <w:rFonts w:ascii="Courier New" w:hAnsi="Courier New" w:cs="Courier New" w:hint="default"/>
      </w:rPr>
    </w:lvl>
    <w:lvl w:ilvl="8" w:tplc="140A0005" w:tentative="1">
      <w:start w:val="1"/>
      <w:numFmt w:val="bullet"/>
      <w:lvlText w:val=""/>
      <w:lvlJc w:val="left"/>
      <w:pPr>
        <w:ind w:left="7896" w:hanging="360"/>
      </w:pPr>
      <w:rPr>
        <w:rFonts w:ascii="Wingdings" w:hAnsi="Wingdings" w:hint="default"/>
      </w:rPr>
    </w:lvl>
  </w:abstractNum>
  <w:abstractNum w:abstractNumId="62" w15:restartNumberingAfterBreak="0">
    <w:nsid w:val="4A0036C2"/>
    <w:multiLevelType w:val="hybridMultilevel"/>
    <w:tmpl w:val="EFFE6E6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15:restartNumberingAfterBreak="0">
    <w:nsid w:val="4D0466A4"/>
    <w:multiLevelType w:val="hybridMultilevel"/>
    <w:tmpl w:val="DB5E63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15:restartNumberingAfterBreak="0">
    <w:nsid w:val="4D836447"/>
    <w:multiLevelType w:val="hybridMultilevel"/>
    <w:tmpl w:val="DB20E3FC"/>
    <w:lvl w:ilvl="0" w:tplc="140A0003">
      <w:start w:val="1"/>
      <w:numFmt w:val="bullet"/>
      <w:lvlText w:val="o"/>
      <w:lvlJc w:val="left"/>
      <w:pPr>
        <w:ind w:left="2844" w:hanging="360"/>
      </w:pPr>
      <w:rPr>
        <w:rFonts w:ascii="Courier New" w:hAnsi="Courier New" w:cs="Courier New" w:hint="default"/>
      </w:rPr>
    </w:lvl>
    <w:lvl w:ilvl="1" w:tplc="140A0003" w:tentative="1">
      <w:start w:val="1"/>
      <w:numFmt w:val="bullet"/>
      <w:lvlText w:val="o"/>
      <w:lvlJc w:val="left"/>
      <w:pPr>
        <w:ind w:left="3564" w:hanging="360"/>
      </w:pPr>
      <w:rPr>
        <w:rFonts w:ascii="Courier New" w:hAnsi="Courier New" w:cs="Courier New" w:hint="default"/>
      </w:rPr>
    </w:lvl>
    <w:lvl w:ilvl="2" w:tplc="140A0005" w:tentative="1">
      <w:start w:val="1"/>
      <w:numFmt w:val="bullet"/>
      <w:lvlText w:val=""/>
      <w:lvlJc w:val="left"/>
      <w:pPr>
        <w:ind w:left="4284" w:hanging="360"/>
      </w:pPr>
      <w:rPr>
        <w:rFonts w:ascii="Wingdings" w:hAnsi="Wingdings" w:hint="default"/>
      </w:rPr>
    </w:lvl>
    <w:lvl w:ilvl="3" w:tplc="140A0001" w:tentative="1">
      <w:start w:val="1"/>
      <w:numFmt w:val="bullet"/>
      <w:lvlText w:val=""/>
      <w:lvlJc w:val="left"/>
      <w:pPr>
        <w:ind w:left="5004" w:hanging="360"/>
      </w:pPr>
      <w:rPr>
        <w:rFonts w:ascii="Symbol" w:hAnsi="Symbol" w:hint="default"/>
      </w:rPr>
    </w:lvl>
    <w:lvl w:ilvl="4" w:tplc="140A0003" w:tentative="1">
      <w:start w:val="1"/>
      <w:numFmt w:val="bullet"/>
      <w:lvlText w:val="o"/>
      <w:lvlJc w:val="left"/>
      <w:pPr>
        <w:ind w:left="5724" w:hanging="360"/>
      </w:pPr>
      <w:rPr>
        <w:rFonts w:ascii="Courier New" w:hAnsi="Courier New" w:cs="Courier New" w:hint="default"/>
      </w:rPr>
    </w:lvl>
    <w:lvl w:ilvl="5" w:tplc="140A0005" w:tentative="1">
      <w:start w:val="1"/>
      <w:numFmt w:val="bullet"/>
      <w:lvlText w:val=""/>
      <w:lvlJc w:val="left"/>
      <w:pPr>
        <w:ind w:left="6444" w:hanging="360"/>
      </w:pPr>
      <w:rPr>
        <w:rFonts w:ascii="Wingdings" w:hAnsi="Wingdings" w:hint="default"/>
      </w:rPr>
    </w:lvl>
    <w:lvl w:ilvl="6" w:tplc="140A0001" w:tentative="1">
      <w:start w:val="1"/>
      <w:numFmt w:val="bullet"/>
      <w:lvlText w:val=""/>
      <w:lvlJc w:val="left"/>
      <w:pPr>
        <w:ind w:left="7164" w:hanging="360"/>
      </w:pPr>
      <w:rPr>
        <w:rFonts w:ascii="Symbol" w:hAnsi="Symbol" w:hint="default"/>
      </w:rPr>
    </w:lvl>
    <w:lvl w:ilvl="7" w:tplc="140A0003" w:tentative="1">
      <w:start w:val="1"/>
      <w:numFmt w:val="bullet"/>
      <w:lvlText w:val="o"/>
      <w:lvlJc w:val="left"/>
      <w:pPr>
        <w:ind w:left="7884" w:hanging="360"/>
      </w:pPr>
      <w:rPr>
        <w:rFonts w:ascii="Courier New" w:hAnsi="Courier New" w:cs="Courier New" w:hint="default"/>
      </w:rPr>
    </w:lvl>
    <w:lvl w:ilvl="8" w:tplc="140A0005" w:tentative="1">
      <w:start w:val="1"/>
      <w:numFmt w:val="bullet"/>
      <w:lvlText w:val=""/>
      <w:lvlJc w:val="left"/>
      <w:pPr>
        <w:ind w:left="8604" w:hanging="360"/>
      </w:pPr>
      <w:rPr>
        <w:rFonts w:ascii="Wingdings" w:hAnsi="Wingdings" w:hint="default"/>
      </w:rPr>
    </w:lvl>
  </w:abstractNum>
  <w:abstractNum w:abstractNumId="65" w15:restartNumberingAfterBreak="0">
    <w:nsid w:val="4E530250"/>
    <w:multiLevelType w:val="hybridMultilevel"/>
    <w:tmpl w:val="E0722F9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6" w15:restartNumberingAfterBreak="0">
    <w:nsid w:val="52F96E76"/>
    <w:multiLevelType w:val="hybridMultilevel"/>
    <w:tmpl w:val="C2E0955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7" w15:restartNumberingAfterBreak="0">
    <w:nsid w:val="56135BE4"/>
    <w:multiLevelType w:val="hybridMultilevel"/>
    <w:tmpl w:val="0088E43A"/>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8" w15:restartNumberingAfterBreak="0">
    <w:nsid w:val="586C7034"/>
    <w:multiLevelType w:val="multilevel"/>
    <w:tmpl w:val="9FAC37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59DE6B14"/>
    <w:multiLevelType w:val="hybridMultilevel"/>
    <w:tmpl w:val="63181C4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0" w15:restartNumberingAfterBreak="0">
    <w:nsid w:val="5AB0561A"/>
    <w:multiLevelType w:val="multilevel"/>
    <w:tmpl w:val="B6A20D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5B8E116C"/>
    <w:multiLevelType w:val="hybridMultilevel"/>
    <w:tmpl w:val="12A6B3C2"/>
    <w:lvl w:ilvl="0" w:tplc="140A000F">
      <w:start w:val="1"/>
      <w:numFmt w:val="decimal"/>
      <w:lvlText w:val="%1."/>
      <w:lvlJc w:val="lef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72" w15:restartNumberingAfterBreak="0">
    <w:nsid w:val="5E3864B3"/>
    <w:multiLevelType w:val="hybridMultilevel"/>
    <w:tmpl w:val="0DEC6610"/>
    <w:lvl w:ilvl="0" w:tplc="140A0003">
      <w:start w:val="1"/>
      <w:numFmt w:val="bullet"/>
      <w:lvlText w:val="o"/>
      <w:lvlJc w:val="left"/>
      <w:pPr>
        <w:tabs>
          <w:tab w:val="num" w:pos="720"/>
        </w:tabs>
        <w:ind w:left="720" w:hanging="360"/>
      </w:pPr>
      <w:rPr>
        <w:rFonts w:ascii="Courier New" w:hAnsi="Courier New" w:cs="Courier New" w:hint="default"/>
      </w:rPr>
    </w:lvl>
    <w:lvl w:ilvl="1" w:tplc="1BBA0A6C" w:tentative="1">
      <w:start w:val="1"/>
      <w:numFmt w:val="bullet"/>
      <w:lvlText w:val=""/>
      <w:lvlJc w:val="left"/>
      <w:pPr>
        <w:tabs>
          <w:tab w:val="num" w:pos="1440"/>
        </w:tabs>
        <w:ind w:left="1440" w:hanging="360"/>
      </w:pPr>
      <w:rPr>
        <w:rFonts w:ascii="Wingdings 3" w:hAnsi="Wingdings 3" w:hint="default"/>
      </w:rPr>
    </w:lvl>
    <w:lvl w:ilvl="2" w:tplc="27E4A866" w:tentative="1">
      <w:start w:val="1"/>
      <w:numFmt w:val="bullet"/>
      <w:lvlText w:val=""/>
      <w:lvlJc w:val="left"/>
      <w:pPr>
        <w:tabs>
          <w:tab w:val="num" w:pos="2160"/>
        </w:tabs>
        <w:ind w:left="2160" w:hanging="360"/>
      </w:pPr>
      <w:rPr>
        <w:rFonts w:ascii="Wingdings 3" w:hAnsi="Wingdings 3" w:hint="default"/>
      </w:rPr>
    </w:lvl>
    <w:lvl w:ilvl="3" w:tplc="CA4654E6" w:tentative="1">
      <w:start w:val="1"/>
      <w:numFmt w:val="bullet"/>
      <w:lvlText w:val=""/>
      <w:lvlJc w:val="left"/>
      <w:pPr>
        <w:tabs>
          <w:tab w:val="num" w:pos="2880"/>
        </w:tabs>
        <w:ind w:left="2880" w:hanging="360"/>
      </w:pPr>
      <w:rPr>
        <w:rFonts w:ascii="Wingdings 3" w:hAnsi="Wingdings 3" w:hint="default"/>
      </w:rPr>
    </w:lvl>
    <w:lvl w:ilvl="4" w:tplc="812C0CFA" w:tentative="1">
      <w:start w:val="1"/>
      <w:numFmt w:val="bullet"/>
      <w:lvlText w:val=""/>
      <w:lvlJc w:val="left"/>
      <w:pPr>
        <w:tabs>
          <w:tab w:val="num" w:pos="3600"/>
        </w:tabs>
        <w:ind w:left="3600" w:hanging="360"/>
      </w:pPr>
      <w:rPr>
        <w:rFonts w:ascii="Wingdings 3" w:hAnsi="Wingdings 3" w:hint="default"/>
      </w:rPr>
    </w:lvl>
    <w:lvl w:ilvl="5" w:tplc="4A8A1FA4" w:tentative="1">
      <w:start w:val="1"/>
      <w:numFmt w:val="bullet"/>
      <w:lvlText w:val=""/>
      <w:lvlJc w:val="left"/>
      <w:pPr>
        <w:tabs>
          <w:tab w:val="num" w:pos="4320"/>
        </w:tabs>
        <w:ind w:left="4320" w:hanging="360"/>
      </w:pPr>
      <w:rPr>
        <w:rFonts w:ascii="Wingdings 3" w:hAnsi="Wingdings 3" w:hint="default"/>
      </w:rPr>
    </w:lvl>
    <w:lvl w:ilvl="6" w:tplc="26EA26EE" w:tentative="1">
      <w:start w:val="1"/>
      <w:numFmt w:val="bullet"/>
      <w:lvlText w:val=""/>
      <w:lvlJc w:val="left"/>
      <w:pPr>
        <w:tabs>
          <w:tab w:val="num" w:pos="5040"/>
        </w:tabs>
        <w:ind w:left="5040" w:hanging="360"/>
      </w:pPr>
      <w:rPr>
        <w:rFonts w:ascii="Wingdings 3" w:hAnsi="Wingdings 3" w:hint="default"/>
      </w:rPr>
    </w:lvl>
    <w:lvl w:ilvl="7" w:tplc="D0ACE0FC" w:tentative="1">
      <w:start w:val="1"/>
      <w:numFmt w:val="bullet"/>
      <w:lvlText w:val=""/>
      <w:lvlJc w:val="left"/>
      <w:pPr>
        <w:tabs>
          <w:tab w:val="num" w:pos="5760"/>
        </w:tabs>
        <w:ind w:left="5760" w:hanging="360"/>
      </w:pPr>
      <w:rPr>
        <w:rFonts w:ascii="Wingdings 3" w:hAnsi="Wingdings 3" w:hint="default"/>
      </w:rPr>
    </w:lvl>
    <w:lvl w:ilvl="8" w:tplc="9E34BEB0" w:tentative="1">
      <w:start w:val="1"/>
      <w:numFmt w:val="bullet"/>
      <w:lvlText w:val=""/>
      <w:lvlJc w:val="left"/>
      <w:pPr>
        <w:tabs>
          <w:tab w:val="num" w:pos="6480"/>
        </w:tabs>
        <w:ind w:left="6480" w:hanging="360"/>
      </w:pPr>
      <w:rPr>
        <w:rFonts w:ascii="Wingdings 3" w:hAnsi="Wingdings 3" w:hint="default"/>
      </w:rPr>
    </w:lvl>
  </w:abstractNum>
  <w:abstractNum w:abstractNumId="73" w15:restartNumberingAfterBreak="0">
    <w:nsid w:val="5EC878ED"/>
    <w:multiLevelType w:val="hybridMultilevel"/>
    <w:tmpl w:val="981298D6"/>
    <w:lvl w:ilvl="0" w:tplc="140A0003">
      <w:start w:val="1"/>
      <w:numFmt w:val="bullet"/>
      <w:lvlText w:val="o"/>
      <w:lvlJc w:val="left"/>
      <w:pPr>
        <w:tabs>
          <w:tab w:val="num" w:pos="720"/>
        </w:tabs>
        <w:ind w:left="720" w:hanging="360"/>
      </w:pPr>
      <w:rPr>
        <w:rFonts w:ascii="Courier New" w:hAnsi="Courier New" w:cs="Courier New" w:hint="default"/>
      </w:rPr>
    </w:lvl>
    <w:lvl w:ilvl="1" w:tplc="6D42F16C" w:tentative="1">
      <w:start w:val="1"/>
      <w:numFmt w:val="bullet"/>
      <w:lvlText w:val=""/>
      <w:lvlJc w:val="left"/>
      <w:pPr>
        <w:tabs>
          <w:tab w:val="num" w:pos="1440"/>
        </w:tabs>
        <w:ind w:left="1440" w:hanging="360"/>
      </w:pPr>
      <w:rPr>
        <w:rFonts w:ascii="Wingdings 3" w:hAnsi="Wingdings 3" w:hint="default"/>
      </w:rPr>
    </w:lvl>
    <w:lvl w:ilvl="2" w:tplc="616602E0" w:tentative="1">
      <w:start w:val="1"/>
      <w:numFmt w:val="bullet"/>
      <w:lvlText w:val=""/>
      <w:lvlJc w:val="left"/>
      <w:pPr>
        <w:tabs>
          <w:tab w:val="num" w:pos="2160"/>
        </w:tabs>
        <w:ind w:left="2160" w:hanging="360"/>
      </w:pPr>
      <w:rPr>
        <w:rFonts w:ascii="Wingdings 3" w:hAnsi="Wingdings 3" w:hint="default"/>
      </w:rPr>
    </w:lvl>
    <w:lvl w:ilvl="3" w:tplc="8CCCD5F6" w:tentative="1">
      <w:start w:val="1"/>
      <w:numFmt w:val="bullet"/>
      <w:lvlText w:val=""/>
      <w:lvlJc w:val="left"/>
      <w:pPr>
        <w:tabs>
          <w:tab w:val="num" w:pos="2880"/>
        </w:tabs>
        <w:ind w:left="2880" w:hanging="360"/>
      </w:pPr>
      <w:rPr>
        <w:rFonts w:ascii="Wingdings 3" w:hAnsi="Wingdings 3" w:hint="default"/>
      </w:rPr>
    </w:lvl>
    <w:lvl w:ilvl="4" w:tplc="CCCC4698" w:tentative="1">
      <w:start w:val="1"/>
      <w:numFmt w:val="bullet"/>
      <w:lvlText w:val=""/>
      <w:lvlJc w:val="left"/>
      <w:pPr>
        <w:tabs>
          <w:tab w:val="num" w:pos="3600"/>
        </w:tabs>
        <w:ind w:left="3600" w:hanging="360"/>
      </w:pPr>
      <w:rPr>
        <w:rFonts w:ascii="Wingdings 3" w:hAnsi="Wingdings 3" w:hint="default"/>
      </w:rPr>
    </w:lvl>
    <w:lvl w:ilvl="5" w:tplc="95461E2E" w:tentative="1">
      <w:start w:val="1"/>
      <w:numFmt w:val="bullet"/>
      <w:lvlText w:val=""/>
      <w:lvlJc w:val="left"/>
      <w:pPr>
        <w:tabs>
          <w:tab w:val="num" w:pos="4320"/>
        </w:tabs>
        <w:ind w:left="4320" w:hanging="360"/>
      </w:pPr>
      <w:rPr>
        <w:rFonts w:ascii="Wingdings 3" w:hAnsi="Wingdings 3" w:hint="default"/>
      </w:rPr>
    </w:lvl>
    <w:lvl w:ilvl="6" w:tplc="394A45D6" w:tentative="1">
      <w:start w:val="1"/>
      <w:numFmt w:val="bullet"/>
      <w:lvlText w:val=""/>
      <w:lvlJc w:val="left"/>
      <w:pPr>
        <w:tabs>
          <w:tab w:val="num" w:pos="5040"/>
        </w:tabs>
        <w:ind w:left="5040" w:hanging="360"/>
      </w:pPr>
      <w:rPr>
        <w:rFonts w:ascii="Wingdings 3" w:hAnsi="Wingdings 3" w:hint="default"/>
      </w:rPr>
    </w:lvl>
    <w:lvl w:ilvl="7" w:tplc="A4E438A6" w:tentative="1">
      <w:start w:val="1"/>
      <w:numFmt w:val="bullet"/>
      <w:lvlText w:val=""/>
      <w:lvlJc w:val="left"/>
      <w:pPr>
        <w:tabs>
          <w:tab w:val="num" w:pos="5760"/>
        </w:tabs>
        <w:ind w:left="5760" w:hanging="360"/>
      </w:pPr>
      <w:rPr>
        <w:rFonts w:ascii="Wingdings 3" w:hAnsi="Wingdings 3" w:hint="default"/>
      </w:rPr>
    </w:lvl>
    <w:lvl w:ilvl="8" w:tplc="C4C8E86A" w:tentative="1">
      <w:start w:val="1"/>
      <w:numFmt w:val="bullet"/>
      <w:lvlText w:val=""/>
      <w:lvlJc w:val="left"/>
      <w:pPr>
        <w:tabs>
          <w:tab w:val="num" w:pos="6480"/>
        </w:tabs>
        <w:ind w:left="6480" w:hanging="360"/>
      </w:pPr>
      <w:rPr>
        <w:rFonts w:ascii="Wingdings 3" w:hAnsi="Wingdings 3" w:hint="default"/>
      </w:rPr>
    </w:lvl>
  </w:abstractNum>
  <w:abstractNum w:abstractNumId="74" w15:restartNumberingAfterBreak="0">
    <w:nsid w:val="5F5B65A0"/>
    <w:multiLevelType w:val="hybridMultilevel"/>
    <w:tmpl w:val="7FCE84C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5" w15:restartNumberingAfterBreak="0">
    <w:nsid w:val="610E2B6E"/>
    <w:multiLevelType w:val="hybridMultilevel"/>
    <w:tmpl w:val="18329746"/>
    <w:lvl w:ilvl="0" w:tplc="140A0001">
      <w:start w:val="1"/>
      <w:numFmt w:val="bullet"/>
      <w:lvlText w:val=""/>
      <w:lvlJc w:val="left"/>
      <w:pPr>
        <w:tabs>
          <w:tab w:val="num" w:pos="720"/>
        </w:tabs>
        <w:ind w:left="720" w:hanging="360"/>
      </w:pPr>
      <w:rPr>
        <w:rFonts w:ascii="Symbol" w:hAnsi="Symbol" w:hint="default"/>
      </w:rPr>
    </w:lvl>
    <w:lvl w:ilvl="1" w:tplc="D4CA0482">
      <w:start w:val="1"/>
      <w:numFmt w:val="bullet"/>
      <w:lvlText w:val="o"/>
      <w:lvlJc w:val="left"/>
      <w:pPr>
        <w:tabs>
          <w:tab w:val="num" w:pos="1440"/>
        </w:tabs>
        <w:ind w:left="1440" w:hanging="360"/>
      </w:pPr>
      <w:rPr>
        <w:rFonts w:ascii="Courier New" w:hAnsi="Courier New" w:cs="Courier New" w:hint="default"/>
        <w:b/>
      </w:rPr>
    </w:lvl>
    <w:lvl w:ilvl="2" w:tplc="A05A0DBE" w:tentative="1">
      <w:start w:val="1"/>
      <w:numFmt w:val="bullet"/>
      <w:lvlText w:val=""/>
      <w:lvlJc w:val="left"/>
      <w:pPr>
        <w:tabs>
          <w:tab w:val="num" w:pos="2160"/>
        </w:tabs>
        <w:ind w:left="2160" w:hanging="360"/>
      </w:pPr>
      <w:rPr>
        <w:rFonts w:ascii="Wingdings 3" w:hAnsi="Wingdings 3" w:hint="default"/>
      </w:rPr>
    </w:lvl>
    <w:lvl w:ilvl="3" w:tplc="6ECAB104" w:tentative="1">
      <w:start w:val="1"/>
      <w:numFmt w:val="bullet"/>
      <w:lvlText w:val=""/>
      <w:lvlJc w:val="left"/>
      <w:pPr>
        <w:tabs>
          <w:tab w:val="num" w:pos="2880"/>
        </w:tabs>
        <w:ind w:left="2880" w:hanging="360"/>
      </w:pPr>
      <w:rPr>
        <w:rFonts w:ascii="Wingdings 3" w:hAnsi="Wingdings 3" w:hint="default"/>
      </w:rPr>
    </w:lvl>
    <w:lvl w:ilvl="4" w:tplc="924850E2" w:tentative="1">
      <w:start w:val="1"/>
      <w:numFmt w:val="bullet"/>
      <w:lvlText w:val=""/>
      <w:lvlJc w:val="left"/>
      <w:pPr>
        <w:tabs>
          <w:tab w:val="num" w:pos="3600"/>
        </w:tabs>
        <w:ind w:left="3600" w:hanging="360"/>
      </w:pPr>
      <w:rPr>
        <w:rFonts w:ascii="Wingdings 3" w:hAnsi="Wingdings 3" w:hint="default"/>
      </w:rPr>
    </w:lvl>
    <w:lvl w:ilvl="5" w:tplc="4106DD16" w:tentative="1">
      <w:start w:val="1"/>
      <w:numFmt w:val="bullet"/>
      <w:lvlText w:val=""/>
      <w:lvlJc w:val="left"/>
      <w:pPr>
        <w:tabs>
          <w:tab w:val="num" w:pos="4320"/>
        </w:tabs>
        <w:ind w:left="4320" w:hanging="360"/>
      </w:pPr>
      <w:rPr>
        <w:rFonts w:ascii="Wingdings 3" w:hAnsi="Wingdings 3" w:hint="default"/>
      </w:rPr>
    </w:lvl>
    <w:lvl w:ilvl="6" w:tplc="503EC108" w:tentative="1">
      <w:start w:val="1"/>
      <w:numFmt w:val="bullet"/>
      <w:lvlText w:val=""/>
      <w:lvlJc w:val="left"/>
      <w:pPr>
        <w:tabs>
          <w:tab w:val="num" w:pos="5040"/>
        </w:tabs>
        <w:ind w:left="5040" w:hanging="360"/>
      </w:pPr>
      <w:rPr>
        <w:rFonts w:ascii="Wingdings 3" w:hAnsi="Wingdings 3" w:hint="default"/>
      </w:rPr>
    </w:lvl>
    <w:lvl w:ilvl="7" w:tplc="E6B8B0B8" w:tentative="1">
      <w:start w:val="1"/>
      <w:numFmt w:val="bullet"/>
      <w:lvlText w:val=""/>
      <w:lvlJc w:val="left"/>
      <w:pPr>
        <w:tabs>
          <w:tab w:val="num" w:pos="5760"/>
        </w:tabs>
        <w:ind w:left="5760" w:hanging="360"/>
      </w:pPr>
      <w:rPr>
        <w:rFonts w:ascii="Wingdings 3" w:hAnsi="Wingdings 3" w:hint="default"/>
      </w:rPr>
    </w:lvl>
    <w:lvl w:ilvl="8" w:tplc="0F0A768A" w:tentative="1">
      <w:start w:val="1"/>
      <w:numFmt w:val="bullet"/>
      <w:lvlText w:val=""/>
      <w:lvlJc w:val="left"/>
      <w:pPr>
        <w:tabs>
          <w:tab w:val="num" w:pos="6480"/>
        </w:tabs>
        <w:ind w:left="6480" w:hanging="360"/>
      </w:pPr>
      <w:rPr>
        <w:rFonts w:ascii="Wingdings 3" w:hAnsi="Wingdings 3" w:hint="default"/>
      </w:rPr>
    </w:lvl>
  </w:abstractNum>
  <w:abstractNum w:abstractNumId="76" w15:restartNumberingAfterBreak="0">
    <w:nsid w:val="61FA752F"/>
    <w:multiLevelType w:val="hybridMultilevel"/>
    <w:tmpl w:val="D2A23604"/>
    <w:lvl w:ilvl="0" w:tplc="0FD605D4">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7" w15:restartNumberingAfterBreak="0">
    <w:nsid w:val="6294084A"/>
    <w:multiLevelType w:val="hybridMultilevel"/>
    <w:tmpl w:val="23CCA814"/>
    <w:lvl w:ilvl="0" w:tplc="E4C6186A">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8" w15:restartNumberingAfterBreak="0">
    <w:nsid w:val="646541AA"/>
    <w:multiLevelType w:val="hybridMultilevel"/>
    <w:tmpl w:val="96AA9D64"/>
    <w:lvl w:ilvl="0" w:tplc="140A0003">
      <w:start w:val="1"/>
      <w:numFmt w:val="bullet"/>
      <w:lvlText w:val="o"/>
      <w:lvlJc w:val="left"/>
      <w:pPr>
        <w:ind w:left="2136" w:hanging="360"/>
      </w:pPr>
      <w:rPr>
        <w:rFonts w:ascii="Courier New" w:hAnsi="Courier New" w:cs="Courier New" w:hint="default"/>
      </w:rPr>
    </w:lvl>
    <w:lvl w:ilvl="1" w:tplc="140A0003" w:tentative="1">
      <w:start w:val="1"/>
      <w:numFmt w:val="bullet"/>
      <w:lvlText w:val="o"/>
      <w:lvlJc w:val="left"/>
      <w:pPr>
        <w:ind w:left="2856" w:hanging="360"/>
      </w:pPr>
      <w:rPr>
        <w:rFonts w:ascii="Courier New" w:hAnsi="Courier New" w:cs="Courier New" w:hint="default"/>
      </w:rPr>
    </w:lvl>
    <w:lvl w:ilvl="2" w:tplc="140A0005" w:tentative="1">
      <w:start w:val="1"/>
      <w:numFmt w:val="bullet"/>
      <w:lvlText w:val=""/>
      <w:lvlJc w:val="left"/>
      <w:pPr>
        <w:ind w:left="3576" w:hanging="360"/>
      </w:pPr>
      <w:rPr>
        <w:rFonts w:ascii="Wingdings" w:hAnsi="Wingdings" w:hint="default"/>
      </w:rPr>
    </w:lvl>
    <w:lvl w:ilvl="3" w:tplc="140A0001" w:tentative="1">
      <w:start w:val="1"/>
      <w:numFmt w:val="bullet"/>
      <w:lvlText w:val=""/>
      <w:lvlJc w:val="left"/>
      <w:pPr>
        <w:ind w:left="4296" w:hanging="360"/>
      </w:pPr>
      <w:rPr>
        <w:rFonts w:ascii="Symbol" w:hAnsi="Symbol" w:hint="default"/>
      </w:rPr>
    </w:lvl>
    <w:lvl w:ilvl="4" w:tplc="140A0003" w:tentative="1">
      <w:start w:val="1"/>
      <w:numFmt w:val="bullet"/>
      <w:lvlText w:val="o"/>
      <w:lvlJc w:val="left"/>
      <w:pPr>
        <w:ind w:left="5016" w:hanging="360"/>
      </w:pPr>
      <w:rPr>
        <w:rFonts w:ascii="Courier New" w:hAnsi="Courier New" w:cs="Courier New" w:hint="default"/>
      </w:rPr>
    </w:lvl>
    <w:lvl w:ilvl="5" w:tplc="140A0005" w:tentative="1">
      <w:start w:val="1"/>
      <w:numFmt w:val="bullet"/>
      <w:lvlText w:val=""/>
      <w:lvlJc w:val="left"/>
      <w:pPr>
        <w:ind w:left="5736" w:hanging="360"/>
      </w:pPr>
      <w:rPr>
        <w:rFonts w:ascii="Wingdings" w:hAnsi="Wingdings" w:hint="default"/>
      </w:rPr>
    </w:lvl>
    <w:lvl w:ilvl="6" w:tplc="140A0001" w:tentative="1">
      <w:start w:val="1"/>
      <w:numFmt w:val="bullet"/>
      <w:lvlText w:val=""/>
      <w:lvlJc w:val="left"/>
      <w:pPr>
        <w:ind w:left="6456" w:hanging="360"/>
      </w:pPr>
      <w:rPr>
        <w:rFonts w:ascii="Symbol" w:hAnsi="Symbol" w:hint="default"/>
      </w:rPr>
    </w:lvl>
    <w:lvl w:ilvl="7" w:tplc="140A0003" w:tentative="1">
      <w:start w:val="1"/>
      <w:numFmt w:val="bullet"/>
      <w:lvlText w:val="o"/>
      <w:lvlJc w:val="left"/>
      <w:pPr>
        <w:ind w:left="7176" w:hanging="360"/>
      </w:pPr>
      <w:rPr>
        <w:rFonts w:ascii="Courier New" w:hAnsi="Courier New" w:cs="Courier New" w:hint="default"/>
      </w:rPr>
    </w:lvl>
    <w:lvl w:ilvl="8" w:tplc="140A0005" w:tentative="1">
      <w:start w:val="1"/>
      <w:numFmt w:val="bullet"/>
      <w:lvlText w:val=""/>
      <w:lvlJc w:val="left"/>
      <w:pPr>
        <w:ind w:left="7896" w:hanging="360"/>
      </w:pPr>
      <w:rPr>
        <w:rFonts w:ascii="Wingdings" w:hAnsi="Wingdings" w:hint="default"/>
      </w:rPr>
    </w:lvl>
  </w:abstractNum>
  <w:abstractNum w:abstractNumId="79" w15:restartNumberingAfterBreak="0">
    <w:nsid w:val="66F05B2F"/>
    <w:multiLevelType w:val="hybridMultilevel"/>
    <w:tmpl w:val="46BE7902"/>
    <w:lvl w:ilvl="0" w:tplc="040A0019">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80" w15:restartNumberingAfterBreak="0">
    <w:nsid w:val="67A16643"/>
    <w:multiLevelType w:val="hybridMultilevel"/>
    <w:tmpl w:val="CE1A4800"/>
    <w:lvl w:ilvl="0" w:tplc="140A0003">
      <w:start w:val="1"/>
      <w:numFmt w:val="bullet"/>
      <w:lvlText w:val="o"/>
      <w:lvlJc w:val="left"/>
      <w:pPr>
        <w:ind w:left="2160" w:hanging="360"/>
      </w:pPr>
      <w:rPr>
        <w:rFonts w:ascii="Courier New" w:hAnsi="Courier New" w:cs="Courier New" w:hint="default"/>
      </w:rPr>
    </w:lvl>
    <w:lvl w:ilvl="1" w:tplc="140A0003" w:tentative="1">
      <w:start w:val="1"/>
      <w:numFmt w:val="bullet"/>
      <w:lvlText w:val="o"/>
      <w:lvlJc w:val="left"/>
      <w:pPr>
        <w:ind w:left="2880" w:hanging="360"/>
      </w:pPr>
      <w:rPr>
        <w:rFonts w:ascii="Courier New" w:hAnsi="Courier New" w:cs="Courier New" w:hint="default"/>
      </w:rPr>
    </w:lvl>
    <w:lvl w:ilvl="2" w:tplc="140A0005" w:tentative="1">
      <w:start w:val="1"/>
      <w:numFmt w:val="bullet"/>
      <w:lvlText w:val=""/>
      <w:lvlJc w:val="left"/>
      <w:pPr>
        <w:ind w:left="3600" w:hanging="360"/>
      </w:pPr>
      <w:rPr>
        <w:rFonts w:ascii="Wingdings" w:hAnsi="Wingdings" w:hint="default"/>
      </w:rPr>
    </w:lvl>
    <w:lvl w:ilvl="3" w:tplc="140A0001" w:tentative="1">
      <w:start w:val="1"/>
      <w:numFmt w:val="bullet"/>
      <w:lvlText w:val=""/>
      <w:lvlJc w:val="left"/>
      <w:pPr>
        <w:ind w:left="4320" w:hanging="360"/>
      </w:pPr>
      <w:rPr>
        <w:rFonts w:ascii="Symbol" w:hAnsi="Symbol" w:hint="default"/>
      </w:rPr>
    </w:lvl>
    <w:lvl w:ilvl="4" w:tplc="140A0003" w:tentative="1">
      <w:start w:val="1"/>
      <w:numFmt w:val="bullet"/>
      <w:lvlText w:val="o"/>
      <w:lvlJc w:val="left"/>
      <w:pPr>
        <w:ind w:left="5040" w:hanging="360"/>
      </w:pPr>
      <w:rPr>
        <w:rFonts w:ascii="Courier New" w:hAnsi="Courier New" w:cs="Courier New" w:hint="default"/>
      </w:rPr>
    </w:lvl>
    <w:lvl w:ilvl="5" w:tplc="140A0005" w:tentative="1">
      <w:start w:val="1"/>
      <w:numFmt w:val="bullet"/>
      <w:lvlText w:val=""/>
      <w:lvlJc w:val="left"/>
      <w:pPr>
        <w:ind w:left="5760" w:hanging="360"/>
      </w:pPr>
      <w:rPr>
        <w:rFonts w:ascii="Wingdings" w:hAnsi="Wingdings" w:hint="default"/>
      </w:rPr>
    </w:lvl>
    <w:lvl w:ilvl="6" w:tplc="140A0001" w:tentative="1">
      <w:start w:val="1"/>
      <w:numFmt w:val="bullet"/>
      <w:lvlText w:val=""/>
      <w:lvlJc w:val="left"/>
      <w:pPr>
        <w:ind w:left="6480" w:hanging="360"/>
      </w:pPr>
      <w:rPr>
        <w:rFonts w:ascii="Symbol" w:hAnsi="Symbol" w:hint="default"/>
      </w:rPr>
    </w:lvl>
    <w:lvl w:ilvl="7" w:tplc="140A0003" w:tentative="1">
      <w:start w:val="1"/>
      <w:numFmt w:val="bullet"/>
      <w:lvlText w:val="o"/>
      <w:lvlJc w:val="left"/>
      <w:pPr>
        <w:ind w:left="7200" w:hanging="360"/>
      </w:pPr>
      <w:rPr>
        <w:rFonts w:ascii="Courier New" w:hAnsi="Courier New" w:cs="Courier New" w:hint="default"/>
      </w:rPr>
    </w:lvl>
    <w:lvl w:ilvl="8" w:tplc="140A0005" w:tentative="1">
      <w:start w:val="1"/>
      <w:numFmt w:val="bullet"/>
      <w:lvlText w:val=""/>
      <w:lvlJc w:val="left"/>
      <w:pPr>
        <w:ind w:left="7920" w:hanging="360"/>
      </w:pPr>
      <w:rPr>
        <w:rFonts w:ascii="Wingdings" w:hAnsi="Wingdings" w:hint="default"/>
      </w:rPr>
    </w:lvl>
  </w:abstractNum>
  <w:abstractNum w:abstractNumId="81" w15:restartNumberingAfterBreak="0">
    <w:nsid w:val="69C31D64"/>
    <w:multiLevelType w:val="hybridMultilevel"/>
    <w:tmpl w:val="615C7A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2" w15:restartNumberingAfterBreak="0">
    <w:nsid w:val="6AA17A52"/>
    <w:multiLevelType w:val="hybridMultilevel"/>
    <w:tmpl w:val="B818219C"/>
    <w:lvl w:ilvl="0" w:tplc="8E6EA58E">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3" w15:restartNumberingAfterBreak="0">
    <w:nsid w:val="6BD06101"/>
    <w:multiLevelType w:val="hybridMultilevel"/>
    <w:tmpl w:val="1ED2C5B6"/>
    <w:lvl w:ilvl="0" w:tplc="E1E6B87C">
      <w:start w:val="1"/>
      <w:numFmt w:val="lowerLetter"/>
      <w:lvlText w:val="%1)"/>
      <w:lvlJc w:val="left"/>
      <w:pPr>
        <w:tabs>
          <w:tab w:val="num" w:pos="720"/>
        </w:tabs>
        <w:ind w:left="720" w:hanging="360"/>
      </w:pPr>
    </w:lvl>
    <w:lvl w:ilvl="1" w:tplc="140A0003">
      <w:start w:val="1"/>
      <w:numFmt w:val="bullet"/>
      <w:lvlText w:val="o"/>
      <w:lvlJc w:val="left"/>
      <w:pPr>
        <w:tabs>
          <w:tab w:val="num" w:pos="1440"/>
        </w:tabs>
        <w:ind w:left="1440" w:hanging="360"/>
      </w:pPr>
      <w:rPr>
        <w:rFonts w:ascii="Courier New" w:hAnsi="Courier New" w:cs="Courier New" w:hint="default"/>
        <w:b/>
      </w:rPr>
    </w:lvl>
    <w:lvl w:ilvl="2" w:tplc="FBB4F20E" w:tentative="1">
      <w:start w:val="1"/>
      <w:numFmt w:val="lowerLetter"/>
      <w:lvlText w:val="%3)"/>
      <w:lvlJc w:val="left"/>
      <w:pPr>
        <w:tabs>
          <w:tab w:val="num" w:pos="2160"/>
        </w:tabs>
        <w:ind w:left="2160" w:hanging="360"/>
      </w:pPr>
    </w:lvl>
    <w:lvl w:ilvl="3" w:tplc="C84801F6" w:tentative="1">
      <w:start w:val="1"/>
      <w:numFmt w:val="lowerLetter"/>
      <w:lvlText w:val="%4)"/>
      <w:lvlJc w:val="left"/>
      <w:pPr>
        <w:tabs>
          <w:tab w:val="num" w:pos="2880"/>
        </w:tabs>
        <w:ind w:left="2880" w:hanging="360"/>
      </w:pPr>
    </w:lvl>
    <w:lvl w:ilvl="4" w:tplc="AB26736C" w:tentative="1">
      <w:start w:val="1"/>
      <w:numFmt w:val="lowerLetter"/>
      <w:lvlText w:val="%5)"/>
      <w:lvlJc w:val="left"/>
      <w:pPr>
        <w:tabs>
          <w:tab w:val="num" w:pos="3600"/>
        </w:tabs>
        <w:ind w:left="3600" w:hanging="360"/>
      </w:pPr>
    </w:lvl>
    <w:lvl w:ilvl="5" w:tplc="6D3AC322" w:tentative="1">
      <w:start w:val="1"/>
      <w:numFmt w:val="lowerLetter"/>
      <w:lvlText w:val="%6)"/>
      <w:lvlJc w:val="left"/>
      <w:pPr>
        <w:tabs>
          <w:tab w:val="num" w:pos="4320"/>
        </w:tabs>
        <w:ind w:left="4320" w:hanging="360"/>
      </w:pPr>
    </w:lvl>
    <w:lvl w:ilvl="6" w:tplc="8488CC2E" w:tentative="1">
      <w:start w:val="1"/>
      <w:numFmt w:val="lowerLetter"/>
      <w:lvlText w:val="%7)"/>
      <w:lvlJc w:val="left"/>
      <w:pPr>
        <w:tabs>
          <w:tab w:val="num" w:pos="5040"/>
        </w:tabs>
        <w:ind w:left="5040" w:hanging="360"/>
      </w:pPr>
    </w:lvl>
    <w:lvl w:ilvl="7" w:tplc="C082D8F8" w:tentative="1">
      <w:start w:val="1"/>
      <w:numFmt w:val="lowerLetter"/>
      <w:lvlText w:val="%8)"/>
      <w:lvlJc w:val="left"/>
      <w:pPr>
        <w:tabs>
          <w:tab w:val="num" w:pos="5760"/>
        </w:tabs>
        <w:ind w:left="5760" w:hanging="360"/>
      </w:pPr>
    </w:lvl>
    <w:lvl w:ilvl="8" w:tplc="40D467A0" w:tentative="1">
      <w:start w:val="1"/>
      <w:numFmt w:val="lowerLetter"/>
      <w:lvlText w:val="%9)"/>
      <w:lvlJc w:val="left"/>
      <w:pPr>
        <w:tabs>
          <w:tab w:val="num" w:pos="6480"/>
        </w:tabs>
        <w:ind w:left="6480" w:hanging="360"/>
      </w:pPr>
    </w:lvl>
  </w:abstractNum>
  <w:abstractNum w:abstractNumId="84" w15:restartNumberingAfterBreak="0">
    <w:nsid w:val="6C0C49DC"/>
    <w:multiLevelType w:val="hybridMultilevel"/>
    <w:tmpl w:val="2C40F6EE"/>
    <w:lvl w:ilvl="0" w:tplc="140A000F">
      <w:start w:val="1"/>
      <w:numFmt w:val="decimal"/>
      <w:lvlText w:val="%1."/>
      <w:lvlJc w:val="left"/>
      <w:pPr>
        <w:ind w:left="1080" w:hanging="720"/>
      </w:pPr>
      <w:rPr>
        <w:rFonts w:hint="default"/>
        <w:b/>
      </w:rPr>
    </w:lvl>
    <w:lvl w:ilvl="1" w:tplc="140A0017">
      <w:start w:val="1"/>
      <w:numFmt w:val="lowerLetter"/>
      <w:lvlText w:val="%2)"/>
      <w:lvlJc w:val="left"/>
      <w:pPr>
        <w:ind w:left="1440" w:hanging="360"/>
      </w:pPr>
      <w:rPr>
        <w:b/>
      </w:r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5" w15:restartNumberingAfterBreak="0">
    <w:nsid w:val="6CAB338C"/>
    <w:multiLevelType w:val="hybridMultilevel"/>
    <w:tmpl w:val="127A2B8A"/>
    <w:lvl w:ilvl="0" w:tplc="C882AC38">
      <w:start w:val="1"/>
      <w:numFmt w:val="decimal"/>
      <w:lvlText w:val="%1."/>
      <w:lvlJc w:val="left"/>
      <w:pPr>
        <w:ind w:left="360" w:hanging="360"/>
      </w:pPr>
      <w:rPr>
        <w:rFonts w:hint="default"/>
        <w:sz w:val="24"/>
        <w:szCs w:val="24"/>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6" w15:restartNumberingAfterBreak="0">
    <w:nsid w:val="6DB5168B"/>
    <w:multiLevelType w:val="hybridMultilevel"/>
    <w:tmpl w:val="2B92D6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7" w15:restartNumberingAfterBreak="0">
    <w:nsid w:val="6E8F3C2B"/>
    <w:multiLevelType w:val="hybridMultilevel"/>
    <w:tmpl w:val="823A6CFC"/>
    <w:lvl w:ilvl="0" w:tplc="899A7888">
      <w:start w:val="1"/>
      <w:numFmt w:val="decimal"/>
      <w:lvlText w:val="(%1)"/>
      <w:lvlJc w:val="left"/>
      <w:pPr>
        <w:ind w:left="1065" w:hanging="360"/>
      </w:pPr>
      <w:rPr>
        <w:rFonts w:hint="default"/>
      </w:rPr>
    </w:lvl>
    <w:lvl w:ilvl="1" w:tplc="140A0019" w:tentative="1">
      <w:start w:val="1"/>
      <w:numFmt w:val="lowerLetter"/>
      <w:lvlText w:val="%2."/>
      <w:lvlJc w:val="left"/>
      <w:pPr>
        <w:ind w:left="1785" w:hanging="360"/>
      </w:pPr>
    </w:lvl>
    <w:lvl w:ilvl="2" w:tplc="140A001B" w:tentative="1">
      <w:start w:val="1"/>
      <w:numFmt w:val="lowerRoman"/>
      <w:lvlText w:val="%3."/>
      <w:lvlJc w:val="right"/>
      <w:pPr>
        <w:ind w:left="2505" w:hanging="180"/>
      </w:pPr>
    </w:lvl>
    <w:lvl w:ilvl="3" w:tplc="140A000F" w:tentative="1">
      <w:start w:val="1"/>
      <w:numFmt w:val="decimal"/>
      <w:lvlText w:val="%4."/>
      <w:lvlJc w:val="left"/>
      <w:pPr>
        <w:ind w:left="3225" w:hanging="360"/>
      </w:pPr>
    </w:lvl>
    <w:lvl w:ilvl="4" w:tplc="140A0019" w:tentative="1">
      <w:start w:val="1"/>
      <w:numFmt w:val="lowerLetter"/>
      <w:lvlText w:val="%5."/>
      <w:lvlJc w:val="left"/>
      <w:pPr>
        <w:ind w:left="3945" w:hanging="360"/>
      </w:pPr>
    </w:lvl>
    <w:lvl w:ilvl="5" w:tplc="140A001B" w:tentative="1">
      <w:start w:val="1"/>
      <w:numFmt w:val="lowerRoman"/>
      <w:lvlText w:val="%6."/>
      <w:lvlJc w:val="right"/>
      <w:pPr>
        <w:ind w:left="4665" w:hanging="180"/>
      </w:pPr>
    </w:lvl>
    <w:lvl w:ilvl="6" w:tplc="140A000F" w:tentative="1">
      <w:start w:val="1"/>
      <w:numFmt w:val="decimal"/>
      <w:lvlText w:val="%7."/>
      <w:lvlJc w:val="left"/>
      <w:pPr>
        <w:ind w:left="5385" w:hanging="360"/>
      </w:pPr>
    </w:lvl>
    <w:lvl w:ilvl="7" w:tplc="140A0019" w:tentative="1">
      <w:start w:val="1"/>
      <w:numFmt w:val="lowerLetter"/>
      <w:lvlText w:val="%8."/>
      <w:lvlJc w:val="left"/>
      <w:pPr>
        <w:ind w:left="6105" w:hanging="360"/>
      </w:pPr>
    </w:lvl>
    <w:lvl w:ilvl="8" w:tplc="140A001B" w:tentative="1">
      <w:start w:val="1"/>
      <w:numFmt w:val="lowerRoman"/>
      <w:lvlText w:val="%9."/>
      <w:lvlJc w:val="right"/>
      <w:pPr>
        <w:ind w:left="6825" w:hanging="180"/>
      </w:pPr>
    </w:lvl>
  </w:abstractNum>
  <w:abstractNum w:abstractNumId="88" w15:restartNumberingAfterBreak="0">
    <w:nsid w:val="70134BB3"/>
    <w:multiLevelType w:val="multilevel"/>
    <w:tmpl w:val="91607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0386887"/>
    <w:multiLevelType w:val="hybridMultilevel"/>
    <w:tmpl w:val="3EA25FCA"/>
    <w:lvl w:ilvl="0" w:tplc="F336FE0C">
      <w:start w:val="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0" w15:restartNumberingAfterBreak="0">
    <w:nsid w:val="70C169AA"/>
    <w:multiLevelType w:val="hybridMultilevel"/>
    <w:tmpl w:val="CAE8BAE4"/>
    <w:lvl w:ilvl="0" w:tplc="140A0003">
      <w:start w:val="1"/>
      <w:numFmt w:val="bullet"/>
      <w:lvlText w:val="o"/>
      <w:lvlJc w:val="left"/>
      <w:pPr>
        <w:ind w:left="1440" w:hanging="360"/>
      </w:pPr>
      <w:rPr>
        <w:rFonts w:ascii="Courier New" w:hAnsi="Courier New" w:cs="Courier New"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91" w15:restartNumberingAfterBreak="0">
    <w:nsid w:val="70F35D5D"/>
    <w:multiLevelType w:val="hybridMultilevel"/>
    <w:tmpl w:val="8E8284B4"/>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2" w15:restartNumberingAfterBreak="0">
    <w:nsid w:val="710065D3"/>
    <w:multiLevelType w:val="multilevel"/>
    <w:tmpl w:val="BF800CB0"/>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72A86E58"/>
    <w:multiLevelType w:val="hybridMultilevel"/>
    <w:tmpl w:val="C85299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4" w15:restartNumberingAfterBreak="0">
    <w:nsid w:val="762F4BA2"/>
    <w:multiLevelType w:val="hybridMultilevel"/>
    <w:tmpl w:val="E5069692"/>
    <w:lvl w:ilvl="0" w:tplc="2FD0B49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5" w15:restartNumberingAfterBreak="0">
    <w:nsid w:val="7C2A26B5"/>
    <w:multiLevelType w:val="hybridMultilevel"/>
    <w:tmpl w:val="4FC8FBB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6" w15:restartNumberingAfterBreak="0">
    <w:nsid w:val="7C872347"/>
    <w:multiLevelType w:val="hybridMultilevel"/>
    <w:tmpl w:val="7D7EF2E4"/>
    <w:lvl w:ilvl="0" w:tplc="C1DC8F0C">
      <w:start w:val="1"/>
      <w:numFmt w:val="lowerRoman"/>
      <w:lvlText w:val="%1."/>
      <w:lvlJc w:val="right"/>
      <w:pPr>
        <w:ind w:left="720" w:hanging="360"/>
      </w:pPr>
      <w:rPr>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7" w15:restartNumberingAfterBreak="0">
    <w:nsid w:val="7CE410B8"/>
    <w:multiLevelType w:val="hybridMultilevel"/>
    <w:tmpl w:val="7D28CE86"/>
    <w:lvl w:ilvl="0" w:tplc="E8D83F1C">
      <w:start w:val="1"/>
      <w:numFmt w:val="bullet"/>
      <w:lvlText w:val="-"/>
      <w:lvlJc w:val="left"/>
      <w:pPr>
        <w:ind w:left="720" w:hanging="360"/>
      </w:pPr>
      <w:rPr>
        <w:rFonts w:ascii="Times New Roman" w:eastAsia="Times New Roman" w:hAnsi="Times New Roman" w:cs="Times New Roman" w:hint="default"/>
        <w:i/>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8" w15:restartNumberingAfterBreak="0">
    <w:nsid w:val="7DA86CB8"/>
    <w:multiLevelType w:val="hybridMultilevel"/>
    <w:tmpl w:val="24F8AEFE"/>
    <w:lvl w:ilvl="0" w:tplc="140A0003">
      <w:start w:val="1"/>
      <w:numFmt w:val="bullet"/>
      <w:lvlText w:val="o"/>
      <w:lvlJc w:val="left"/>
      <w:pPr>
        <w:ind w:left="720" w:hanging="360"/>
      </w:pPr>
      <w:rPr>
        <w:rFonts w:ascii="Courier New" w:hAnsi="Courier New" w:cs="Courier New"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9" w15:restartNumberingAfterBreak="0">
    <w:nsid w:val="7DDE0A2D"/>
    <w:multiLevelType w:val="hybridMultilevel"/>
    <w:tmpl w:val="BB1465F0"/>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0" w15:restartNumberingAfterBreak="0">
    <w:nsid w:val="7E8B6A55"/>
    <w:multiLevelType w:val="hybridMultilevel"/>
    <w:tmpl w:val="6ACC7EB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1" w15:restartNumberingAfterBreak="0">
    <w:nsid w:val="7ECC269E"/>
    <w:multiLevelType w:val="hybridMultilevel"/>
    <w:tmpl w:val="749639E8"/>
    <w:lvl w:ilvl="0" w:tplc="C9684956">
      <w:start w:val="1"/>
      <w:numFmt w:val="lowerLetter"/>
      <w:lvlText w:val="%1)"/>
      <w:lvlJc w:val="left"/>
      <w:pPr>
        <w:tabs>
          <w:tab w:val="num" w:pos="720"/>
        </w:tabs>
        <w:ind w:left="720" w:hanging="360"/>
      </w:pPr>
      <w:rPr>
        <w:rFonts w:hint="default"/>
        <w:b/>
      </w:rPr>
    </w:lvl>
    <w:lvl w:ilvl="1" w:tplc="A3CA099C" w:tentative="1">
      <w:start w:val="1"/>
      <w:numFmt w:val="bullet"/>
      <w:lvlText w:val=""/>
      <w:lvlJc w:val="left"/>
      <w:pPr>
        <w:tabs>
          <w:tab w:val="num" w:pos="1440"/>
        </w:tabs>
        <w:ind w:left="1440" w:hanging="360"/>
      </w:pPr>
      <w:rPr>
        <w:rFonts w:ascii="Wingdings" w:hAnsi="Wingdings" w:hint="default"/>
      </w:rPr>
    </w:lvl>
    <w:lvl w:ilvl="2" w:tplc="264C7BC8" w:tentative="1">
      <w:start w:val="1"/>
      <w:numFmt w:val="bullet"/>
      <w:lvlText w:val=""/>
      <w:lvlJc w:val="left"/>
      <w:pPr>
        <w:tabs>
          <w:tab w:val="num" w:pos="2160"/>
        </w:tabs>
        <w:ind w:left="2160" w:hanging="360"/>
      </w:pPr>
      <w:rPr>
        <w:rFonts w:ascii="Wingdings" w:hAnsi="Wingdings" w:hint="default"/>
      </w:rPr>
    </w:lvl>
    <w:lvl w:ilvl="3" w:tplc="0F02330A" w:tentative="1">
      <w:start w:val="1"/>
      <w:numFmt w:val="bullet"/>
      <w:lvlText w:val=""/>
      <w:lvlJc w:val="left"/>
      <w:pPr>
        <w:tabs>
          <w:tab w:val="num" w:pos="2880"/>
        </w:tabs>
        <w:ind w:left="2880" w:hanging="360"/>
      </w:pPr>
      <w:rPr>
        <w:rFonts w:ascii="Wingdings" w:hAnsi="Wingdings" w:hint="default"/>
      </w:rPr>
    </w:lvl>
    <w:lvl w:ilvl="4" w:tplc="8E2802DC" w:tentative="1">
      <w:start w:val="1"/>
      <w:numFmt w:val="bullet"/>
      <w:lvlText w:val=""/>
      <w:lvlJc w:val="left"/>
      <w:pPr>
        <w:tabs>
          <w:tab w:val="num" w:pos="3600"/>
        </w:tabs>
        <w:ind w:left="3600" w:hanging="360"/>
      </w:pPr>
      <w:rPr>
        <w:rFonts w:ascii="Wingdings" w:hAnsi="Wingdings" w:hint="default"/>
      </w:rPr>
    </w:lvl>
    <w:lvl w:ilvl="5" w:tplc="FD1A5334" w:tentative="1">
      <w:start w:val="1"/>
      <w:numFmt w:val="bullet"/>
      <w:lvlText w:val=""/>
      <w:lvlJc w:val="left"/>
      <w:pPr>
        <w:tabs>
          <w:tab w:val="num" w:pos="4320"/>
        </w:tabs>
        <w:ind w:left="4320" w:hanging="360"/>
      </w:pPr>
      <w:rPr>
        <w:rFonts w:ascii="Wingdings" w:hAnsi="Wingdings" w:hint="default"/>
      </w:rPr>
    </w:lvl>
    <w:lvl w:ilvl="6" w:tplc="7CFEA2EA" w:tentative="1">
      <w:start w:val="1"/>
      <w:numFmt w:val="bullet"/>
      <w:lvlText w:val=""/>
      <w:lvlJc w:val="left"/>
      <w:pPr>
        <w:tabs>
          <w:tab w:val="num" w:pos="5040"/>
        </w:tabs>
        <w:ind w:left="5040" w:hanging="360"/>
      </w:pPr>
      <w:rPr>
        <w:rFonts w:ascii="Wingdings" w:hAnsi="Wingdings" w:hint="default"/>
      </w:rPr>
    </w:lvl>
    <w:lvl w:ilvl="7" w:tplc="9208B8F6" w:tentative="1">
      <w:start w:val="1"/>
      <w:numFmt w:val="bullet"/>
      <w:lvlText w:val=""/>
      <w:lvlJc w:val="left"/>
      <w:pPr>
        <w:tabs>
          <w:tab w:val="num" w:pos="5760"/>
        </w:tabs>
        <w:ind w:left="5760" w:hanging="360"/>
      </w:pPr>
      <w:rPr>
        <w:rFonts w:ascii="Wingdings" w:hAnsi="Wingdings" w:hint="default"/>
      </w:rPr>
    </w:lvl>
    <w:lvl w:ilvl="8" w:tplc="253A883A"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F06616F"/>
    <w:multiLevelType w:val="hybridMultilevel"/>
    <w:tmpl w:val="EE2476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3">
      <w:start w:val="1"/>
      <w:numFmt w:val="bullet"/>
      <w:lvlText w:val="o"/>
      <w:lvlJc w:val="left"/>
      <w:pPr>
        <w:ind w:left="2880" w:hanging="360"/>
      </w:pPr>
      <w:rPr>
        <w:rFonts w:ascii="Courier New" w:hAnsi="Courier New" w:cs="Courier New"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3" w15:restartNumberingAfterBreak="0">
    <w:nsid w:val="7FB2259E"/>
    <w:multiLevelType w:val="hybridMultilevel"/>
    <w:tmpl w:val="BE24FB54"/>
    <w:lvl w:ilvl="0" w:tplc="09E03F46">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16cid:durableId="843471183">
    <w:abstractNumId w:val="84"/>
  </w:num>
  <w:num w:numId="2" w16cid:durableId="1352532675">
    <w:abstractNumId w:val="35"/>
  </w:num>
  <w:num w:numId="3" w16cid:durableId="660154736">
    <w:abstractNumId w:val="63"/>
  </w:num>
  <w:num w:numId="4" w16cid:durableId="1409381770">
    <w:abstractNumId w:val="76"/>
  </w:num>
  <w:num w:numId="5" w16cid:durableId="47533735">
    <w:abstractNumId w:val="21"/>
  </w:num>
  <w:num w:numId="6" w16cid:durableId="784663926">
    <w:abstractNumId w:val="44"/>
  </w:num>
  <w:num w:numId="7" w16cid:durableId="866219215">
    <w:abstractNumId w:val="47"/>
  </w:num>
  <w:num w:numId="8" w16cid:durableId="1082990659">
    <w:abstractNumId w:val="8"/>
  </w:num>
  <w:num w:numId="9" w16cid:durableId="1725905015">
    <w:abstractNumId w:val="93"/>
  </w:num>
  <w:num w:numId="10" w16cid:durableId="41515275">
    <w:abstractNumId w:val="32"/>
  </w:num>
  <w:num w:numId="11" w16cid:durableId="787697928">
    <w:abstractNumId w:val="79"/>
  </w:num>
  <w:num w:numId="12" w16cid:durableId="47841625">
    <w:abstractNumId w:val="18"/>
  </w:num>
  <w:num w:numId="13" w16cid:durableId="669988909">
    <w:abstractNumId w:val="37"/>
  </w:num>
  <w:num w:numId="14" w16cid:durableId="1067453936">
    <w:abstractNumId w:val="60"/>
  </w:num>
  <w:num w:numId="15" w16cid:durableId="267011750">
    <w:abstractNumId w:val="25"/>
  </w:num>
  <w:num w:numId="16" w16cid:durableId="2093771985">
    <w:abstractNumId w:val="53"/>
  </w:num>
  <w:num w:numId="17" w16cid:durableId="640765222">
    <w:abstractNumId w:val="26"/>
  </w:num>
  <w:num w:numId="18" w16cid:durableId="864101830">
    <w:abstractNumId w:val="4"/>
  </w:num>
  <w:num w:numId="19" w16cid:durableId="175388881">
    <w:abstractNumId w:val="34"/>
  </w:num>
  <w:num w:numId="20" w16cid:durableId="716975565">
    <w:abstractNumId w:val="77"/>
  </w:num>
  <w:num w:numId="21" w16cid:durableId="62028530">
    <w:abstractNumId w:val="51"/>
  </w:num>
  <w:num w:numId="22" w16cid:durableId="1224021247">
    <w:abstractNumId w:val="96"/>
  </w:num>
  <w:num w:numId="23" w16cid:durableId="1170290599">
    <w:abstractNumId w:val="27"/>
  </w:num>
  <w:num w:numId="24" w16cid:durableId="696082556">
    <w:abstractNumId w:val="29"/>
  </w:num>
  <w:num w:numId="25" w16cid:durableId="838231528">
    <w:abstractNumId w:val="56"/>
  </w:num>
  <w:num w:numId="26" w16cid:durableId="1350108263">
    <w:abstractNumId w:val="81"/>
  </w:num>
  <w:num w:numId="27" w16cid:durableId="2044016239">
    <w:abstractNumId w:val="88"/>
  </w:num>
  <w:num w:numId="28" w16cid:durableId="1693267243">
    <w:abstractNumId w:val="0"/>
  </w:num>
  <w:num w:numId="29" w16cid:durableId="1814056671">
    <w:abstractNumId w:val="1"/>
  </w:num>
  <w:num w:numId="30" w16cid:durableId="1502238781">
    <w:abstractNumId w:val="87"/>
  </w:num>
  <w:num w:numId="31" w16cid:durableId="1824464426">
    <w:abstractNumId w:val="91"/>
  </w:num>
  <w:num w:numId="32" w16cid:durableId="734352180">
    <w:abstractNumId w:val="15"/>
  </w:num>
  <w:num w:numId="33" w16cid:durableId="194736427">
    <w:abstractNumId w:val="9"/>
  </w:num>
  <w:num w:numId="34" w16cid:durableId="1779132880">
    <w:abstractNumId w:val="68"/>
  </w:num>
  <w:num w:numId="35" w16cid:durableId="374543432">
    <w:abstractNumId w:val="19"/>
  </w:num>
  <w:num w:numId="36" w16cid:durableId="557012852">
    <w:abstractNumId w:val="57"/>
  </w:num>
  <w:num w:numId="37" w16cid:durableId="1423641958">
    <w:abstractNumId w:val="86"/>
  </w:num>
  <w:num w:numId="38" w16cid:durableId="619577484">
    <w:abstractNumId w:val="30"/>
  </w:num>
  <w:num w:numId="39" w16cid:durableId="1285505776">
    <w:abstractNumId w:val="43"/>
  </w:num>
  <w:num w:numId="40" w16cid:durableId="1500074061">
    <w:abstractNumId w:val="3"/>
  </w:num>
  <w:num w:numId="41" w16cid:durableId="1204755946">
    <w:abstractNumId w:val="94"/>
  </w:num>
  <w:num w:numId="42" w16cid:durableId="743378100">
    <w:abstractNumId w:val="103"/>
  </w:num>
  <w:num w:numId="43" w16cid:durableId="1599024105">
    <w:abstractNumId w:val="54"/>
  </w:num>
  <w:num w:numId="44" w16cid:durableId="797527123">
    <w:abstractNumId w:val="17"/>
  </w:num>
  <w:num w:numId="45" w16cid:durableId="1878227800">
    <w:abstractNumId w:val="12"/>
  </w:num>
  <w:num w:numId="46" w16cid:durableId="682823093">
    <w:abstractNumId w:val="52"/>
  </w:num>
  <w:num w:numId="47" w16cid:durableId="2111192429">
    <w:abstractNumId w:val="36"/>
  </w:num>
  <w:num w:numId="48" w16cid:durableId="261644074">
    <w:abstractNumId w:val="16"/>
  </w:num>
  <w:num w:numId="49" w16cid:durableId="1466007382">
    <w:abstractNumId w:val="39"/>
  </w:num>
  <w:num w:numId="50" w16cid:durableId="1754011739">
    <w:abstractNumId w:val="24"/>
  </w:num>
  <w:num w:numId="51" w16cid:durableId="1202354366">
    <w:abstractNumId w:val="13"/>
  </w:num>
  <w:num w:numId="52" w16cid:durableId="1680232380">
    <w:abstractNumId w:val="6"/>
  </w:num>
  <w:num w:numId="53" w16cid:durableId="1531530563">
    <w:abstractNumId w:val="7"/>
  </w:num>
  <w:num w:numId="54" w16cid:durableId="1236938689">
    <w:abstractNumId w:val="72"/>
  </w:num>
  <w:num w:numId="55" w16cid:durableId="1467777011">
    <w:abstractNumId w:val="40"/>
  </w:num>
  <w:num w:numId="56" w16cid:durableId="886455501">
    <w:abstractNumId w:val="73"/>
  </w:num>
  <w:num w:numId="57" w16cid:durableId="1084960125">
    <w:abstractNumId w:val="83"/>
  </w:num>
  <w:num w:numId="58" w16cid:durableId="1429304453">
    <w:abstractNumId w:val="75"/>
  </w:num>
  <w:num w:numId="59" w16cid:durableId="1065883220">
    <w:abstractNumId w:val="61"/>
  </w:num>
  <w:num w:numId="60" w16cid:durableId="1287346073">
    <w:abstractNumId w:val="46"/>
  </w:num>
  <w:num w:numId="61" w16cid:durableId="1755393382">
    <w:abstractNumId w:val="102"/>
  </w:num>
  <w:num w:numId="62" w16cid:durableId="776490459">
    <w:abstractNumId w:val="41"/>
  </w:num>
  <w:num w:numId="63" w16cid:durableId="607003399">
    <w:abstractNumId w:val="48"/>
  </w:num>
  <w:num w:numId="64" w16cid:durableId="1012343971">
    <w:abstractNumId w:val="23"/>
  </w:num>
  <w:num w:numId="65" w16cid:durableId="110170871">
    <w:abstractNumId w:val="55"/>
  </w:num>
  <w:num w:numId="66" w16cid:durableId="1207379206">
    <w:abstractNumId w:val="59"/>
  </w:num>
  <w:num w:numId="67" w16cid:durableId="1434741039">
    <w:abstractNumId w:val="67"/>
  </w:num>
  <w:num w:numId="68" w16cid:durableId="504590617">
    <w:abstractNumId w:val="2"/>
  </w:num>
  <w:num w:numId="69" w16cid:durableId="880096073">
    <w:abstractNumId w:val="31"/>
  </w:num>
  <w:num w:numId="70" w16cid:durableId="1934434047">
    <w:abstractNumId w:val="22"/>
  </w:num>
  <w:num w:numId="71" w16cid:durableId="659771678">
    <w:abstractNumId w:val="64"/>
  </w:num>
  <w:num w:numId="72" w16cid:durableId="792477023">
    <w:abstractNumId w:val="50"/>
  </w:num>
  <w:num w:numId="73" w16cid:durableId="1677224671">
    <w:abstractNumId w:val="80"/>
  </w:num>
  <w:num w:numId="74" w16cid:durableId="2051688400">
    <w:abstractNumId w:val="20"/>
  </w:num>
  <w:num w:numId="75" w16cid:durableId="273487912">
    <w:abstractNumId w:val="90"/>
  </w:num>
  <w:num w:numId="76" w16cid:durableId="798181650">
    <w:abstractNumId w:val="98"/>
  </w:num>
  <w:num w:numId="77" w16cid:durableId="14694742">
    <w:abstractNumId w:val="78"/>
  </w:num>
  <w:num w:numId="78" w16cid:durableId="393166984">
    <w:abstractNumId w:val="38"/>
  </w:num>
  <w:num w:numId="79" w16cid:durableId="1580017720">
    <w:abstractNumId w:val="101"/>
  </w:num>
  <w:num w:numId="80" w16cid:durableId="1967731667">
    <w:abstractNumId w:val="14"/>
  </w:num>
  <w:num w:numId="81" w16cid:durableId="1972402666">
    <w:abstractNumId w:val="62"/>
  </w:num>
  <w:num w:numId="82" w16cid:durableId="464390061">
    <w:abstractNumId w:val="85"/>
  </w:num>
  <w:num w:numId="83" w16cid:durableId="1161850394">
    <w:abstractNumId w:val="92"/>
  </w:num>
  <w:num w:numId="84" w16cid:durableId="1848905309">
    <w:abstractNumId w:val="74"/>
  </w:num>
  <w:num w:numId="85" w16cid:durableId="2035574381">
    <w:abstractNumId w:val="42"/>
  </w:num>
  <w:num w:numId="86" w16cid:durableId="965887834">
    <w:abstractNumId w:val="49"/>
  </w:num>
  <w:num w:numId="87" w16cid:durableId="1017924269">
    <w:abstractNumId w:val="89"/>
  </w:num>
  <w:num w:numId="88" w16cid:durableId="1683315586">
    <w:abstractNumId w:val="58"/>
  </w:num>
  <w:num w:numId="89" w16cid:durableId="1204294852">
    <w:abstractNumId w:val="100"/>
  </w:num>
  <w:num w:numId="90" w16cid:durableId="1993097340">
    <w:abstractNumId w:val="10"/>
  </w:num>
  <w:num w:numId="91" w16cid:durableId="1580823955">
    <w:abstractNumId w:val="97"/>
  </w:num>
  <w:num w:numId="92" w16cid:durableId="808326829">
    <w:abstractNumId w:val="70"/>
  </w:num>
  <w:num w:numId="93" w16cid:durableId="1785231022">
    <w:abstractNumId w:val="82"/>
  </w:num>
  <w:num w:numId="94" w16cid:durableId="716710298">
    <w:abstractNumId w:val="99"/>
  </w:num>
  <w:num w:numId="95" w16cid:durableId="809057999">
    <w:abstractNumId w:val="45"/>
  </w:num>
  <w:num w:numId="96" w16cid:durableId="391003459">
    <w:abstractNumId w:val="95"/>
  </w:num>
  <w:num w:numId="97" w16cid:durableId="439299933">
    <w:abstractNumId w:val="71"/>
  </w:num>
  <w:num w:numId="98" w16cid:durableId="999044905">
    <w:abstractNumId w:val="33"/>
  </w:num>
  <w:num w:numId="99" w16cid:durableId="590354557">
    <w:abstractNumId w:val="28"/>
  </w:num>
  <w:num w:numId="100" w16cid:durableId="852190145">
    <w:abstractNumId w:val="65"/>
  </w:num>
  <w:num w:numId="101" w16cid:durableId="1925842399">
    <w:abstractNumId w:val="66"/>
  </w:num>
  <w:num w:numId="102" w16cid:durableId="1414938535">
    <w:abstractNumId w:val="69"/>
  </w:num>
  <w:num w:numId="103" w16cid:durableId="1844081061">
    <w:abstractNumId w:val="5"/>
  </w:num>
  <w:num w:numId="104" w16cid:durableId="990982831">
    <w:abstractNumId w:val="11"/>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a Catalina Camacho">
    <w15:presenceInfo w15:providerId="None" w15:userId="Ana Catalina Camach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941"/>
    <w:rsid w:val="000117D4"/>
    <w:rsid w:val="000256DD"/>
    <w:rsid w:val="000556D4"/>
    <w:rsid w:val="00057397"/>
    <w:rsid w:val="0008429A"/>
    <w:rsid w:val="00085EEB"/>
    <w:rsid w:val="000A758E"/>
    <w:rsid w:val="000B2F75"/>
    <w:rsid w:val="000B3EFF"/>
    <w:rsid w:val="000B6490"/>
    <w:rsid w:val="000C03B5"/>
    <w:rsid w:val="000C49DE"/>
    <w:rsid w:val="000D0FDB"/>
    <w:rsid w:val="000D1864"/>
    <w:rsid w:val="000D7676"/>
    <w:rsid w:val="000E4E66"/>
    <w:rsid w:val="00105650"/>
    <w:rsid w:val="00113FEA"/>
    <w:rsid w:val="001250F5"/>
    <w:rsid w:val="00132111"/>
    <w:rsid w:val="001603EB"/>
    <w:rsid w:val="0018069E"/>
    <w:rsid w:val="00197EC1"/>
    <w:rsid w:val="001B35D5"/>
    <w:rsid w:val="00205E29"/>
    <w:rsid w:val="00214F2D"/>
    <w:rsid w:val="002508FF"/>
    <w:rsid w:val="0027447C"/>
    <w:rsid w:val="00286DD4"/>
    <w:rsid w:val="002875E2"/>
    <w:rsid w:val="00295238"/>
    <w:rsid w:val="002A09D9"/>
    <w:rsid w:val="002A6735"/>
    <w:rsid w:val="002C7B06"/>
    <w:rsid w:val="00300C09"/>
    <w:rsid w:val="0030357F"/>
    <w:rsid w:val="00311FAA"/>
    <w:rsid w:val="00314B08"/>
    <w:rsid w:val="003213F1"/>
    <w:rsid w:val="003259DA"/>
    <w:rsid w:val="003478E0"/>
    <w:rsid w:val="00350E65"/>
    <w:rsid w:val="00376A44"/>
    <w:rsid w:val="0039057C"/>
    <w:rsid w:val="003920ED"/>
    <w:rsid w:val="003A0E3F"/>
    <w:rsid w:val="003B7D72"/>
    <w:rsid w:val="003C520F"/>
    <w:rsid w:val="003E18B0"/>
    <w:rsid w:val="003F74C9"/>
    <w:rsid w:val="004002D2"/>
    <w:rsid w:val="00401EC0"/>
    <w:rsid w:val="00425296"/>
    <w:rsid w:val="0043331C"/>
    <w:rsid w:val="0043335E"/>
    <w:rsid w:val="00444F5D"/>
    <w:rsid w:val="004451F6"/>
    <w:rsid w:val="00446B75"/>
    <w:rsid w:val="0045124B"/>
    <w:rsid w:val="00485904"/>
    <w:rsid w:val="0048796F"/>
    <w:rsid w:val="00497272"/>
    <w:rsid w:val="004B1E4B"/>
    <w:rsid w:val="004D7187"/>
    <w:rsid w:val="0051553A"/>
    <w:rsid w:val="005210D0"/>
    <w:rsid w:val="00537D8D"/>
    <w:rsid w:val="005553D3"/>
    <w:rsid w:val="005A441E"/>
    <w:rsid w:val="005A584C"/>
    <w:rsid w:val="005C7F3F"/>
    <w:rsid w:val="005E098B"/>
    <w:rsid w:val="006073D2"/>
    <w:rsid w:val="00612F75"/>
    <w:rsid w:val="00616266"/>
    <w:rsid w:val="006175D2"/>
    <w:rsid w:val="006213FA"/>
    <w:rsid w:val="00622073"/>
    <w:rsid w:val="006229D5"/>
    <w:rsid w:val="00622E7C"/>
    <w:rsid w:val="006469CD"/>
    <w:rsid w:val="00650016"/>
    <w:rsid w:val="00664D8C"/>
    <w:rsid w:val="00674E90"/>
    <w:rsid w:val="006B1CA4"/>
    <w:rsid w:val="006D0E28"/>
    <w:rsid w:val="006D138B"/>
    <w:rsid w:val="006D3048"/>
    <w:rsid w:val="006D6B49"/>
    <w:rsid w:val="006F0686"/>
    <w:rsid w:val="006F3046"/>
    <w:rsid w:val="007224AD"/>
    <w:rsid w:val="00722FD3"/>
    <w:rsid w:val="0073057A"/>
    <w:rsid w:val="0073628A"/>
    <w:rsid w:val="007364FC"/>
    <w:rsid w:val="00744DCA"/>
    <w:rsid w:val="00747CEF"/>
    <w:rsid w:val="00763374"/>
    <w:rsid w:val="00763C8E"/>
    <w:rsid w:val="00797475"/>
    <w:rsid w:val="007A2D4A"/>
    <w:rsid w:val="007A59FF"/>
    <w:rsid w:val="007C6CBC"/>
    <w:rsid w:val="008057F8"/>
    <w:rsid w:val="008362CC"/>
    <w:rsid w:val="00860694"/>
    <w:rsid w:val="00882774"/>
    <w:rsid w:val="00887E97"/>
    <w:rsid w:val="008C26FB"/>
    <w:rsid w:val="008D025F"/>
    <w:rsid w:val="008E069E"/>
    <w:rsid w:val="008E5846"/>
    <w:rsid w:val="008E7E6C"/>
    <w:rsid w:val="00904188"/>
    <w:rsid w:val="0090618D"/>
    <w:rsid w:val="00912169"/>
    <w:rsid w:val="00916479"/>
    <w:rsid w:val="009205FE"/>
    <w:rsid w:val="00944402"/>
    <w:rsid w:val="009642C8"/>
    <w:rsid w:val="00995C7D"/>
    <w:rsid w:val="009A0252"/>
    <w:rsid w:val="009D23EC"/>
    <w:rsid w:val="009D4945"/>
    <w:rsid w:val="00A163DA"/>
    <w:rsid w:val="00A536CC"/>
    <w:rsid w:val="00A675CE"/>
    <w:rsid w:val="00AC2548"/>
    <w:rsid w:val="00AD3EFA"/>
    <w:rsid w:val="00AD4F83"/>
    <w:rsid w:val="00B070CF"/>
    <w:rsid w:val="00B11E6B"/>
    <w:rsid w:val="00B14C3D"/>
    <w:rsid w:val="00B24726"/>
    <w:rsid w:val="00B33244"/>
    <w:rsid w:val="00B377B2"/>
    <w:rsid w:val="00B74742"/>
    <w:rsid w:val="00B954BF"/>
    <w:rsid w:val="00BA1B42"/>
    <w:rsid w:val="00BB1581"/>
    <w:rsid w:val="00BC0DD2"/>
    <w:rsid w:val="00BC4AB5"/>
    <w:rsid w:val="00BD185D"/>
    <w:rsid w:val="00BD445C"/>
    <w:rsid w:val="00BE476A"/>
    <w:rsid w:val="00BE4897"/>
    <w:rsid w:val="00BE6A34"/>
    <w:rsid w:val="00BF40B0"/>
    <w:rsid w:val="00BF4AC8"/>
    <w:rsid w:val="00C11F9F"/>
    <w:rsid w:val="00C4535F"/>
    <w:rsid w:val="00C47A96"/>
    <w:rsid w:val="00C50ADE"/>
    <w:rsid w:val="00C64219"/>
    <w:rsid w:val="00C816CF"/>
    <w:rsid w:val="00CA4299"/>
    <w:rsid w:val="00CA6066"/>
    <w:rsid w:val="00CB0C30"/>
    <w:rsid w:val="00CB7DA4"/>
    <w:rsid w:val="00CE03BC"/>
    <w:rsid w:val="00CE2C29"/>
    <w:rsid w:val="00D141D3"/>
    <w:rsid w:val="00D27CA6"/>
    <w:rsid w:val="00D33176"/>
    <w:rsid w:val="00D42793"/>
    <w:rsid w:val="00D56417"/>
    <w:rsid w:val="00D66245"/>
    <w:rsid w:val="00D76F64"/>
    <w:rsid w:val="00D9461E"/>
    <w:rsid w:val="00D95FD2"/>
    <w:rsid w:val="00DC6396"/>
    <w:rsid w:val="00E0383D"/>
    <w:rsid w:val="00E21891"/>
    <w:rsid w:val="00E27160"/>
    <w:rsid w:val="00E33680"/>
    <w:rsid w:val="00E52139"/>
    <w:rsid w:val="00E66130"/>
    <w:rsid w:val="00E87246"/>
    <w:rsid w:val="00E92F47"/>
    <w:rsid w:val="00E9609E"/>
    <w:rsid w:val="00EC2B67"/>
    <w:rsid w:val="00ED1340"/>
    <w:rsid w:val="00EF1A6A"/>
    <w:rsid w:val="00EF6CD5"/>
    <w:rsid w:val="00F17DFB"/>
    <w:rsid w:val="00F201FE"/>
    <w:rsid w:val="00F422CA"/>
    <w:rsid w:val="00F53211"/>
    <w:rsid w:val="00F71A18"/>
    <w:rsid w:val="00F807E7"/>
    <w:rsid w:val="00F97586"/>
    <w:rsid w:val="00FA1B58"/>
    <w:rsid w:val="00FB0F44"/>
    <w:rsid w:val="00FD1491"/>
    <w:rsid w:val="00FD1BC8"/>
    <w:rsid w:val="00FD5276"/>
    <w:rsid w:val="00FD795D"/>
    <w:rsid w:val="00FE353F"/>
    <w:rsid w:val="00FE4941"/>
    <w:rsid w:val="09F87D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5925A"/>
  <w15:chartTrackingRefBased/>
  <w15:docId w15:val="{50A5DFE3-DFFF-4776-9126-5FE914DBA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377B2"/>
    <w:pPr>
      <w:keepNext/>
      <w:keepLines/>
      <w:spacing w:before="320" w:after="40" w:line="360" w:lineRule="auto"/>
      <w:jc w:val="both"/>
      <w:outlineLvl w:val="0"/>
    </w:pPr>
    <w:rPr>
      <w:rFonts w:asciiTheme="majorHAnsi" w:eastAsiaTheme="majorEastAsia" w:hAnsiTheme="majorHAnsi" w:cstheme="majorBidi"/>
      <w:b/>
      <w:bCs/>
      <w:caps/>
      <w:spacing w:val="4"/>
      <w:sz w:val="28"/>
      <w:szCs w:val="28"/>
      <w:lang w:val="es-CR"/>
    </w:rPr>
  </w:style>
  <w:style w:type="paragraph" w:styleId="Ttulo2">
    <w:name w:val="heading 2"/>
    <w:basedOn w:val="Normal"/>
    <w:next w:val="Normal"/>
    <w:link w:val="Ttulo2Car"/>
    <w:uiPriority w:val="9"/>
    <w:unhideWhenUsed/>
    <w:qFormat/>
    <w:rsid w:val="00B377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63C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B377B2"/>
    <w:pPr>
      <w:keepNext/>
      <w:keepLines/>
      <w:spacing w:before="40" w:after="0"/>
      <w:outlineLvl w:val="3"/>
    </w:pPr>
    <w:rPr>
      <w:rFonts w:asciiTheme="majorHAnsi" w:eastAsiaTheme="majorEastAsia" w:hAnsiTheme="majorHAnsi" w:cstheme="majorBidi"/>
      <w:i/>
      <w:iCs/>
      <w:color w:val="2E74B5" w:themeColor="accent1" w:themeShade="BF"/>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77B2"/>
    <w:rPr>
      <w:rFonts w:asciiTheme="majorHAnsi" w:eastAsiaTheme="majorEastAsia" w:hAnsiTheme="majorHAnsi" w:cstheme="majorBidi"/>
      <w:b/>
      <w:bCs/>
      <w:caps/>
      <w:spacing w:val="4"/>
      <w:sz w:val="28"/>
      <w:szCs w:val="28"/>
      <w:lang w:val="es-CR"/>
    </w:rPr>
  </w:style>
  <w:style w:type="character" w:customStyle="1" w:styleId="Ttulo2Car">
    <w:name w:val="Título 2 Car"/>
    <w:basedOn w:val="Fuentedeprrafopredeter"/>
    <w:link w:val="Ttulo2"/>
    <w:uiPriority w:val="9"/>
    <w:rsid w:val="00B377B2"/>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763C8E"/>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B377B2"/>
    <w:rPr>
      <w:rFonts w:asciiTheme="majorHAnsi" w:eastAsiaTheme="majorEastAsia" w:hAnsiTheme="majorHAnsi" w:cstheme="majorBidi"/>
      <w:i/>
      <w:iCs/>
      <w:color w:val="2E74B5" w:themeColor="accent1" w:themeShade="BF"/>
      <w:lang w:val="es-CR"/>
    </w:rPr>
  </w:style>
  <w:style w:type="paragraph" w:styleId="NormalWeb">
    <w:name w:val="Normal (Web)"/>
    <w:basedOn w:val="Normal"/>
    <w:uiPriority w:val="99"/>
    <w:unhideWhenUsed/>
    <w:rsid w:val="00444F5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xample1">
    <w:name w:val="example1"/>
    <w:basedOn w:val="Fuentedeprrafopredeter"/>
    <w:rsid w:val="00444F5D"/>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Ca,FA Fu?notentext,C,ft"/>
    <w:basedOn w:val="Normal"/>
    <w:link w:val="TextonotapieCar"/>
    <w:uiPriority w:val="99"/>
    <w:unhideWhenUsed/>
    <w:qFormat/>
    <w:rsid w:val="00B377B2"/>
    <w:pPr>
      <w:spacing w:after="0" w:line="240" w:lineRule="auto"/>
    </w:pPr>
    <w:rPr>
      <w:sz w:val="20"/>
      <w:szCs w:val="20"/>
      <w:lang w:val="es-CR"/>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 Car,Ca Car"/>
    <w:basedOn w:val="Fuentedeprrafopredeter"/>
    <w:link w:val="Textonotapie"/>
    <w:uiPriority w:val="99"/>
    <w:qFormat/>
    <w:rsid w:val="00B377B2"/>
    <w:rPr>
      <w:sz w:val="20"/>
      <w:szCs w:val="20"/>
      <w:lang w:val="es-CR"/>
    </w:rPr>
  </w:style>
  <w:style w:type="character" w:styleId="Refdenotaalpie">
    <w:name w:val="footnote reference"/>
    <w:aliases w:val="Appel note de bas de page,Footnotes refss,Footnote number,referencia nota al pie,BVI fnr,f,4_G,16 Point,Superscript 6 Point,Texto nota al pie,Footnote Reference Char3,Footnote Reference Char1 Char,Ref. de nota al,Referencia nota al p"/>
    <w:basedOn w:val="Fuentedeprrafopredeter"/>
    <w:uiPriority w:val="99"/>
    <w:unhideWhenUsed/>
    <w:qFormat/>
    <w:rsid w:val="00B377B2"/>
    <w:rPr>
      <w:vertAlign w:val="superscript"/>
    </w:rPr>
  </w:style>
  <w:style w:type="character" w:styleId="Fuerte">
    <w:name w:val="Strong"/>
    <w:uiPriority w:val="22"/>
    <w:qFormat/>
    <w:rsid w:val="00B377B2"/>
    <w:rPr>
      <w:b/>
      <w:bCs/>
      <w:spacing w:val="0"/>
    </w:rPr>
  </w:style>
  <w:style w:type="character" w:styleId="Hipervnculo">
    <w:name w:val="Hyperlink"/>
    <w:uiPriority w:val="99"/>
    <w:unhideWhenUsed/>
    <w:rsid w:val="00B377B2"/>
    <w:rPr>
      <w:color w:val="0000FF"/>
      <w:u w:val="single"/>
    </w:rPr>
  </w:style>
  <w:style w:type="paragraph" w:styleId="Prrafodelista">
    <w:name w:val="List Paragraph"/>
    <w:basedOn w:val="Normal"/>
    <w:link w:val="PrrafodelistaCar"/>
    <w:uiPriority w:val="34"/>
    <w:qFormat/>
    <w:rsid w:val="00B377B2"/>
    <w:pPr>
      <w:ind w:left="720"/>
      <w:contextualSpacing/>
    </w:pPr>
    <w:rPr>
      <w:lang w:val="es-CR"/>
    </w:rPr>
  </w:style>
  <w:style w:type="character" w:customStyle="1" w:styleId="PrrafodelistaCar">
    <w:name w:val="Párrafo de lista Car"/>
    <w:link w:val="Prrafodelista"/>
    <w:uiPriority w:val="34"/>
    <w:rsid w:val="00763C8E"/>
    <w:rPr>
      <w:lang w:val="es-CR"/>
    </w:rPr>
  </w:style>
  <w:style w:type="paragraph" w:customStyle="1" w:styleId="BodyText21">
    <w:name w:val="Body Text 21"/>
    <w:basedOn w:val="Normal"/>
    <w:rsid w:val="00B377B2"/>
    <w:pPr>
      <w:overflowPunct w:val="0"/>
      <w:autoSpaceDE w:val="0"/>
      <w:autoSpaceDN w:val="0"/>
      <w:adjustRightInd w:val="0"/>
      <w:spacing w:after="0" w:line="240" w:lineRule="auto"/>
      <w:jc w:val="both"/>
    </w:pPr>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99"/>
    <w:qFormat/>
    <w:rsid w:val="00B377B2"/>
    <w:pPr>
      <w:spacing w:after="0" w:line="240" w:lineRule="auto"/>
      <w:jc w:val="center"/>
    </w:pPr>
    <w:rPr>
      <w:rFonts w:ascii="Bookman Old Style" w:eastAsia="Times New Roman" w:hAnsi="Bookman Old Style" w:cs="Times New Roman"/>
      <w:b/>
      <w:sz w:val="24"/>
      <w:szCs w:val="20"/>
      <w:u w:val="single"/>
      <w:lang w:val="es-ES_tradnl" w:eastAsia="es-CR"/>
    </w:rPr>
  </w:style>
  <w:style w:type="character" w:customStyle="1" w:styleId="TtuloCar">
    <w:name w:val="Título Car"/>
    <w:basedOn w:val="Fuentedeprrafopredeter"/>
    <w:link w:val="Ttulo"/>
    <w:uiPriority w:val="10"/>
    <w:rsid w:val="00B377B2"/>
    <w:rPr>
      <w:rFonts w:ascii="Bookman Old Style" w:eastAsia="Times New Roman" w:hAnsi="Bookman Old Style" w:cs="Times New Roman"/>
      <w:b/>
      <w:sz w:val="24"/>
      <w:szCs w:val="20"/>
      <w:u w:val="single"/>
      <w:lang w:val="es-ES_tradnl" w:eastAsia="es-CR"/>
    </w:rPr>
  </w:style>
  <w:style w:type="paragraph" w:styleId="Textoindependiente2">
    <w:name w:val="Body Text 2"/>
    <w:basedOn w:val="Normal"/>
    <w:link w:val="Textoindependiente2Car"/>
    <w:rsid w:val="00B377B2"/>
    <w:pPr>
      <w:overflowPunct w:val="0"/>
      <w:autoSpaceDE w:val="0"/>
      <w:autoSpaceDN w:val="0"/>
      <w:adjustRightInd w:val="0"/>
      <w:spacing w:after="120" w:line="480" w:lineRule="auto"/>
      <w:textAlignment w:val="baseline"/>
    </w:pPr>
    <w:rPr>
      <w:rFonts w:ascii="Arial" w:eastAsia="Times New Roman" w:hAnsi="Arial" w:cs="Times New Roman"/>
      <w:noProof/>
      <w:szCs w:val="8"/>
      <w:lang w:val="en-US"/>
    </w:rPr>
  </w:style>
  <w:style w:type="character" w:customStyle="1" w:styleId="Textoindependiente2Car">
    <w:name w:val="Texto independiente 2 Car"/>
    <w:basedOn w:val="Fuentedeprrafopredeter"/>
    <w:link w:val="Textoindependiente2"/>
    <w:rsid w:val="00B377B2"/>
    <w:rPr>
      <w:rFonts w:ascii="Arial" w:eastAsia="Times New Roman" w:hAnsi="Arial" w:cs="Times New Roman"/>
      <w:noProof/>
      <w:szCs w:val="8"/>
      <w:lang w:val="en-US"/>
    </w:rPr>
  </w:style>
  <w:style w:type="character" w:styleId="Refdecomentario">
    <w:name w:val="annotation reference"/>
    <w:basedOn w:val="Fuentedeprrafopredeter"/>
    <w:uiPriority w:val="99"/>
    <w:semiHidden/>
    <w:unhideWhenUsed/>
    <w:rsid w:val="00B377B2"/>
    <w:rPr>
      <w:sz w:val="16"/>
      <w:szCs w:val="16"/>
    </w:rPr>
  </w:style>
  <w:style w:type="paragraph" w:styleId="Textocomentario">
    <w:name w:val="annotation text"/>
    <w:basedOn w:val="Normal"/>
    <w:link w:val="TextocomentarioCar"/>
    <w:uiPriority w:val="99"/>
    <w:semiHidden/>
    <w:unhideWhenUsed/>
    <w:rsid w:val="00B377B2"/>
    <w:pPr>
      <w:spacing w:line="240" w:lineRule="auto"/>
    </w:pPr>
    <w:rPr>
      <w:sz w:val="20"/>
      <w:szCs w:val="20"/>
      <w:lang w:val="es-CR"/>
    </w:rPr>
  </w:style>
  <w:style w:type="character" w:customStyle="1" w:styleId="TextocomentarioCar">
    <w:name w:val="Texto comentario Car"/>
    <w:basedOn w:val="Fuentedeprrafopredeter"/>
    <w:link w:val="Textocomentario"/>
    <w:uiPriority w:val="99"/>
    <w:semiHidden/>
    <w:rsid w:val="00B377B2"/>
    <w:rPr>
      <w:sz w:val="20"/>
      <w:szCs w:val="20"/>
      <w:lang w:val="es-CR"/>
    </w:rPr>
  </w:style>
  <w:style w:type="paragraph" w:styleId="Asuntodelcomentario">
    <w:name w:val="annotation subject"/>
    <w:basedOn w:val="Textocomentario"/>
    <w:next w:val="Textocomentario"/>
    <w:link w:val="AsuntodelcomentarioCar"/>
    <w:uiPriority w:val="99"/>
    <w:semiHidden/>
    <w:unhideWhenUsed/>
    <w:rsid w:val="00B377B2"/>
    <w:rPr>
      <w:b/>
      <w:bCs/>
    </w:rPr>
  </w:style>
  <w:style w:type="character" w:customStyle="1" w:styleId="AsuntodelcomentarioCar">
    <w:name w:val="Asunto del comentario Car"/>
    <w:basedOn w:val="TextocomentarioCar"/>
    <w:link w:val="Asuntodelcomentario"/>
    <w:uiPriority w:val="99"/>
    <w:semiHidden/>
    <w:rsid w:val="00B377B2"/>
    <w:rPr>
      <w:b/>
      <w:bCs/>
      <w:sz w:val="20"/>
      <w:szCs w:val="20"/>
      <w:lang w:val="es-CR"/>
    </w:rPr>
  </w:style>
  <w:style w:type="paragraph" w:styleId="Textodeglobo">
    <w:name w:val="Balloon Text"/>
    <w:basedOn w:val="Normal"/>
    <w:link w:val="TextodegloboCar"/>
    <w:uiPriority w:val="99"/>
    <w:semiHidden/>
    <w:unhideWhenUsed/>
    <w:rsid w:val="00B377B2"/>
    <w:pPr>
      <w:spacing w:after="0" w:line="240" w:lineRule="auto"/>
    </w:pPr>
    <w:rPr>
      <w:rFonts w:ascii="Tahoma" w:hAnsi="Tahoma" w:cs="Tahoma"/>
      <w:sz w:val="16"/>
      <w:szCs w:val="16"/>
      <w:lang w:val="es-CR"/>
    </w:rPr>
  </w:style>
  <w:style w:type="character" w:customStyle="1" w:styleId="TextodegloboCar">
    <w:name w:val="Texto de globo Car"/>
    <w:basedOn w:val="Fuentedeprrafopredeter"/>
    <w:link w:val="Textodeglobo"/>
    <w:uiPriority w:val="99"/>
    <w:semiHidden/>
    <w:rsid w:val="00B377B2"/>
    <w:rPr>
      <w:rFonts w:ascii="Tahoma" w:hAnsi="Tahoma" w:cs="Tahoma"/>
      <w:sz w:val="16"/>
      <w:szCs w:val="16"/>
      <w:lang w:val="es-CR"/>
    </w:rPr>
  </w:style>
  <w:style w:type="paragraph" w:styleId="Encabezado">
    <w:name w:val="header"/>
    <w:basedOn w:val="Normal"/>
    <w:link w:val="EncabezadoCar"/>
    <w:uiPriority w:val="99"/>
    <w:unhideWhenUsed/>
    <w:rsid w:val="00B377B2"/>
    <w:pPr>
      <w:tabs>
        <w:tab w:val="center" w:pos="4419"/>
        <w:tab w:val="right" w:pos="8838"/>
      </w:tabs>
      <w:spacing w:after="0" w:line="240" w:lineRule="auto"/>
    </w:pPr>
    <w:rPr>
      <w:lang w:val="es-CR"/>
    </w:rPr>
  </w:style>
  <w:style w:type="character" w:customStyle="1" w:styleId="EncabezadoCar">
    <w:name w:val="Encabezado Car"/>
    <w:basedOn w:val="Fuentedeprrafopredeter"/>
    <w:link w:val="Encabezado"/>
    <w:uiPriority w:val="99"/>
    <w:rsid w:val="00B377B2"/>
    <w:rPr>
      <w:lang w:val="es-CR"/>
    </w:rPr>
  </w:style>
  <w:style w:type="paragraph" w:styleId="Piedepgina">
    <w:name w:val="footer"/>
    <w:basedOn w:val="Normal"/>
    <w:link w:val="PiedepginaCar"/>
    <w:uiPriority w:val="99"/>
    <w:unhideWhenUsed/>
    <w:rsid w:val="00B377B2"/>
    <w:pPr>
      <w:tabs>
        <w:tab w:val="center" w:pos="4419"/>
        <w:tab w:val="right" w:pos="8838"/>
      </w:tabs>
      <w:spacing w:after="0" w:line="240" w:lineRule="auto"/>
    </w:pPr>
    <w:rPr>
      <w:lang w:val="es-CR"/>
    </w:rPr>
  </w:style>
  <w:style w:type="character" w:customStyle="1" w:styleId="PiedepginaCar">
    <w:name w:val="Pie de página Car"/>
    <w:basedOn w:val="Fuentedeprrafopredeter"/>
    <w:link w:val="Piedepgina"/>
    <w:uiPriority w:val="99"/>
    <w:rsid w:val="00B377B2"/>
    <w:rPr>
      <w:lang w:val="es-CR"/>
    </w:rPr>
  </w:style>
  <w:style w:type="character" w:customStyle="1" w:styleId="style91">
    <w:name w:val="style91"/>
    <w:basedOn w:val="Fuentedeprrafopredeter"/>
    <w:rsid w:val="00B377B2"/>
    <w:rPr>
      <w:sz w:val="36"/>
      <w:szCs w:val="36"/>
    </w:rPr>
  </w:style>
  <w:style w:type="paragraph" w:customStyle="1" w:styleId="Default">
    <w:name w:val="Default"/>
    <w:rsid w:val="00B377B2"/>
    <w:pPr>
      <w:autoSpaceDE w:val="0"/>
      <w:autoSpaceDN w:val="0"/>
      <w:adjustRightInd w:val="0"/>
      <w:spacing w:after="0" w:line="240" w:lineRule="auto"/>
    </w:pPr>
    <w:rPr>
      <w:rFonts w:ascii="Arial" w:hAnsi="Arial" w:cs="Arial"/>
      <w:color w:val="000000"/>
      <w:sz w:val="24"/>
      <w:szCs w:val="24"/>
      <w:lang w:val="es-CR"/>
    </w:rPr>
  </w:style>
  <w:style w:type="character" w:styleId="Mencinsinresolver">
    <w:name w:val="Unresolved Mention"/>
    <w:basedOn w:val="Fuentedeprrafopredeter"/>
    <w:uiPriority w:val="99"/>
    <w:semiHidden/>
    <w:unhideWhenUsed/>
    <w:rsid w:val="00B377B2"/>
    <w:rPr>
      <w:color w:val="605E5C"/>
      <w:shd w:val="clear" w:color="auto" w:fill="E1DFDD"/>
    </w:rPr>
  </w:style>
  <w:style w:type="character" w:styleId="Hipervnculovisitado">
    <w:name w:val="FollowedHyperlink"/>
    <w:basedOn w:val="Fuentedeprrafopredeter"/>
    <w:uiPriority w:val="99"/>
    <w:semiHidden/>
    <w:unhideWhenUsed/>
    <w:rsid w:val="00B377B2"/>
    <w:rPr>
      <w:color w:val="954F72" w:themeColor="followedHyperlink"/>
      <w:u w:val="single"/>
    </w:rPr>
  </w:style>
  <w:style w:type="character" w:customStyle="1" w:styleId="A9">
    <w:name w:val="A9"/>
    <w:uiPriority w:val="99"/>
    <w:rsid w:val="00B377B2"/>
    <w:rPr>
      <w:color w:val="000000"/>
      <w:sz w:val="14"/>
      <w:szCs w:val="14"/>
    </w:rPr>
  </w:style>
  <w:style w:type="character" w:customStyle="1" w:styleId="corchete-llamada1">
    <w:name w:val="corchete-llamada1"/>
    <w:basedOn w:val="Fuentedeprrafopredeter"/>
    <w:rsid w:val="00B377B2"/>
    <w:rPr>
      <w:vanish/>
      <w:webHidden w:val="0"/>
      <w:specVanish w:val="0"/>
    </w:rPr>
  </w:style>
  <w:style w:type="paragraph" w:customStyle="1" w:styleId="PIESAGRARIO">
    <w:name w:val="PIES AGRARIO======"/>
    <w:basedOn w:val="Normal"/>
    <w:uiPriority w:val="99"/>
    <w:rsid w:val="00B377B2"/>
    <w:pPr>
      <w:tabs>
        <w:tab w:val="left" w:pos="400"/>
      </w:tabs>
      <w:autoSpaceDE w:val="0"/>
      <w:autoSpaceDN w:val="0"/>
      <w:adjustRightInd w:val="0"/>
      <w:spacing w:after="0" w:line="288" w:lineRule="auto"/>
      <w:jc w:val="both"/>
      <w:textAlignment w:val="center"/>
    </w:pPr>
    <w:rPr>
      <w:rFonts w:ascii="Arial" w:eastAsia="Calibri" w:hAnsi="Arial" w:cs="Arial"/>
      <w:color w:val="000000"/>
      <w:sz w:val="18"/>
      <w:szCs w:val="18"/>
      <w:lang w:val="es-ES_tradnl"/>
    </w:rPr>
  </w:style>
  <w:style w:type="character" w:styleId="Refdenotaalfinal">
    <w:name w:val="endnote reference"/>
    <w:basedOn w:val="Fuentedeprrafopredeter"/>
    <w:uiPriority w:val="99"/>
    <w:semiHidden/>
    <w:unhideWhenUsed/>
    <w:rsid w:val="00B377B2"/>
    <w:rPr>
      <w:vertAlign w:val="superscript"/>
    </w:rPr>
  </w:style>
  <w:style w:type="character" w:styleId="Nmerodepgina">
    <w:name w:val="page number"/>
    <w:basedOn w:val="Fuentedeprrafopredeter"/>
    <w:uiPriority w:val="99"/>
    <w:semiHidden/>
    <w:unhideWhenUsed/>
    <w:rsid w:val="00B377B2"/>
  </w:style>
  <w:style w:type="paragraph" w:styleId="HTMLconformatoprevio">
    <w:name w:val="HTML Preformatted"/>
    <w:basedOn w:val="Normal"/>
    <w:link w:val="HTMLconformatoprevioCar"/>
    <w:uiPriority w:val="99"/>
    <w:semiHidden/>
    <w:unhideWhenUsed/>
    <w:rsid w:val="00B37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R" w:eastAsia="es-ES_tradnl"/>
    </w:rPr>
  </w:style>
  <w:style w:type="character" w:customStyle="1" w:styleId="HTMLconformatoprevioCar">
    <w:name w:val="HTML con formato previo Car"/>
    <w:basedOn w:val="Fuentedeprrafopredeter"/>
    <w:link w:val="HTMLconformatoprevio"/>
    <w:uiPriority w:val="99"/>
    <w:semiHidden/>
    <w:rsid w:val="00B377B2"/>
    <w:rPr>
      <w:rFonts w:ascii="Courier New" w:eastAsia="Times New Roman" w:hAnsi="Courier New" w:cs="Courier New"/>
      <w:sz w:val="20"/>
      <w:szCs w:val="20"/>
      <w:lang w:val="es-CR" w:eastAsia="es-ES_tradnl"/>
    </w:rPr>
  </w:style>
  <w:style w:type="paragraph" w:customStyle="1" w:styleId="Informacindecontacto">
    <w:name w:val="Información de contacto"/>
    <w:basedOn w:val="Normal"/>
    <w:uiPriority w:val="4"/>
    <w:qFormat/>
    <w:rsid w:val="00B377B2"/>
    <w:pPr>
      <w:spacing w:after="0" w:line="264" w:lineRule="auto"/>
      <w:jc w:val="center"/>
    </w:pPr>
    <w:rPr>
      <w:color w:val="595959" w:themeColor="text1" w:themeTint="A6"/>
    </w:rPr>
  </w:style>
  <w:style w:type="paragraph" w:styleId="Subttulo">
    <w:name w:val="Subtitle"/>
    <w:basedOn w:val="Normal"/>
    <w:link w:val="SubttuloCar"/>
    <w:uiPriority w:val="11"/>
    <w:unhideWhenUsed/>
    <w:qFormat/>
    <w:rsid w:val="00B377B2"/>
    <w:pPr>
      <w:numPr>
        <w:ilvl w:val="1"/>
      </w:numPr>
      <w:spacing w:after="480" w:line="264" w:lineRule="auto"/>
      <w:contextualSpacing/>
      <w:jc w:val="center"/>
    </w:pPr>
    <w:rPr>
      <w:rFonts w:asciiTheme="majorHAnsi" w:eastAsiaTheme="majorEastAsia" w:hAnsiTheme="majorHAnsi" w:cstheme="majorBidi"/>
      <w:caps/>
      <w:color w:val="595959" w:themeColor="text1" w:themeTint="A6"/>
      <w:sz w:val="26"/>
    </w:rPr>
  </w:style>
  <w:style w:type="character" w:customStyle="1" w:styleId="SubttuloCar">
    <w:name w:val="Subtítulo Car"/>
    <w:basedOn w:val="Fuentedeprrafopredeter"/>
    <w:link w:val="Subttulo"/>
    <w:uiPriority w:val="11"/>
    <w:rsid w:val="00B377B2"/>
    <w:rPr>
      <w:rFonts w:asciiTheme="majorHAnsi" w:eastAsiaTheme="majorEastAsia" w:hAnsiTheme="majorHAnsi" w:cstheme="majorBidi"/>
      <w:caps/>
      <w:color w:val="595959" w:themeColor="text1" w:themeTint="A6"/>
      <w:sz w:val="26"/>
    </w:rPr>
  </w:style>
  <w:style w:type="paragraph" w:customStyle="1" w:styleId="Foto">
    <w:name w:val="Foto"/>
    <w:basedOn w:val="Normal"/>
    <w:uiPriority w:val="1"/>
    <w:qFormat/>
    <w:rsid w:val="00B377B2"/>
    <w:pPr>
      <w:spacing w:after="0" w:line="240" w:lineRule="auto"/>
      <w:jc w:val="center"/>
    </w:pPr>
    <w:rPr>
      <w:color w:val="595959" w:themeColor="text1" w:themeTint="A6"/>
    </w:rPr>
  </w:style>
  <w:style w:type="paragraph" w:customStyle="1" w:styleId="Predeterminado">
    <w:name w:val="Predeterminado"/>
    <w:next w:val="Normal"/>
    <w:uiPriority w:val="99"/>
    <w:rsid w:val="00763C8E"/>
    <w:pPr>
      <w:widowControl w:val="0"/>
      <w:autoSpaceDE w:val="0"/>
      <w:autoSpaceDN w:val="0"/>
      <w:adjustRightInd w:val="0"/>
      <w:spacing w:after="0" w:line="240" w:lineRule="auto"/>
    </w:pPr>
    <w:rPr>
      <w:rFonts w:ascii="Arial" w:eastAsiaTheme="minorEastAsia" w:hAnsi="Arial" w:cs="Arial"/>
      <w:sz w:val="24"/>
      <w:szCs w:val="24"/>
      <w:lang w:eastAsia="es-CR"/>
    </w:rPr>
  </w:style>
  <w:style w:type="paragraph" w:customStyle="1" w:styleId="Encabezado4">
    <w:name w:val="Encabezado 4"/>
    <w:next w:val="Normal"/>
    <w:uiPriority w:val="99"/>
    <w:rsid w:val="00763C8E"/>
    <w:pPr>
      <w:keepNext/>
      <w:keepLines/>
      <w:widowControl w:val="0"/>
      <w:autoSpaceDE w:val="0"/>
      <w:autoSpaceDN w:val="0"/>
      <w:adjustRightInd w:val="0"/>
      <w:spacing w:before="40" w:after="0" w:line="240" w:lineRule="auto"/>
      <w:outlineLvl w:val="3"/>
    </w:pPr>
    <w:rPr>
      <w:rFonts w:ascii="Times New Roman" w:eastAsiaTheme="minorEastAsia" w:hAnsi="Times New Roman" w:cs="Times New Roman"/>
      <w:i/>
      <w:iCs/>
      <w:color w:val="2F5496"/>
      <w:sz w:val="24"/>
      <w:szCs w:val="24"/>
      <w:lang w:eastAsia="es-CR"/>
    </w:rPr>
  </w:style>
  <w:style w:type="paragraph" w:customStyle="1" w:styleId="Enumeracin3">
    <w:name w:val="Enumeración 3"/>
    <w:uiPriority w:val="99"/>
    <w:rsid w:val="00763C8E"/>
    <w:pPr>
      <w:widowControl w:val="0"/>
      <w:autoSpaceDE w:val="0"/>
      <w:autoSpaceDN w:val="0"/>
      <w:adjustRightInd w:val="0"/>
      <w:spacing w:after="120" w:line="240" w:lineRule="auto"/>
      <w:ind w:left="849" w:hanging="283"/>
    </w:pPr>
    <w:rPr>
      <w:rFonts w:ascii="Arial" w:eastAsiaTheme="minorEastAsia" w:hAnsi="Arial" w:cs="Arial"/>
      <w:sz w:val="24"/>
      <w:szCs w:val="24"/>
      <w:lang w:eastAsia="es-CR"/>
    </w:rPr>
  </w:style>
  <w:style w:type="paragraph" w:styleId="Continuarlista3">
    <w:name w:val="List Continue 3"/>
    <w:basedOn w:val="Normal"/>
    <w:uiPriority w:val="99"/>
    <w:rsid w:val="00763C8E"/>
    <w:pPr>
      <w:widowControl w:val="0"/>
      <w:autoSpaceDE w:val="0"/>
      <w:autoSpaceDN w:val="0"/>
      <w:adjustRightInd w:val="0"/>
      <w:spacing w:after="120" w:line="240" w:lineRule="auto"/>
      <w:ind w:left="849"/>
    </w:pPr>
    <w:rPr>
      <w:rFonts w:ascii="Arial" w:eastAsiaTheme="minorEastAsia" w:hAnsi="Arial" w:cs="Arial"/>
      <w:sz w:val="24"/>
      <w:szCs w:val="24"/>
      <w:lang w:eastAsia="es-CR"/>
    </w:rPr>
  </w:style>
  <w:style w:type="paragraph" w:customStyle="1" w:styleId="p7">
    <w:name w:val="p7"/>
    <w:uiPriority w:val="99"/>
    <w:rsid w:val="00763C8E"/>
    <w:pPr>
      <w:widowControl w:val="0"/>
      <w:autoSpaceDE w:val="0"/>
      <w:autoSpaceDN w:val="0"/>
      <w:adjustRightInd w:val="0"/>
      <w:spacing w:after="0" w:line="240" w:lineRule="atLeast"/>
      <w:ind w:left="144" w:hanging="1584"/>
    </w:pPr>
    <w:rPr>
      <w:rFonts w:ascii="Arial" w:eastAsiaTheme="minorEastAsia" w:hAnsi="Arial" w:cs="Arial"/>
      <w:lang w:eastAsia="es-CR"/>
    </w:rPr>
  </w:style>
  <w:style w:type="paragraph" w:customStyle="1" w:styleId="Textodenotaalpie">
    <w:name w:val="Texto de nota al pie"/>
    <w:basedOn w:val="Normal"/>
    <w:rsid w:val="00763C8E"/>
    <w:pPr>
      <w:widowControl w:val="0"/>
      <w:spacing w:after="0" w:line="240" w:lineRule="auto"/>
    </w:pPr>
    <w:rPr>
      <w:rFonts w:ascii="Courier New" w:eastAsia="Times New Roman" w:hAnsi="Courier New" w:cs="Times New Roman"/>
      <w:sz w:val="24"/>
      <w:szCs w:val="20"/>
      <w:lang w:val="es-ES_tradnl" w:eastAsia="es-MX"/>
    </w:rPr>
  </w:style>
  <w:style w:type="paragraph" w:styleId="Sinespaciado">
    <w:name w:val="No Spacing"/>
    <w:link w:val="SinespaciadoCar"/>
    <w:uiPriority w:val="1"/>
    <w:qFormat/>
    <w:rsid w:val="00763C8E"/>
    <w:pPr>
      <w:spacing w:after="0" w:line="240" w:lineRule="auto"/>
      <w:ind w:right="74"/>
      <w:jc w:val="both"/>
    </w:pPr>
    <w:rPr>
      <w:rFonts w:ascii="Calibri" w:eastAsia="Calibri" w:hAnsi="Calibri" w:cs="Times New Roman"/>
    </w:rPr>
  </w:style>
  <w:style w:type="character" w:customStyle="1" w:styleId="SinespaciadoCar">
    <w:name w:val="Sin espaciado Car"/>
    <w:link w:val="Sinespaciado"/>
    <w:uiPriority w:val="1"/>
    <w:rsid w:val="00763C8E"/>
    <w:rPr>
      <w:rFonts w:ascii="Calibri" w:eastAsia="Calibri" w:hAnsi="Calibri" w:cs="Times New Roman"/>
    </w:rPr>
  </w:style>
  <w:style w:type="character" w:customStyle="1" w:styleId="Irene">
    <w:name w:val="Irene"/>
    <w:basedOn w:val="Fuentedeprrafopredeter"/>
    <w:rsid w:val="00763C8E"/>
  </w:style>
  <w:style w:type="paragraph" w:customStyle="1" w:styleId="listnumber">
    <w:name w:val="listnumber"/>
    <w:basedOn w:val="Normal"/>
    <w:rsid w:val="00763C8E"/>
    <w:pPr>
      <w:spacing w:after="0" w:line="360" w:lineRule="auto"/>
      <w:ind w:left="360" w:hanging="360"/>
      <w:jc w:val="both"/>
    </w:pPr>
    <w:rPr>
      <w:rFonts w:ascii="Arial" w:eastAsia="Times New Roman" w:hAnsi="Arial" w:cs="Arial"/>
      <w:sz w:val="24"/>
      <w:szCs w:val="24"/>
      <w:lang w:eastAsia="es-ES"/>
    </w:rPr>
  </w:style>
  <w:style w:type="paragraph" w:styleId="Textoindependiente">
    <w:name w:val="Body Text"/>
    <w:basedOn w:val="Normal"/>
    <w:link w:val="TextoindependienteCar"/>
    <w:uiPriority w:val="99"/>
    <w:semiHidden/>
    <w:unhideWhenUsed/>
    <w:rsid w:val="00763C8E"/>
    <w:pPr>
      <w:spacing w:after="120" w:line="276" w:lineRule="auto"/>
    </w:pPr>
    <w:rPr>
      <w:rFonts w:ascii="Calibri" w:eastAsia="Calibri" w:hAnsi="Calibri" w:cs="Times New Roman"/>
      <w:lang w:val="es-PA"/>
    </w:rPr>
  </w:style>
  <w:style w:type="character" w:customStyle="1" w:styleId="TextoindependienteCar">
    <w:name w:val="Texto independiente Car"/>
    <w:basedOn w:val="Fuentedeprrafopredeter"/>
    <w:link w:val="Textoindependiente"/>
    <w:uiPriority w:val="99"/>
    <w:semiHidden/>
    <w:rsid w:val="00763C8E"/>
    <w:rPr>
      <w:rFonts w:ascii="Calibri" w:eastAsia="Calibri" w:hAnsi="Calibri" w:cs="Times New Roman"/>
      <w:lang w:val="es-PA"/>
    </w:rPr>
  </w:style>
  <w:style w:type="paragraph" w:customStyle="1" w:styleId="formofi">
    <w:name w:val="formofi"/>
    <w:rsid w:val="00763C8E"/>
    <w:pPr>
      <w:widowControl w:val="0"/>
      <w:tabs>
        <w:tab w:val="left" w:pos="-1152"/>
        <w:tab w:val="left" w:pos="-432"/>
        <w:tab w:val="left" w:pos="720"/>
        <w:tab w:val="left" w:pos="1440"/>
        <w:tab w:val="left" w:pos="2160"/>
        <w:tab w:val="left" w:pos="2880"/>
        <w:tab w:val="left" w:pos="3600"/>
        <w:tab w:val="left" w:pos="4320"/>
      </w:tabs>
      <w:spacing w:after="0" w:line="480" w:lineRule="auto"/>
    </w:pPr>
    <w:rPr>
      <w:rFonts w:ascii="Courier New" w:eastAsia="Times New Roman" w:hAnsi="Courier New" w:cs="Times New Roman"/>
      <w:snapToGrid w:val="0"/>
      <w:sz w:val="24"/>
      <w:szCs w:val="20"/>
      <w:lang w:val="en-US" w:eastAsia="es-ES"/>
    </w:rPr>
  </w:style>
  <w:style w:type="paragraph" w:customStyle="1" w:styleId="Cursivo">
    <w:name w:val="Cursivo"/>
    <w:basedOn w:val="Normal"/>
    <w:rsid w:val="00763C8E"/>
    <w:pPr>
      <w:spacing w:after="0" w:line="268" w:lineRule="atLeast"/>
      <w:ind w:firstLine="360"/>
      <w:jc w:val="both"/>
    </w:pPr>
    <w:rPr>
      <w:rFonts w:ascii="Times" w:eastAsia="Times New Roman" w:hAnsi="Times" w:cs="Times New Roman"/>
      <w:i/>
      <w:szCs w:val="20"/>
      <w:lang w:val="en-US"/>
    </w:rPr>
  </w:style>
  <w:style w:type="character" w:customStyle="1" w:styleId="Ancladenotaalpie">
    <w:name w:val="Ancla de nota al pie"/>
    <w:rsid w:val="00763C8E"/>
    <w:rPr>
      <w:vertAlign w:val="superscript"/>
    </w:rPr>
  </w:style>
  <w:style w:type="paragraph" w:styleId="TDC1">
    <w:name w:val="toc 1"/>
    <w:basedOn w:val="Normal"/>
    <w:next w:val="Normal"/>
    <w:autoRedefine/>
    <w:uiPriority w:val="39"/>
    <w:unhideWhenUsed/>
    <w:rsid w:val="00E87246"/>
    <w:pPr>
      <w:tabs>
        <w:tab w:val="right" w:leader="dot" w:pos="8828"/>
      </w:tabs>
      <w:spacing w:after="0" w:line="240" w:lineRule="auto"/>
      <w:jc w:val="center"/>
    </w:pPr>
    <w:rPr>
      <w:rFonts w:ascii="Palatino Linotype" w:eastAsia="Times New Roman" w:hAnsi="Palatino Linotype" w:cs="Times New Roman"/>
      <w:b/>
      <w:bCs/>
      <w:shd w:val="clear" w:color="auto" w:fill="FFFFFF"/>
      <w:lang w:val="es-ES_tradnl" w:eastAsia="es-ES_tradnl"/>
    </w:rPr>
  </w:style>
  <w:style w:type="paragraph" w:styleId="TDC2">
    <w:name w:val="toc 2"/>
    <w:basedOn w:val="Normal"/>
    <w:next w:val="Normal"/>
    <w:autoRedefine/>
    <w:uiPriority w:val="39"/>
    <w:unhideWhenUsed/>
    <w:rsid w:val="00622E7C"/>
    <w:pPr>
      <w:spacing w:after="0" w:line="240" w:lineRule="auto"/>
      <w:ind w:left="240"/>
    </w:pPr>
    <w:rPr>
      <w:rFonts w:ascii="Calibri" w:eastAsia="Times New Roman" w:hAnsi="Calibri" w:cs="Times New Roman"/>
      <w:smallCaps/>
      <w:sz w:val="20"/>
      <w:szCs w:val="20"/>
      <w:lang w:val="es-CR" w:eastAsia="es-ES_tradnl"/>
    </w:rPr>
  </w:style>
  <w:style w:type="paragraph" w:styleId="TDC3">
    <w:name w:val="toc 3"/>
    <w:basedOn w:val="Normal"/>
    <w:next w:val="Normal"/>
    <w:autoRedefine/>
    <w:uiPriority w:val="39"/>
    <w:unhideWhenUsed/>
    <w:rsid w:val="00622E7C"/>
    <w:pPr>
      <w:tabs>
        <w:tab w:val="right" w:leader="dot" w:pos="8828"/>
      </w:tabs>
      <w:spacing w:after="0" w:line="360" w:lineRule="auto"/>
      <w:ind w:left="482"/>
    </w:pPr>
    <w:rPr>
      <w:rFonts w:ascii="Calibri" w:eastAsia="Times New Roman" w:hAnsi="Calibri" w:cs="Times New Roman"/>
      <w:i/>
      <w:iCs/>
      <w:sz w:val="20"/>
      <w:szCs w:val="20"/>
      <w:lang w:val="es-CR" w:eastAsia="es-ES_tradnl"/>
    </w:rPr>
  </w:style>
  <w:style w:type="paragraph" w:styleId="TDC4">
    <w:name w:val="toc 4"/>
    <w:basedOn w:val="Normal"/>
    <w:next w:val="Normal"/>
    <w:autoRedefine/>
    <w:uiPriority w:val="39"/>
    <w:unhideWhenUsed/>
    <w:rsid w:val="00622E7C"/>
    <w:pPr>
      <w:spacing w:after="0" w:line="240" w:lineRule="auto"/>
      <w:ind w:left="720"/>
    </w:pPr>
    <w:rPr>
      <w:rFonts w:ascii="Calibri" w:eastAsia="Times New Roman" w:hAnsi="Calibri" w:cs="Times New Roman"/>
      <w:sz w:val="18"/>
      <w:szCs w:val="18"/>
      <w:lang w:val="es-CR" w:eastAsia="es-ES_tradnl"/>
    </w:rPr>
  </w:style>
  <w:style w:type="paragraph" w:styleId="TDC5">
    <w:name w:val="toc 5"/>
    <w:basedOn w:val="Normal"/>
    <w:next w:val="Normal"/>
    <w:autoRedefine/>
    <w:uiPriority w:val="39"/>
    <w:unhideWhenUsed/>
    <w:rsid w:val="00622E7C"/>
    <w:pPr>
      <w:spacing w:after="0" w:line="240" w:lineRule="auto"/>
      <w:ind w:left="960"/>
    </w:pPr>
    <w:rPr>
      <w:rFonts w:ascii="Calibri" w:eastAsia="Times New Roman" w:hAnsi="Calibri" w:cs="Times New Roman"/>
      <w:sz w:val="18"/>
      <w:szCs w:val="18"/>
      <w:lang w:val="es-CR" w:eastAsia="es-ES_tradnl"/>
    </w:rPr>
  </w:style>
  <w:style w:type="paragraph" w:styleId="TDC6">
    <w:name w:val="toc 6"/>
    <w:basedOn w:val="Normal"/>
    <w:next w:val="Normal"/>
    <w:autoRedefine/>
    <w:uiPriority w:val="39"/>
    <w:unhideWhenUsed/>
    <w:rsid w:val="00622E7C"/>
    <w:pPr>
      <w:spacing w:after="0" w:line="240" w:lineRule="auto"/>
      <w:ind w:left="1200"/>
    </w:pPr>
    <w:rPr>
      <w:rFonts w:ascii="Calibri" w:eastAsia="Times New Roman" w:hAnsi="Calibri" w:cs="Times New Roman"/>
      <w:sz w:val="18"/>
      <w:szCs w:val="18"/>
      <w:lang w:val="es-CR" w:eastAsia="es-ES_tradnl"/>
    </w:rPr>
  </w:style>
  <w:style w:type="paragraph" w:styleId="TDC7">
    <w:name w:val="toc 7"/>
    <w:basedOn w:val="Normal"/>
    <w:next w:val="Normal"/>
    <w:autoRedefine/>
    <w:uiPriority w:val="39"/>
    <w:unhideWhenUsed/>
    <w:rsid w:val="00622E7C"/>
    <w:pPr>
      <w:spacing w:after="0" w:line="240" w:lineRule="auto"/>
      <w:ind w:left="1440"/>
    </w:pPr>
    <w:rPr>
      <w:rFonts w:ascii="Calibri" w:eastAsia="Times New Roman" w:hAnsi="Calibri" w:cs="Times New Roman"/>
      <w:sz w:val="18"/>
      <w:szCs w:val="18"/>
      <w:lang w:val="es-CR" w:eastAsia="es-ES_tradnl"/>
    </w:rPr>
  </w:style>
  <w:style w:type="paragraph" w:styleId="TDC8">
    <w:name w:val="toc 8"/>
    <w:basedOn w:val="Normal"/>
    <w:next w:val="Normal"/>
    <w:autoRedefine/>
    <w:uiPriority w:val="39"/>
    <w:unhideWhenUsed/>
    <w:rsid w:val="00622E7C"/>
    <w:pPr>
      <w:spacing w:after="0" w:line="240" w:lineRule="auto"/>
      <w:ind w:left="1680"/>
    </w:pPr>
    <w:rPr>
      <w:rFonts w:ascii="Calibri" w:eastAsia="Times New Roman" w:hAnsi="Calibri" w:cs="Times New Roman"/>
      <w:sz w:val="18"/>
      <w:szCs w:val="18"/>
      <w:lang w:val="es-CR" w:eastAsia="es-ES_tradnl"/>
    </w:rPr>
  </w:style>
  <w:style w:type="paragraph" w:styleId="TDC9">
    <w:name w:val="toc 9"/>
    <w:basedOn w:val="Normal"/>
    <w:next w:val="Normal"/>
    <w:autoRedefine/>
    <w:uiPriority w:val="39"/>
    <w:unhideWhenUsed/>
    <w:rsid w:val="00622E7C"/>
    <w:pPr>
      <w:spacing w:after="0" w:line="240" w:lineRule="auto"/>
      <w:ind w:left="1920"/>
    </w:pPr>
    <w:rPr>
      <w:rFonts w:ascii="Calibri" w:eastAsia="Times New Roman" w:hAnsi="Calibri" w:cs="Times New Roman"/>
      <w:sz w:val="18"/>
      <w:szCs w:val="18"/>
      <w:lang w:val="es-CR" w:eastAsia="es-ES_tradnl"/>
    </w:rPr>
  </w:style>
  <w:style w:type="paragraph" w:customStyle="1" w:styleId="Bibliografa1">
    <w:name w:val="Bibliografía1"/>
    <w:basedOn w:val="Normal"/>
    <w:next w:val="Normal"/>
    <w:rsid w:val="00622E7C"/>
    <w:pPr>
      <w:spacing w:after="0" w:line="360" w:lineRule="auto"/>
      <w:jc w:val="both"/>
    </w:pPr>
    <w:rPr>
      <w:rFonts w:ascii="Arial" w:eastAsia="SimSun" w:hAnsi="Arial" w:cs="Garamond"/>
      <w:sz w:val="24"/>
      <w:szCs w:val="24"/>
      <w:lang w:val="es-ES_tradnl" w:eastAsia="es-ES"/>
    </w:rPr>
  </w:style>
  <w:style w:type="character" w:customStyle="1" w:styleId="spelle">
    <w:name w:val="spelle"/>
    <w:rsid w:val="00622E7C"/>
  </w:style>
  <w:style w:type="character" w:customStyle="1" w:styleId="apple-converted-space">
    <w:name w:val="apple-converted-space"/>
    <w:rsid w:val="00622E7C"/>
  </w:style>
  <w:style w:type="character" w:customStyle="1" w:styleId="grame">
    <w:name w:val="grame"/>
    <w:rsid w:val="00622E7C"/>
  </w:style>
  <w:style w:type="character" w:styleId="nfasis">
    <w:name w:val="Emphasis"/>
    <w:uiPriority w:val="20"/>
    <w:qFormat/>
    <w:rsid w:val="00622E7C"/>
    <w:rPr>
      <w:i/>
      <w:iCs/>
    </w:rPr>
  </w:style>
  <w:style w:type="paragraph" w:styleId="TtuloTDC">
    <w:name w:val="TOC Heading"/>
    <w:basedOn w:val="Ttulo1"/>
    <w:next w:val="Normal"/>
    <w:uiPriority w:val="39"/>
    <w:unhideWhenUsed/>
    <w:qFormat/>
    <w:rsid w:val="00622E7C"/>
    <w:pPr>
      <w:spacing w:before="240" w:after="0" w:line="259" w:lineRule="auto"/>
      <w:jc w:val="left"/>
      <w:outlineLvl w:val="9"/>
    </w:pPr>
    <w:rPr>
      <w:rFonts w:ascii="Calibri Light" w:eastAsia="Times New Roman" w:hAnsi="Calibri Light" w:cs="Times New Roman"/>
      <w:b w:val="0"/>
      <w:bCs w:val="0"/>
      <w:caps w:val="0"/>
      <w:color w:val="2E74B5"/>
      <w:spacing w:val="0"/>
      <w:sz w:val="32"/>
      <w:szCs w:val="32"/>
      <w:lang w:val="en-US"/>
    </w:rPr>
  </w:style>
  <w:style w:type="character" w:styleId="nfasissutil">
    <w:name w:val="Subtle Emphasis"/>
    <w:basedOn w:val="Fuentedeprrafopredeter"/>
    <w:uiPriority w:val="19"/>
    <w:qFormat/>
    <w:rsid w:val="00622E7C"/>
    <w:rPr>
      <w:i/>
      <w:iCs/>
      <w:color w:val="404040" w:themeColor="text1" w:themeTint="BF"/>
    </w:rPr>
  </w:style>
  <w:style w:type="paragraph" w:styleId="Revisin">
    <w:name w:val="Revision"/>
    <w:hidden/>
    <w:uiPriority w:val="99"/>
    <w:semiHidden/>
    <w:rsid w:val="00311FAA"/>
    <w:pPr>
      <w:spacing w:after="0" w:line="240" w:lineRule="auto"/>
    </w:pPr>
  </w:style>
  <w:style w:type="table" w:styleId="Tablaconcuadrcula">
    <w:name w:val="Table Grid"/>
    <w:basedOn w:val="Tablanormal"/>
    <w:uiPriority w:val="39"/>
    <w:rsid w:val="00674E90"/>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674E90"/>
  </w:style>
  <w:style w:type="paragraph" w:customStyle="1" w:styleId="ColorfulList-Accent11">
    <w:name w:val="Colorful List - Accent 11"/>
    <w:basedOn w:val="Normal"/>
    <w:uiPriority w:val="34"/>
    <w:qFormat/>
    <w:rsid w:val="006229D5"/>
    <w:pPr>
      <w:spacing w:after="0" w:line="240" w:lineRule="auto"/>
      <w:ind w:left="720"/>
      <w:contextualSpacing/>
    </w:pPr>
    <w:rPr>
      <w:rFonts w:ascii="Calibri" w:eastAsia="Calibri" w:hAnsi="Calibri" w:cs="Times New Roman"/>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3463">
      <w:bodyDiv w:val="1"/>
      <w:marLeft w:val="0"/>
      <w:marRight w:val="0"/>
      <w:marTop w:val="0"/>
      <w:marBottom w:val="0"/>
      <w:divBdr>
        <w:top w:val="none" w:sz="0" w:space="0" w:color="auto"/>
        <w:left w:val="none" w:sz="0" w:space="0" w:color="auto"/>
        <w:bottom w:val="none" w:sz="0" w:space="0" w:color="auto"/>
        <w:right w:val="none" w:sz="0" w:space="0" w:color="auto"/>
      </w:divBdr>
    </w:div>
    <w:div w:id="28841808">
      <w:bodyDiv w:val="1"/>
      <w:marLeft w:val="0"/>
      <w:marRight w:val="0"/>
      <w:marTop w:val="0"/>
      <w:marBottom w:val="0"/>
      <w:divBdr>
        <w:top w:val="none" w:sz="0" w:space="0" w:color="auto"/>
        <w:left w:val="none" w:sz="0" w:space="0" w:color="auto"/>
        <w:bottom w:val="none" w:sz="0" w:space="0" w:color="auto"/>
        <w:right w:val="none" w:sz="0" w:space="0" w:color="auto"/>
      </w:divBdr>
    </w:div>
    <w:div w:id="67461423">
      <w:bodyDiv w:val="1"/>
      <w:marLeft w:val="0"/>
      <w:marRight w:val="0"/>
      <w:marTop w:val="0"/>
      <w:marBottom w:val="0"/>
      <w:divBdr>
        <w:top w:val="none" w:sz="0" w:space="0" w:color="auto"/>
        <w:left w:val="none" w:sz="0" w:space="0" w:color="auto"/>
        <w:bottom w:val="none" w:sz="0" w:space="0" w:color="auto"/>
        <w:right w:val="none" w:sz="0" w:space="0" w:color="auto"/>
      </w:divBdr>
    </w:div>
    <w:div w:id="157115020">
      <w:bodyDiv w:val="1"/>
      <w:marLeft w:val="0"/>
      <w:marRight w:val="0"/>
      <w:marTop w:val="0"/>
      <w:marBottom w:val="0"/>
      <w:divBdr>
        <w:top w:val="none" w:sz="0" w:space="0" w:color="auto"/>
        <w:left w:val="none" w:sz="0" w:space="0" w:color="auto"/>
        <w:bottom w:val="none" w:sz="0" w:space="0" w:color="auto"/>
        <w:right w:val="none" w:sz="0" w:space="0" w:color="auto"/>
      </w:divBdr>
    </w:div>
    <w:div w:id="244345432">
      <w:bodyDiv w:val="1"/>
      <w:marLeft w:val="0"/>
      <w:marRight w:val="0"/>
      <w:marTop w:val="0"/>
      <w:marBottom w:val="0"/>
      <w:divBdr>
        <w:top w:val="none" w:sz="0" w:space="0" w:color="auto"/>
        <w:left w:val="none" w:sz="0" w:space="0" w:color="auto"/>
        <w:bottom w:val="none" w:sz="0" w:space="0" w:color="auto"/>
        <w:right w:val="none" w:sz="0" w:space="0" w:color="auto"/>
      </w:divBdr>
    </w:div>
    <w:div w:id="442846437">
      <w:bodyDiv w:val="1"/>
      <w:marLeft w:val="0"/>
      <w:marRight w:val="0"/>
      <w:marTop w:val="0"/>
      <w:marBottom w:val="0"/>
      <w:divBdr>
        <w:top w:val="none" w:sz="0" w:space="0" w:color="auto"/>
        <w:left w:val="none" w:sz="0" w:space="0" w:color="auto"/>
        <w:bottom w:val="none" w:sz="0" w:space="0" w:color="auto"/>
        <w:right w:val="none" w:sz="0" w:space="0" w:color="auto"/>
      </w:divBdr>
    </w:div>
    <w:div w:id="543369622">
      <w:bodyDiv w:val="1"/>
      <w:marLeft w:val="0"/>
      <w:marRight w:val="0"/>
      <w:marTop w:val="0"/>
      <w:marBottom w:val="0"/>
      <w:divBdr>
        <w:top w:val="none" w:sz="0" w:space="0" w:color="auto"/>
        <w:left w:val="none" w:sz="0" w:space="0" w:color="auto"/>
        <w:bottom w:val="none" w:sz="0" w:space="0" w:color="auto"/>
        <w:right w:val="none" w:sz="0" w:space="0" w:color="auto"/>
      </w:divBdr>
    </w:div>
    <w:div w:id="646857433">
      <w:bodyDiv w:val="1"/>
      <w:marLeft w:val="0"/>
      <w:marRight w:val="0"/>
      <w:marTop w:val="0"/>
      <w:marBottom w:val="0"/>
      <w:divBdr>
        <w:top w:val="none" w:sz="0" w:space="0" w:color="auto"/>
        <w:left w:val="none" w:sz="0" w:space="0" w:color="auto"/>
        <w:bottom w:val="none" w:sz="0" w:space="0" w:color="auto"/>
        <w:right w:val="none" w:sz="0" w:space="0" w:color="auto"/>
      </w:divBdr>
    </w:div>
    <w:div w:id="682632995">
      <w:bodyDiv w:val="1"/>
      <w:marLeft w:val="0"/>
      <w:marRight w:val="0"/>
      <w:marTop w:val="0"/>
      <w:marBottom w:val="0"/>
      <w:divBdr>
        <w:top w:val="none" w:sz="0" w:space="0" w:color="auto"/>
        <w:left w:val="none" w:sz="0" w:space="0" w:color="auto"/>
        <w:bottom w:val="none" w:sz="0" w:space="0" w:color="auto"/>
        <w:right w:val="none" w:sz="0" w:space="0" w:color="auto"/>
      </w:divBdr>
      <w:divsChild>
        <w:div w:id="1319187976">
          <w:marLeft w:val="0"/>
          <w:marRight w:val="0"/>
          <w:marTop w:val="238"/>
          <w:marBottom w:val="0"/>
          <w:divBdr>
            <w:top w:val="none" w:sz="0" w:space="0" w:color="auto"/>
            <w:left w:val="none" w:sz="0" w:space="0" w:color="auto"/>
            <w:bottom w:val="none" w:sz="0" w:space="0" w:color="auto"/>
            <w:right w:val="none" w:sz="0" w:space="0" w:color="auto"/>
          </w:divBdr>
        </w:div>
        <w:div w:id="1448162458">
          <w:marLeft w:val="0"/>
          <w:marRight w:val="0"/>
          <w:marTop w:val="238"/>
          <w:marBottom w:val="0"/>
          <w:divBdr>
            <w:top w:val="none" w:sz="0" w:space="0" w:color="auto"/>
            <w:left w:val="none" w:sz="0" w:space="0" w:color="auto"/>
            <w:bottom w:val="none" w:sz="0" w:space="0" w:color="auto"/>
            <w:right w:val="none" w:sz="0" w:space="0" w:color="auto"/>
          </w:divBdr>
        </w:div>
        <w:div w:id="545068131">
          <w:marLeft w:val="0"/>
          <w:marRight w:val="0"/>
          <w:marTop w:val="238"/>
          <w:marBottom w:val="0"/>
          <w:divBdr>
            <w:top w:val="none" w:sz="0" w:space="0" w:color="auto"/>
            <w:left w:val="none" w:sz="0" w:space="0" w:color="auto"/>
            <w:bottom w:val="none" w:sz="0" w:space="0" w:color="auto"/>
            <w:right w:val="none" w:sz="0" w:space="0" w:color="auto"/>
          </w:divBdr>
        </w:div>
      </w:divsChild>
    </w:div>
    <w:div w:id="805853690">
      <w:bodyDiv w:val="1"/>
      <w:marLeft w:val="0"/>
      <w:marRight w:val="0"/>
      <w:marTop w:val="0"/>
      <w:marBottom w:val="0"/>
      <w:divBdr>
        <w:top w:val="none" w:sz="0" w:space="0" w:color="auto"/>
        <w:left w:val="none" w:sz="0" w:space="0" w:color="auto"/>
        <w:bottom w:val="none" w:sz="0" w:space="0" w:color="auto"/>
        <w:right w:val="none" w:sz="0" w:space="0" w:color="auto"/>
      </w:divBdr>
      <w:divsChild>
        <w:div w:id="1559319383">
          <w:marLeft w:val="0"/>
          <w:marRight w:val="57"/>
          <w:marTop w:val="0"/>
          <w:marBottom w:val="0"/>
          <w:divBdr>
            <w:top w:val="none" w:sz="0" w:space="0" w:color="auto"/>
            <w:left w:val="none" w:sz="0" w:space="0" w:color="auto"/>
            <w:bottom w:val="none" w:sz="0" w:space="0" w:color="auto"/>
            <w:right w:val="none" w:sz="0" w:space="0" w:color="auto"/>
          </w:divBdr>
        </w:div>
        <w:div w:id="1633511559">
          <w:marLeft w:val="0"/>
          <w:marRight w:val="57"/>
          <w:marTop w:val="0"/>
          <w:marBottom w:val="0"/>
          <w:divBdr>
            <w:top w:val="none" w:sz="0" w:space="0" w:color="auto"/>
            <w:left w:val="none" w:sz="0" w:space="0" w:color="auto"/>
            <w:bottom w:val="none" w:sz="0" w:space="0" w:color="auto"/>
            <w:right w:val="none" w:sz="0" w:space="0" w:color="auto"/>
          </w:divBdr>
        </w:div>
        <w:div w:id="608512951">
          <w:marLeft w:val="0"/>
          <w:marRight w:val="57"/>
          <w:marTop w:val="0"/>
          <w:marBottom w:val="0"/>
          <w:divBdr>
            <w:top w:val="none" w:sz="0" w:space="0" w:color="auto"/>
            <w:left w:val="none" w:sz="0" w:space="0" w:color="auto"/>
            <w:bottom w:val="none" w:sz="0" w:space="0" w:color="auto"/>
            <w:right w:val="none" w:sz="0" w:space="0" w:color="auto"/>
          </w:divBdr>
        </w:div>
      </w:divsChild>
    </w:div>
    <w:div w:id="805968577">
      <w:bodyDiv w:val="1"/>
      <w:marLeft w:val="0"/>
      <w:marRight w:val="0"/>
      <w:marTop w:val="0"/>
      <w:marBottom w:val="0"/>
      <w:divBdr>
        <w:top w:val="none" w:sz="0" w:space="0" w:color="auto"/>
        <w:left w:val="none" w:sz="0" w:space="0" w:color="auto"/>
        <w:bottom w:val="none" w:sz="0" w:space="0" w:color="auto"/>
        <w:right w:val="none" w:sz="0" w:space="0" w:color="auto"/>
      </w:divBdr>
    </w:div>
    <w:div w:id="893659474">
      <w:bodyDiv w:val="1"/>
      <w:marLeft w:val="0"/>
      <w:marRight w:val="0"/>
      <w:marTop w:val="0"/>
      <w:marBottom w:val="0"/>
      <w:divBdr>
        <w:top w:val="none" w:sz="0" w:space="0" w:color="auto"/>
        <w:left w:val="none" w:sz="0" w:space="0" w:color="auto"/>
        <w:bottom w:val="none" w:sz="0" w:space="0" w:color="auto"/>
        <w:right w:val="none" w:sz="0" w:space="0" w:color="auto"/>
      </w:divBdr>
    </w:div>
    <w:div w:id="1058438024">
      <w:bodyDiv w:val="1"/>
      <w:marLeft w:val="0"/>
      <w:marRight w:val="0"/>
      <w:marTop w:val="0"/>
      <w:marBottom w:val="0"/>
      <w:divBdr>
        <w:top w:val="none" w:sz="0" w:space="0" w:color="auto"/>
        <w:left w:val="none" w:sz="0" w:space="0" w:color="auto"/>
        <w:bottom w:val="none" w:sz="0" w:space="0" w:color="auto"/>
        <w:right w:val="none" w:sz="0" w:space="0" w:color="auto"/>
      </w:divBdr>
    </w:div>
    <w:div w:id="1060903550">
      <w:bodyDiv w:val="1"/>
      <w:marLeft w:val="0"/>
      <w:marRight w:val="0"/>
      <w:marTop w:val="0"/>
      <w:marBottom w:val="0"/>
      <w:divBdr>
        <w:top w:val="none" w:sz="0" w:space="0" w:color="auto"/>
        <w:left w:val="none" w:sz="0" w:space="0" w:color="auto"/>
        <w:bottom w:val="none" w:sz="0" w:space="0" w:color="auto"/>
        <w:right w:val="none" w:sz="0" w:space="0" w:color="auto"/>
      </w:divBdr>
      <w:divsChild>
        <w:div w:id="1546335033">
          <w:marLeft w:val="0"/>
          <w:marRight w:val="0"/>
          <w:marTop w:val="238"/>
          <w:marBottom w:val="0"/>
          <w:divBdr>
            <w:top w:val="none" w:sz="0" w:space="0" w:color="auto"/>
            <w:left w:val="none" w:sz="0" w:space="0" w:color="auto"/>
            <w:bottom w:val="none" w:sz="0" w:space="0" w:color="auto"/>
            <w:right w:val="none" w:sz="0" w:space="0" w:color="auto"/>
          </w:divBdr>
        </w:div>
        <w:div w:id="654067363">
          <w:marLeft w:val="0"/>
          <w:marRight w:val="0"/>
          <w:marTop w:val="238"/>
          <w:marBottom w:val="0"/>
          <w:divBdr>
            <w:top w:val="none" w:sz="0" w:space="0" w:color="auto"/>
            <w:left w:val="none" w:sz="0" w:space="0" w:color="auto"/>
            <w:bottom w:val="none" w:sz="0" w:space="0" w:color="auto"/>
            <w:right w:val="none" w:sz="0" w:space="0" w:color="auto"/>
          </w:divBdr>
        </w:div>
        <w:div w:id="1879538291">
          <w:marLeft w:val="0"/>
          <w:marRight w:val="0"/>
          <w:marTop w:val="238"/>
          <w:marBottom w:val="0"/>
          <w:divBdr>
            <w:top w:val="none" w:sz="0" w:space="0" w:color="auto"/>
            <w:left w:val="none" w:sz="0" w:space="0" w:color="auto"/>
            <w:bottom w:val="none" w:sz="0" w:space="0" w:color="auto"/>
            <w:right w:val="none" w:sz="0" w:space="0" w:color="auto"/>
          </w:divBdr>
        </w:div>
      </w:divsChild>
    </w:div>
    <w:div w:id="1067916514">
      <w:bodyDiv w:val="1"/>
      <w:marLeft w:val="0"/>
      <w:marRight w:val="0"/>
      <w:marTop w:val="0"/>
      <w:marBottom w:val="0"/>
      <w:divBdr>
        <w:top w:val="none" w:sz="0" w:space="0" w:color="auto"/>
        <w:left w:val="none" w:sz="0" w:space="0" w:color="auto"/>
        <w:bottom w:val="none" w:sz="0" w:space="0" w:color="auto"/>
        <w:right w:val="none" w:sz="0" w:space="0" w:color="auto"/>
      </w:divBdr>
    </w:div>
    <w:div w:id="1084381857">
      <w:bodyDiv w:val="1"/>
      <w:marLeft w:val="0"/>
      <w:marRight w:val="0"/>
      <w:marTop w:val="0"/>
      <w:marBottom w:val="0"/>
      <w:divBdr>
        <w:top w:val="none" w:sz="0" w:space="0" w:color="auto"/>
        <w:left w:val="none" w:sz="0" w:space="0" w:color="auto"/>
        <w:bottom w:val="none" w:sz="0" w:space="0" w:color="auto"/>
        <w:right w:val="none" w:sz="0" w:space="0" w:color="auto"/>
      </w:divBdr>
    </w:div>
    <w:div w:id="1142892484">
      <w:bodyDiv w:val="1"/>
      <w:marLeft w:val="0"/>
      <w:marRight w:val="0"/>
      <w:marTop w:val="0"/>
      <w:marBottom w:val="0"/>
      <w:divBdr>
        <w:top w:val="none" w:sz="0" w:space="0" w:color="auto"/>
        <w:left w:val="none" w:sz="0" w:space="0" w:color="auto"/>
        <w:bottom w:val="none" w:sz="0" w:space="0" w:color="auto"/>
        <w:right w:val="none" w:sz="0" w:space="0" w:color="auto"/>
      </w:divBdr>
    </w:div>
    <w:div w:id="1167549780">
      <w:bodyDiv w:val="1"/>
      <w:marLeft w:val="0"/>
      <w:marRight w:val="0"/>
      <w:marTop w:val="0"/>
      <w:marBottom w:val="0"/>
      <w:divBdr>
        <w:top w:val="none" w:sz="0" w:space="0" w:color="auto"/>
        <w:left w:val="none" w:sz="0" w:space="0" w:color="auto"/>
        <w:bottom w:val="none" w:sz="0" w:space="0" w:color="auto"/>
        <w:right w:val="none" w:sz="0" w:space="0" w:color="auto"/>
      </w:divBdr>
    </w:div>
    <w:div w:id="1224634993">
      <w:bodyDiv w:val="1"/>
      <w:marLeft w:val="0"/>
      <w:marRight w:val="0"/>
      <w:marTop w:val="0"/>
      <w:marBottom w:val="0"/>
      <w:divBdr>
        <w:top w:val="none" w:sz="0" w:space="0" w:color="auto"/>
        <w:left w:val="none" w:sz="0" w:space="0" w:color="auto"/>
        <w:bottom w:val="none" w:sz="0" w:space="0" w:color="auto"/>
        <w:right w:val="none" w:sz="0" w:space="0" w:color="auto"/>
      </w:divBdr>
    </w:div>
    <w:div w:id="1469930580">
      <w:bodyDiv w:val="1"/>
      <w:marLeft w:val="0"/>
      <w:marRight w:val="0"/>
      <w:marTop w:val="0"/>
      <w:marBottom w:val="0"/>
      <w:divBdr>
        <w:top w:val="none" w:sz="0" w:space="0" w:color="auto"/>
        <w:left w:val="none" w:sz="0" w:space="0" w:color="auto"/>
        <w:bottom w:val="none" w:sz="0" w:space="0" w:color="auto"/>
        <w:right w:val="none" w:sz="0" w:space="0" w:color="auto"/>
      </w:divBdr>
    </w:div>
    <w:div w:id="1532037146">
      <w:bodyDiv w:val="1"/>
      <w:marLeft w:val="0"/>
      <w:marRight w:val="0"/>
      <w:marTop w:val="0"/>
      <w:marBottom w:val="0"/>
      <w:divBdr>
        <w:top w:val="none" w:sz="0" w:space="0" w:color="auto"/>
        <w:left w:val="none" w:sz="0" w:space="0" w:color="auto"/>
        <w:bottom w:val="none" w:sz="0" w:space="0" w:color="auto"/>
        <w:right w:val="none" w:sz="0" w:space="0" w:color="auto"/>
      </w:divBdr>
      <w:divsChild>
        <w:div w:id="1319378551">
          <w:marLeft w:val="0"/>
          <w:marRight w:val="57"/>
          <w:marTop w:val="0"/>
          <w:marBottom w:val="0"/>
          <w:divBdr>
            <w:top w:val="none" w:sz="0" w:space="0" w:color="auto"/>
            <w:left w:val="none" w:sz="0" w:space="0" w:color="auto"/>
            <w:bottom w:val="none" w:sz="0" w:space="0" w:color="auto"/>
            <w:right w:val="none" w:sz="0" w:space="0" w:color="auto"/>
          </w:divBdr>
        </w:div>
      </w:divsChild>
    </w:div>
    <w:div w:id="1541437069">
      <w:bodyDiv w:val="1"/>
      <w:marLeft w:val="0"/>
      <w:marRight w:val="0"/>
      <w:marTop w:val="0"/>
      <w:marBottom w:val="0"/>
      <w:divBdr>
        <w:top w:val="none" w:sz="0" w:space="0" w:color="auto"/>
        <w:left w:val="none" w:sz="0" w:space="0" w:color="auto"/>
        <w:bottom w:val="none" w:sz="0" w:space="0" w:color="auto"/>
        <w:right w:val="none" w:sz="0" w:space="0" w:color="auto"/>
      </w:divBdr>
    </w:div>
    <w:div w:id="1748916999">
      <w:bodyDiv w:val="1"/>
      <w:marLeft w:val="0"/>
      <w:marRight w:val="0"/>
      <w:marTop w:val="0"/>
      <w:marBottom w:val="0"/>
      <w:divBdr>
        <w:top w:val="none" w:sz="0" w:space="0" w:color="auto"/>
        <w:left w:val="none" w:sz="0" w:space="0" w:color="auto"/>
        <w:bottom w:val="none" w:sz="0" w:space="0" w:color="auto"/>
        <w:right w:val="none" w:sz="0" w:space="0" w:color="auto"/>
      </w:divBdr>
    </w:div>
    <w:div w:id="1799373540">
      <w:bodyDiv w:val="1"/>
      <w:marLeft w:val="0"/>
      <w:marRight w:val="0"/>
      <w:marTop w:val="0"/>
      <w:marBottom w:val="0"/>
      <w:divBdr>
        <w:top w:val="none" w:sz="0" w:space="0" w:color="auto"/>
        <w:left w:val="none" w:sz="0" w:space="0" w:color="auto"/>
        <w:bottom w:val="none" w:sz="0" w:space="0" w:color="auto"/>
        <w:right w:val="none" w:sz="0" w:space="0" w:color="auto"/>
      </w:divBdr>
    </w:div>
    <w:div w:id="1803883871">
      <w:bodyDiv w:val="1"/>
      <w:marLeft w:val="0"/>
      <w:marRight w:val="0"/>
      <w:marTop w:val="0"/>
      <w:marBottom w:val="0"/>
      <w:divBdr>
        <w:top w:val="none" w:sz="0" w:space="0" w:color="auto"/>
        <w:left w:val="none" w:sz="0" w:space="0" w:color="auto"/>
        <w:bottom w:val="none" w:sz="0" w:space="0" w:color="auto"/>
        <w:right w:val="none" w:sz="0" w:space="0" w:color="auto"/>
      </w:divBdr>
    </w:div>
    <w:div w:id="1867137015">
      <w:bodyDiv w:val="1"/>
      <w:marLeft w:val="0"/>
      <w:marRight w:val="0"/>
      <w:marTop w:val="0"/>
      <w:marBottom w:val="0"/>
      <w:divBdr>
        <w:top w:val="none" w:sz="0" w:space="0" w:color="auto"/>
        <w:left w:val="none" w:sz="0" w:space="0" w:color="auto"/>
        <w:bottom w:val="none" w:sz="0" w:space="0" w:color="auto"/>
        <w:right w:val="none" w:sz="0" w:space="0" w:color="auto"/>
      </w:divBdr>
    </w:div>
    <w:div w:id="196373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en.wikipedia.org/wiki/William_Herndon_(lawyer)" TargetMode="External"/><Relationship Id="rId42" Type="http://schemas.openxmlformats.org/officeDocument/2006/relationships/hyperlink" Target="https://www.youtube.com/watch?v=iXC-6xQKyUI" TargetMode="External"/><Relationship Id="rId47" Type="http://schemas.openxmlformats.org/officeDocument/2006/relationships/image" Target="media/image8.png"/><Relationship Id="rId63" Type="http://schemas.openxmlformats.org/officeDocument/2006/relationships/header" Target="header24.xml"/><Relationship Id="rId68"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7.xml"/><Relationship Id="rId11" Type="http://schemas.openxmlformats.org/officeDocument/2006/relationships/header" Target="header2.xml"/><Relationship Id="rId24" Type="http://schemas.openxmlformats.org/officeDocument/2006/relationships/image" Target="media/image1.jpg"/><Relationship Id="rId32" Type="http://schemas.openxmlformats.org/officeDocument/2006/relationships/footer" Target="footer5.xml"/><Relationship Id="rId37" Type="http://schemas.microsoft.com/office/2016/09/relationships/commentsIds" Target="commentsIds.xml"/><Relationship Id="rId40" Type="http://schemas.openxmlformats.org/officeDocument/2006/relationships/header" Target="header13.xml"/><Relationship Id="rId45" Type="http://schemas.openxmlformats.org/officeDocument/2006/relationships/hyperlink" Target="https://tinyurl.com/y62t3tnl" TargetMode="External"/><Relationship Id="rId53" Type="http://schemas.openxmlformats.org/officeDocument/2006/relationships/header" Target="header16.xml"/><Relationship Id="rId58" Type="http://schemas.openxmlformats.org/officeDocument/2006/relationships/header" Target="header20.xml"/><Relationship Id="rId66" Type="http://schemas.openxmlformats.org/officeDocument/2006/relationships/hyperlink" Target="http://revistas.ucr.ac.cr/index.php/RDMCP/article/view/15820" TargetMode="External"/><Relationship Id="rId5" Type="http://schemas.openxmlformats.org/officeDocument/2006/relationships/webSettings" Target="webSettings.xml"/><Relationship Id="rId61" Type="http://schemas.openxmlformats.org/officeDocument/2006/relationships/header" Target="header22.xml"/><Relationship Id="rId19" Type="http://schemas.openxmlformats.org/officeDocument/2006/relationships/hyperlink" Target="http://bonafide.cr/descargas/" TargetMode="External"/><Relationship Id="rId14" Type="http://schemas.openxmlformats.org/officeDocument/2006/relationships/hyperlink" Target="mailto:info@institutocdp.org" TargetMode="External"/><Relationship Id="rId22" Type="http://schemas.openxmlformats.org/officeDocument/2006/relationships/hyperlink" Target="http://www.abebooks.com/9780306801952/Herndons-Life-Lincoln-Capo-Paperback-0306801957/plp" TargetMode="External"/><Relationship Id="rId27" Type="http://schemas.openxmlformats.org/officeDocument/2006/relationships/image" Target="media/image4.jpeg"/><Relationship Id="rId30" Type="http://schemas.openxmlformats.org/officeDocument/2006/relationships/header" Target="header8.xml"/><Relationship Id="rId35" Type="http://schemas.openxmlformats.org/officeDocument/2006/relationships/comments" Target="comments.xml"/><Relationship Id="rId43" Type="http://schemas.openxmlformats.org/officeDocument/2006/relationships/header" Target="header14.xml"/><Relationship Id="rId48" Type="http://schemas.openxmlformats.org/officeDocument/2006/relationships/image" Target="media/image9.png"/><Relationship Id="rId56" Type="http://schemas.openxmlformats.org/officeDocument/2006/relationships/header" Target="header18.xml"/><Relationship Id="rId64" Type="http://schemas.openxmlformats.org/officeDocument/2006/relationships/header" Target="header25.xml"/><Relationship Id="rId69" Type="http://schemas.openxmlformats.org/officeDocument/2006/relationships/footer" Target="footer6.xml"/><Relationship Id="rId8" Type="http://schemas.openxmlformats.org/officeDocument/2006/relationships/header" Target="header1.xml"/><Relationship Id="rId51" Type="http://schemas.openxmlformats.org/officeDocument/2006/relationships/image" Target="media/image12.emf"/><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2.jpeg"/><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image" Target="media/image7.png"/><Relationship Id="rId59" Type="http://schemas.openxmlformats.org/officeDocument/2006/relationships/header" Target="header21.xml"/><Relationship Id="rId67" Type="http://schemas.openxmlformats.org/officeDocument/2006/relationships/header" Target="header27.xml"/><Relationship Id="rId20" Type="http://schemas.openxmlformats.org/officeDocument/2006/relationships/header" Target="header6.xml"/><Relationship Id="rId41" Type="http://schemas.openxmlformats.org/officeDocument/2006/relationships/hyperlink" Target="https://comisionjurisdiccioncivil.poder-judicial.go.cr/images/videos/24-Carga-y-apreciacion-de-la-prueba.mp4" TargetMode="External"/><Relationship Id="rId54" Type="http://schemas.openxmlformats.org/officeDocument/2006/relationships/hyperlink" Target="https://es.wikipedia.org/wiki/Caso_Obergefell_contra_Hodges" TargetMode="External"/><Relationship Id="rId62" Type="http://schemas.openxmlformats.org/officeDocument/2006/relationships/header" Target="header23.xml"/><Relationship Id="rId70"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ditorialfaro.com" TargetMode="External"/><Relationship Id="rId23" Type="http://schemas.openxmlformats.org/officeDocument/2006/relationships/hyperlink" Target="http://www.amazon.com/Lawyers-Liars-Art-Storytelling-Influence/dp/1627229264" TargetMode="External"/><Relationship Id="rId28" Type="http://schemas.openxmlformats.org/officeDocument/2006/relationships/image" Target="media/image5.png"/><Relationship Id="rId36" Type="http://schemas.microsoft.com/office/2011/relationships/commentsExtended" Target="commentsExtended.xml"/><Relationship Id="rId49" Type="http://schemas.openxmlformats.org/officeDocument/2006/relationships/image" Target="media/image10.png"/><Relationship Id="rId57" Type="http://schemas.openxmlformats.org/officeDocument/2006/relationships/header" Target="header19.xml"/><Relationship Id="rId10" Type="http://schemas.openxmlformats.org/officeDocument/2006/relationships/footer" Target="footer2.xml"/><Relationship Id="rId31" Type="http://schemas.openxmlformats.org/officeDocument/2006/relationships/footer" Target="footer4.xml"/><Relationship Id="rId44" Type="http://schemas.openxmlformats.org/officeDocument/2006/relationships/image" Target="media/image6.jpeg"/><Relationship Id="rId52" Type="http://schemas.openxmlformats.org/officeDocument/2006/relationships/header" Target="header15.xml"/><Relationship Id="rId60" Type="http://schemas.openxmlformats.org/officeDocument/2006/relationships/hyperlink" Target="http://www.who.int/child_adolescent_health/topics/prevention_care/child/nutrition/breastfeeding/es/index.html" TargetMode="External"/><Relationship Id="rId65" Type="http://schemas.openxmlformats.org/officeDocument/2006/relationships/header" Target="header26.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institutocdp.org" TargetMode="External"/><Relationship Id="rId18" Type="http://schemas.openxmlformats.org/officeDocument/2006/relationships/header" Target="header5.xml"/><Relationship Id="rId39" Type="http://schemas.openxmlformats.org/officeDocument/2006/relationships/header" Target="header12.xml"/><Relationship Id="rId34" Type="http://schemas.openxmlformats.org/officeDocument/2006/relationships/header" Target="header10.xml"/><Relationship Id="rId50" Type="http://schemas.openxmlformats.org/officeDocument/2006/relationships/image" Target="media/image11.png"/><Relationship Id="rId55"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hbsslaw.com/" TargetMode="External"/><Relationship Id="rId13" Type="http://schemas.openxmlformats.org/officeDocument/2006/relationships/hyperlink" Target="https://marketingjuridicodigital.com/storytelling-despacho-abogados-obtener-clientes/" TargetMode="External"/><Relationship Id="rId18" Type="http://schemas.openxmlformats.org/officeDocument/2006/relationships/hyperlink" Target="https://www.youtube.com/watch?v=iXC-6xQKyUI" TargetMode="External"/><Relationship Id="rId3" Type="http://schemas.openxmlformats.org/officeDocument/2006/relationships/hyperlink" Target="https://www.40defiebre.com/" TargetMode="External"/><Relationship Id="rId21" Type="http://schemas.openxmlformats.org/officeDocument/2006/relationships/hyperlink" Target="mailto:hubert.fdz@gmail.com" TargetMode="External"/><Relationship Id="rId7" Type="http://schemas.openxmlformats.org/officeDocument/2006/relationships/hyperlink" Target="https://sandracuesta.com/marketing-y-comunicacion/storytelling/" TargetMode="External"/><Relationship Id="rId12" Type="http://schemas.openxmlformats.org/officeDocument/2006/relationships/hyperlink" Target="https://marketingjuridicodigital.com/" TargetMode="External"/><Relationship Id="rId17" Type="http://schemas.openxmlformats.org/officeDocument/2006/relationships/hyperlink" Target="mailto:noheveca@hotmail.com" TargetMode="External"/><Relationship Id="rId25" Type="http://schemas.openxmlformats.org/officeDocument/2006/relationships/hyperlink" Target="https://www.matelunainocente.com/proceso-judicial.html" TargetMode="External"/><Relationship Id="rId2" Type="http://schemas.openxmlformats.org/officeDocument/2006/relationships/hyperlink" Target="https://www.youtube.com/watch?v=K2H7qqKjVVQ" TargetMode="External"/><Relationship Id="rId16" Type="http://schemas.openxmlformats.org/officeDocument/2006/relationships/hyperlink" Target="https://jralonso.es/2017/09/06/el-mito-de-los-quince-minutos-de-atencion/" TargetMode="External"/><Relationship Id="rId20" Type="http://schemas.openxmlformats.org/officeDocument/2006/relationships/hyperlink" Target="https://salaprimera.poder-judicial.go.cr/phocadownload/Informes_Planificacion/854-PLA-2018.pdf" TargetMode="External"/><Relationship Id="rId1" Type="http://schemas.openxmlformats.org/officeDocument/2006/relationships/hyperlink" Target="https://www.decideo.com/Aprenda-a-narrar-historias-a-partir-de-los-datos-con-el-Data-Storytelling_a679.html" TargetMode="External"/><Relationship Id="rId6" Type="http://schemas.openxmlformats.org/officeDocument/2006/relationships/hyperlink" Target="https://www.presentation-guru.com/on-structure-the-hidden-framework-that-hangs-your-story-together/" TargetMode="External"/><Relationship Id="rId11" Type="http://schemas.openxmlformats.org/officeDocument/2006/relationships/hyperlink" Target="https://www.hbsslaw.com/" TargetMode="External"/><Relationship Id="rId24" Type="http://schemas.openxmlformats.org/officeDocument/2006/relationships/hyperlink" Target="https://www.matelunainocente.com/proceso-judicial.html" TargetMode="External"/><Relationship Id="rId5" Type="http://schemas.openxmlformats.org/officeDocument/2006/relationships/hyperlink" Target="http://www.oratoriaynegociacion.com.mx/microlecciones-de-oratoria/15-tips-de-oratoria/tip-11-el-movimiento-de-tus-manos" TargetMode="External"/><Relationship Id="rId15" Type="http://schemas.openxmlformats.org/officeDocument/2006/relationships/hyperlink" Target="https://www.abccopywriting.com/2013/12/10/what-really-makes-a-good-story" TargetMode="External"/><Relationship Id="rId23" Type="http://schemas.openxmlformats.org/officeDocument/2006/relationships/hyperlink" Target="http://jurisprudencia.poder-judicial.go.cr/SCIJ_PJ/busqueda/jurisprudencia/" TargetMode="External"/><Relationship Id="rId10" Type="http://schemas.openxmlformats.org/officeDocument/2006/relationships/hyperlink" Target="http://www.litigiodeautor.com/storytelling-para-abogados/" TargetMode="External"/><Relationship Id="rId19" Type="http://schemas.openxmlformats.org/officeDocument/2006/relationships/hyperlink" Target="mailto:lortiz@blplegal.com" TargetMode="External"/><Relationship Id="rId4" Type="http://schemas.openxmlformats.org/officeDocument/2006/relationships/hyperlink" Target="https://www.decideo.com/Aprenda-a-narrar-historias-a-partir-de-los-datos-con-el-Data-Storytelling_a679.html" TargetMode="External"/><Relationship Id="rId9" Type="http://schemas.openxmlformats.org/officeDocument/2006/relationships/hyperlink" Target="https://www.hbsslaw.com/uploads/case_downloads/volkswagen/2.21_hagens_berman_vw_plaintiffs_consolidated__classaction_complaint.pdf" TargetMode="External"/><Relationship Id="rId14" Type="http://schemas.openxmlformats.org/officeDocument/2006/relationships/hyperlink" Target="https://marketingjuridicodigital.com/storytelling-despacho-abogados-obtener-clientes/" TargetMode="External"/><Relationship Id="rId22" Type="http://schemas.openxmlformats.org/officeDocument/2006/relationships/hyperlink" Target="https://www.nacion.com/sucesos/judiciales/corte-alista-plan-para-ampliar-delitos-a-juzgar-en/7FDG6LMOBRF23FMNJ2L5A57JGY/stor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Jua16</b:Tag>
    <b:SourceType>InternetSite</b:SourceType>
    <b:Guid>{0652652F-0A71-4670-9DFA-E4D463B4C3E5}</b:Guid>
    <b:Title>http://www.oratoriaparaemprendedores.com/pon-storytelling-en-tu-vida/</b:Title>
    <b:Year>2016</b:Year>
    <b:Author>
      <b:Author>
        <b:NameList>
          <b:Person>
            <b:Last>Aznar</b:Last>
            <b:First>Juan</b:First>
            <b:Middle>Carlos Jimenez</b:Middle>
          </b:Person>
        </b:NameList>
      </b:Author>
    </b:Author>
    <b:Month>Mayo</b:Month>
    <b:Day>08</b:Day>
    <b:YearAccessed>2019</b:YearAccessed>
    <b:MonthAccessed>Mayo</b:MonthAccessed>
    <b:DayAccessed>3</b:DayAccessed>
    <b:URL>http://www.oratoriaparaemprendedores.com/pon-storytelling-en-tu-vida/</b:URL>
    <b:RefOrder>1</b:RefOrder>
  </b:Source>
  <b:Source>
    <b:Tag>Lit16</b:Tag>
    <b:SourceType>InternetSite</b:SourceType>
    <b:Guid>{DA2B65D3-C353-4B3B-9A03-4E4DFBEA9F70}</b:Guid>
    <b:Title>litigiodeautor</b:Title>
    <b:Year>2016</b:Year>
    <b:Author>
      <b:Author>
        <b:Corporate>Litigiodeautor</b:Corporate>
      </b:Author>
    </b:Author>
    <b:Month>Abril</b:Month>
    <b:Day>19</b:Day>
    <b:YearAccessed>2019</b:YearAccessed>
    <b:MonthAccessed>Mayo</b:MonthAccessed>
    <b:DayAccessed>4</b:DayAccessed>
    <b:URL>http://www.litigiodeautor.com/storytelling-para-abogados/</b:URL>
    <b:RefOrder>2</b:RefOrder>
  </b:Source>
  <b:Source>
    <b:Tag>Jon16</b:Tag>
    <b:SourceType>Book</b:SourceType>
    <b:Guid>{5797FE91-5104-4993-ABD6-FBE53282B12F}</b:Guid>
    <b:Title>Lawyers, liars, and the art of storytelling</b:Title>
    <b:Year>2016</b:Year>
    <b:Author>
      <b:Author>
        <b:NameList>
          <b:Person>
            <b:Last>Shapiro</b:Last>
            <b:First>Jonathan</b:First>
          </b:Person>
        </b:NameList>
      </b:Author>
    </b:Author>
    <b:City>Chicago, IL, United States</b:City>
    <b:Publisher>American Bar Association </b:Publisher>
    <b:RefOrder>3</b:RefOrder>
  </b:Source>
  <b:Source>
    <b:Tag>40d19</b:Tag>
    <b:SourceType>InternetSite</b:SourceType>
    <b:Guid>{F7599846-B280-497E-9D66-3208D6EB0D32}</b:Guid>
    <b:Title>40defiebre</b:Title>
    <b:Author>
      <b:Author>
        <b:Corporate>40defiebre</b:Corporate>
      </b:Author>
    </b:Author>
    <b:YearAccessed>2019</b:YearAccessed>
    <b:MonthAccessed>Mayo</b:MonthAccessed>
    <b:DayAccessed>4</b:DayAccessed>
    <b:URL>https://www.40defiebre.com/que-es/storytelling</b:URL>
    <b:RefOrder>4</b:RefOrder>
  </b:Source>
  <b:Source>
    <b:Tag>Ter05</b:Tag>
    <b:SourceType>Book</b:SourceType>
    <b:Guid>{CF549DB0-BC63-43FC-8BB8-112020C828C1}</b:Guid>
    <b:Title>Analysis of Evidence: Second Edition</b:Title>
    <b:Year>2005</b:Year>
    <b:Author>
      <b:Author>
        <b:NameList>
          <b:Person>
            <b:Last>Terence </b:Last>
            <b:First>Anderson</b:First>
          </b:Person>
          <b:Person>
            <b:Last>Schum</b:Last>
            <b:First>David</b:First>
          </b:Person>
          <b:Person>
            <b:Last>Twining</b:Last>
            <b:First>William</b:First>
          </b:Person>
        </b:NameList>
      </b:Author>
    </b:Author>
    <b:City>New York</b:City>
    <b:Publisher>Cambridge University Press</b:Publisher>
    <b:RefOrder>1</b:RefOrder>
  </b:Source>
  <b:Source>
    <b:Tag>Lui14</b:Tag>
    <b:SourceType>Book</b:SourceType>
    <b:Guid>{633E5B37-6804-4868-A7F3-F866E8D66779}</b:Guid>
    <b:Author>
      <b:Author>
        <b:NameList>
          <b:Person>
            <b:Last>Muñoz Sabaté</b:Last>
            <b:First>Luis</b:First>
          </b:Person>
        </b:NameList>
      </b:Author>
    </b:Author>
    <b:Title>Diccionario Enciclopédico de Probática y Derecho Probatorio</b:Title>
    <b:Year>2014</b:Year>
    <b:City>Madrid</b:City>
    <b:Publisher>La Ley</b:Publisher>
    <b:Pages>231-232</b:Pages>
    <b:RefOrder>2</b:RefOrder>
  </b:Source>
  <b:Source>
    <b:Tag>Gar13</b:Tag>
    <b:SourceType>Book</b:SourceType>
    <b:Guid>{A85EFBE4-1FDA-4762-9E8E-10E6BD1A5EDA}</b:Guid>
    <b:Title>La Técnica del Interrogatorio</b:Title>
    <b:Year>2013</b:Year>
    <b:City>Bogotá</b:City>
    <b:Publisher>Rasche</b:Publisher>
    <b:Author>
      <b:Author>
        <b:NameList>
          <b:Person>
            <b:Last>García Ramírez</b:Last>
            <b:First>Julio</b:First>
          </b:Person>
          <b:Person>
            <b:Last>Romero Santos</b:Last>
            <b:First>Luis</b:First>
          </b:Person>
          <b:Person>
            <b:Last>García González</b:Last>
            <b:First>Florentino</b:First>
          </b:Person>
        </b:NameList>
      </b:Author>
    </b:Author>
    <b:Pages>25-33</b:Pages>
    <b:RefOrder>3</b:RefOrder>
  </b:Source>
  <b:Source>
    <b:Tag>Car82</b:Tag>
    <b:SourceType>Book</b:SourceType>
    <b:Guid>{0F711F17-A85B-4537-8302-C512E1ED568F}</b:Guid>
    <b:Title>La Prueba Civil</b:Title>
    <b:Year>1982</b:Year>
    <b:City>Buenos Aires</b:City>
    <b:Publisher>Depalma</b:Publisher>
    <b:Author>
      <b:Author>
        <b:NameList>
          <b:Person>
            <b:Last>Carnelutti</b:Last>
            <b:First>Francesco</b:First>
          </b:Person>
        </b:NameList>
      </b:Author>
    </b:Author>
    <b:Pages>18</b:Pages>
    <b:RefOrder>4</b:RefOrder>
  </b:Source>
  <b:Source>
    <b:Tag>Muñ12</b:Tag>
    <b:SourceType>Book</b:SourceType>
    <b:Guid>{3ACCCE0E-A0C6-4E1C-880B-A9938DACAD92}</b:Guid>
    <b:Title>Técnica Procesal</b:Title>
    <b:Year>2012</b:Year>
    <b:City>Barcelona</b:City>
    <b:Publisher>Bosch</b:Publisher>
    <b:Author>
      <b:Author>
        <b:NameList>
          <b:Person>
            <b:Last>Muñoz Sabaté</b:Last>
            <b:First>Luis</b:First>
          </b:Person>
        </b:NameList>
      </b:Author>
    </b:Author>
    <b:Pages>163</b:Pages>
    <b:RefOrder>5</b:RefOrder>
  </b:Source>
  <b:Source>
    <b:Tag>Wig13</b:Tag>
    <b:SourceType>Book</b:SourceType>
    <b:Guid>{1BF2A197-766D-4DDF-8F5F-3218987744AE}</b:Guid>
    <b:Title>The principles of judicial proof as given by logic, psychology, and general experience and illustrated in judicial trials</b:Title>
    <b:Year>1913</b:Year>
    <b:City>Boston</b:City>
    <b:Publisher>Little, Brown and Company</b:Publisher>
    <b:Author>
      <b:Author>
        <b:NameList>
          <b:Person>
            <b:Last>Wigmore</b:Last>
            <b:First>John Henry</b:First>
          </b:Person>
        </b:NameList>
      </b:Author>
    </b:Author>
    <b:RefOrder>6</b:RefOrder>
  </b:Source>
  <b:Source>
    <b:Tag>Goa19</b:Tag>
    <b:SourceType>InternetSite</b:SourceType>
    <b:Guid>{C940D182-1298-460E-9A00-5C241D658C35}</b:Guid>
    <b:Title>Informal Logic</b:Title>
    <b:InternetSiteTitle>Standford Encyclopedia of Philosophy</b:InternetSiteTitle>
    <b:Year>2017</b:Year>
    <b:Month>Enero</b:Month>
    <b:Day>2</b:Day>
    <b:URL>https://plato.stanford.edu/entries/logic-informal/</b:URL>
    <b:Author>
      <b:Author>
        <b:NameList>
          <b:Person>
            <b:Last>Goarke</b:Last>
            <b:First>Leo</b:First>
          </b:Person>
        </b:NameList>
      </b:Author>
    </b:Author>
    <b:RefOrder>7</b:RefOrder>
  </b:Source>
  <b:Source>
    <b:Tag>Goo00</b:Tag>
    <b:SourceType>JournalArticle</b:SourceType>
    <b:Guid>{2A811583-D1DE-4BD6-B0B5-3CE0F87259BD}</b:Guid>
    <b:Title>Wigmore's Chart Method</b:Title>
    <b:JournalName>Informal Logic: Reasoning and Argumentation in Theory and Practice</b:JournalName>
    <b:Year>2000</b:Year>
    <b:Pages>223-243</b:Pages>
    <b:Author>
      <b:Author>
        <b:NameList>
          <b:Person>
            <b:Last>Goodwin</b:Last>
            <b:First>Jean</b:First>
          </b:Person>
        </b:NameList>
      </b:Author>
    </b:Author>
    <b:URL>https://ojs.uwindsor.ca/index.php/informal_logic/article/view/2278</b:URL>
    <b:RefOrder>8</b:RefOrder>
  </b:Source>
  <b:Source>
    <b:Tag>Gam10</b:Tag>
    <b:SourceType>BookSection</b:SourceType>
    <b:Guid>{82F13F04-B690-4271-86C1-97A43405D9CE}</b:Guid>
    <b:Title>El Ideograma de Wigmore y su aplicación en nuestra práctica jurídica</b:Title>
    <b:BookTitle>La Prueba Judicial: Desafíos en las jurisdicciones civil, penal, laboral y contencioso-administrativa</b:BookTitle>
    <b:Year>2010</b:Year>
    <b:Pages>165-179</b:Pages>
    <b:City>España</b:City>
    <b:Publisher>Wolters Kluwer S.A</b:Publisher>
    <b:Author>
      <b:Author>
        <b:NameList>
          <b:Person>
            <b:Last>Gama Leyva</b:Last>
            <b:First>Raymundo</b:First>
          </b:Person>
        </b:NameList>
      </b:Author>
      <b:BookAuthor>
        <b:NameList>
          <b:Person>
            <b:Last>Lluch</b:Last>
            <b:First>Xavier Abel </b:First>
          </b:Person>
          <b:Person>
            <b:Last>i Junoy</b:Last>
            <b:First>Joan Picó</b:First>
          </b:Person>
          <b:Person>
            <b:Last>González</b:Last>
            <b:First>Manuel Richard</b:First>
          </b:Person>
        </b:NameList>
      </b:BookAuthor>
    </b:Author>
    <b:URL>http://www.filosoficas.unam.mx/~cruzparc/metodo.Wigmore.pdf </b:URL>
    <b:RefOrder>10</b:RefOrder>
  </b:Source>
  <b:Source>
    <b:Tag>Alv13</b:Tag>
    <b:SourceType>Misc</b:SourceType>
    <b:Guid>{93B0AA4D-BA23-43B0-8837-BA9388F0CB64}</b:Guid>
    <b:Title>Seminario Final de Graduación</b:Title>
    <b:PublicationTitle>Teoría de Grafos</b:PublicationTitle>
    <b:Year>2013</b:Year>
    <b:CountryRegion>Chile</b:CountryRegion>
    <b:Publisher>Universidad del Bío-Bío</b:Publisher>
    <b:Author>
      <b:Author>
        <b:NameList>
          <b:Person>
            <b:Last>Alvarez Nuñez</b:Last>
            <b:Middle>Felipe</b:Middle>
            <b:First>Marcelino</b:First>
          </b:Person>
          <b:Person>
            <b:Last>Parra Muñoz</b:Last>
            <b:Middle>Alejandro</b:Middle>
            <b:First>Jonathan </b:First>
          </b:Person>
        </b:NameList>
      </b:Author>
    </b:Author>
    <b:URL>http://repobib.ubiobio.cl/jspui/bitstream/123456789/1953/3/Alvarez_Nunez_Marcelino.pdf </b:URL>
    <b:RefOrder>11</b:RefOrder>
  </b:Source>
  <b:Source>
    <b:Tag>Mar</b:Tag>
    <b:SourceType>JournalArticle</b:SourceType>
    <b:Guid>{6266D0EB-D521-40E4-97DE-C0695DCCEC8A}</b:Guid>
    <b:Title>Visualización de Datos Utilizando Grafos: Ejemplos de Aplicación</b:Title>
    <b:Author>
      <b:Author>
        <b:NameList>
          <b:Person>
            <b:Last>Sánchez</b:Last>
            <b:First>Marisa</b:First>
            <b:Middle>A.</b:Middle>
          </b:Person>
        </b:NameList>
      </b:Author>
    </b:Author>
    <b:JournalName>CEA - Centros de Estudios de Administración</b:JournalName>
    <b:Pages>33-45</b:Pages>
    <b:Year>2017</b:Year>
    <b:RefOrder>12</b:RefOrder>
  </b:Source>
</b:Sources>
</file>

<file path=customXml/itemProps1.xml><?xml version="1.0" encoding="utf-8"?>
<ds:datastoreItem xmlns:ds="http://schemas.openxmlformats.org/officeDocument/2006/customXml" ds:itemID="{B2334033-1CC8-46A6-9CD6-2FA8D76D7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253</Pages>
  <Words>193047</Words>
  <Characters>1061762</Characters>
  <Application>Microsoft Office Word</Application>
  <DocSecurity>0</DocSecurity>
  <Lines>8848</Lines>
  <Paragraphs>2504</Paragraphs>
  <ScaleCrop>false</ScaleCrop>
  <Company/>
  <LinksUpToDate>false</LinksUpToDate>
  <CharactersWithSpaces>1252305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Fallas</dc:creator>
  <cp:keywords/>
  <dc:description/>
  <cp:lastModifiedBy>Dr.Sergio Artavia</cp:lastModifiedBy>
  <cp:revision>2</cp:revision>
  <cp:lastPrinted>2019-05-15T00:20:00Z</cp:lastPrinted>
  <dcterms:created xsi:type="dcterms:W3CDTF">2026-04-27T16:43:00Z</dcterms:created>
  <dcterms:modified xsi:type="dcterms:W3CDTF">2026-04-27T16:43:00Z</dcterms:modified>
</cp:coreProperties>
</file>